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长三角人才引进政策梳理</w:t>
      </w:r>
    </w:p>
    <w:p>
      <w:pPr>
        <w:pStyle w:val="Heading2"/>
      </w:pPr>
      <w:r>
        <w:t>一、四个市的政策各有侧重</w:t>
      </w:r>
    </w:p>
    <w:p>
      <w:r>
        <w:t>这份材料梳理长三角甲、乙、丙、丁四个市 2024—2025 年的人才引进政策，只比较政策文本，不评价实际效果。四个市都在用补贴、落户、住房这三类手段，但侧重点不一样：甲市靠按学历分档的补贴，乙市把钱集中在少数高层次人才身上，丙市主要靠放宽落户，丁市以人才公寓为主。一份二手的比较研究也有相近的看法</w:t>
      </w:r>
      <w:hyperlink r:id="rId9">
        <w:r>
          <w:rPr>
            <w:color w:val="8A6D3B"/>
            <w:vertAlign w:val="superscript"/>
          </w:rPr>
          <w:t>[1]</w:t>
        </w:r>
      </w:hyperlink>
      <w:r>
        <w:t>，但它没有列出逐市的依据，这里只当背景。</w:t>
      </w:r>
    </w:p>
    <w:p>
      <w:r>
        <w:t>需要先说明两点口径。第一，补贴金额是文件上写明的发放标准，四个市都没有公布实际发放的金额和人数，所以这份材料不比较「谁花得多」。第二，乙市认定「人才」的标准和其他三个市不一样，乙市的数字不能直接和其他三市放在一起比。</w:t>
      </w:r>
    </w:p>
    <w:p>
      <w:pPr>
        <w:pStyle w:val="Heading2"/>
      </w:pPr>
      <w:r>
        <w:t>二、补贴、落户、住房三块怎么比</w:t>
      </w:r>
    </w:p>
    <w:p>
      <w:r>
        <w:t>先看补贴。甲市 2024 年修订了安居办法，首次在甲市就业的应届本科生一次性补贴 3 万元，硕士 5 万元、博士 10 万元</w:t>
      </w:r>
      <w:hyperlink r:id="rId10">
        <w:r>
          <w:rPr>
            <w:color w:val="8A6D3B"/>
            <w:vertAlign w:val="superscript"/>
          </w:rPr>
          <w:t>[2]</w:t>
        </w:r>
      </w:hyperlink>
      <w:r>
        <w:t>。甲市 2025 年的工作要点提出继续执行这一标准</w:t>
      </w:r>
      <w:hyperlink r:id="rId11">
        <w:r>
          <w:rPr>
            <w:color w:val="8A6D3B"/>
            <w:vertAlign w:val="superscript"/>
          </w:rPr>
          <w:t>[3]</w:t>
        </w:r>
      </w:hyperlink>
      <w:r>
        <w:t>。乙市的补贴集中在高层次人才：认定为 A 类的顶尖人才最高奖励 500 万元，分五年发放</w:t>
      </w:r>
      <w:hyperlink r:id="rId12">
        <w:r>
          <w:rPr>
            <w:color w:val="8A6D3B"/>
            <w:vertAlign w:val="superscript"/>
          </w:rPr>
          <w:t>[4]</w:t>
        </w:r>
      </w:hyperlink>
      <w:r>
        <w:t>。两种做法覆盖的人群差别很大：甲市覆盖所有应届毕业生，乙市只覆盖少数经过认定的人。</w:t>
      </w:r>
    </w:p>
    <w:p>
      <w:r>
        <w:t>再看落户。丙市 2024 年起，45 周岁以下、大专以上学历即可落户</w:t>
      </w:r>
      <w:hyperlink r:id="rId13">
        <w:r>
          <w:rPr>
            <w:color w:val="8A6D3B"/>
            <w:vertAlign w:val="superscript"/>
          </w:rPr>
          <w:t>[5]</w:t>
        </w:r>
      </w:hyperlink>
      <w:r>
        <w:t>，是四个市里门槛最低的。当年丙市人才落户 3.6 万人</w:t>
      </w:r>
      <w:hyperlink r:id="rId14">
        <w:r>
          <w:rPr>
            <w:color w:val="8A6D3B"/>
            <w:vertAlign w:val="superscript"/>
          </w:rPr>
          <w:t>[6]</w:t>
        </w:r>
      </w:hyperlink>
      <w:r>
        <w:t>，但公报没有区分新引进的人和原来就在丙市工作的人，这个数不能当成「引进了多少人」</w:t>
      </w:r>
      <w:hyperlink r:id="rId14">
        <w:r>
          <w:rPr>
            <w:color w:val="8A6D3B"/>
            <w:vertAlign w:val="superscript"/>
          </w:rPr>
          <w:t>[6]</w:t>
        </w:r>
      </w:hyperlink>
      <w:r>
        <w:t>。其他三个市的落户条件仍与社保年限挂钩</w:t>
      </w:r>
      <w:hyperlink r:id="rId13">
        <w:r>
          <w:rPr>
            <w:color w:val="8A6D3B"/>
            <w:vertAlign w:val="superscript"/>
          </w:rPr>
          <w:t>[5]</w:t>
        </w:r>
      </w:hyperlink>
      <w:r>
        <w:t>。</w:t>
      </w:r>
    </w:p>
    <w:p>
      <w:r>
        <w:t>最后看住房。丁市对首次就业 3 年内的青年人才提供人才公寓，租金为市场价的 70%</w:t>
      </w:r>
      <w:hyperlink r:id="rId15">
        <w:r>
          <w:rPr>
            <w:color w:val="8A6D3B"/>
            <w:vertAlign w:val="superscript"/>
          </w:rPr>
          <w:t>[7]</w:t>
        </w:r>
      </w:hyperlink>
      <w:r>
        <w:t>。丁市人才服务中心的年报说，人才公寓是丁市引才的主要手段</w:t>
      </w:r>
      <w:hyperlink r:id="rId16">
        <w:r>
          <w:rPr>
            <w:color w:val="8A6D3B"/>
            <w:vertAlign w:val="superscript"/>
          </w:rPr>
          <w:t>[8]</w:t>
        </w:r>
      </w:hyperlink>
      <w:r>
        <w:t>，但没有公布房源数量，排队情况说不清。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措施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甲市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乙市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丙市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丁市</w:t>
            </w:r>
          </w:p>
        </w:tc>
      </w:tr>
      <w:tr>
        <w:tc>
          <w:tcPr>
            <w:tcW w:type="dxa" w:w="1728"/>
          </w:tcPr>
          <w:p>
            <w:r/>
            <w:r>
              <w:t>主要手段</w:t>
            </w:r>
          </w:p>
        </w:tc>
        <w:tc>
          <w:tcPr>
            <w:tcW w:type="dxa" w:w="1728"/>
          </w:tcPr>
          <w:p>
            <w:r/>
            <w:r>
              <w:t>按学历分档的补贴</w:t>
            </w:r>
          </w:p>
        </w:tc>
        <w:tc>
          <w:tcPr>
            <w:tcW w:type="dxa" w:w="1728"/>
          </w:tcPr>
          <w:p>
            <w:r/>
            <w:r>
              <w:t>高层次人才奖励</w:t>
            </w:r>
          </w:p>
        </w:tc>
        <w:tc>
          <w:tcPr>
            <w:tcW w:type="dxa" w:w="1728"/>
          </w:tcPr>
          <w:p>
            <w:r/>
            <w:r>
              <w:t>放宽落户</w:t>
            </w:r>
          </w:p>
        </w:tc>
        <w:tc>
          <w:tcPr>
            <w:tcW w:type="dxa" w:w="1728"/>
          </w:tcPr>
          <w:p>
            <w:r/>
            <w:r>
              <w:t>人才公寓</w:t>
            </w:r>
          </w:p>
        </w:tc>
      </w:tr>
      <w:tr>
        <w:tc>
          <w:tcPr>
            <w:tcW w:type="dxa" w:w="1728"/>
          </w:tcPr>
          <w:p>
            <w:r/>
            <w:r>
              <w:t>覆盖人群</w:t>
            </w:r>
          </w:p>
        </w:tc>
        <w:tc>
          <w:tcPr>
            <w:tcW w:type="dxa" w:w="1728"/>
          </w:tcPr>
          <w:p>
            <w:r/>
            <w:r>
              <w:t>所有应届毕业生</w:t>
            </w:r>
          </w:p>
        </w:tc>
        <w:tc>
          <w:tcPr>
            <w:tcW w:type="dxa" w:w="1728"/>
          </w:tcPr>
          <w:p>
            <w:r/>
            <w:r>
              <w:t>认定的高层次人才</w:t>
            </w:r>
          </w:p>
        </w:tc>
        <w:tc>
          <w:tcPr>
            <w:tcW w:type="dxa" w:w="1728"/>
          </w:tcPr>
          <w:p>
            <w:r/>
            <w:r>
              <w:t>大专以上学历</w:t>
            </w:r>
          </w:p>
        </w:tc>
        <w:tc>
          <w:tcPr>
            <w:tcW w:type="dxa" w:w="1728"/>
          </w:tcPr>
          <w:p>
            <w:r/>
            <w:r>
              <w:t>首次就业的青年人才</w:t>
            </w:r>
          </w:p>
        </w:tc>
      </w:tr>
    </w:tbl>
    <w:p>
      <w:pPr>
        <w:pStyle w:val="Heading2"/>
      </w:pPr>
      <w:r>
        <w:t>三、几点提醒</w:t>
      </w:r>
    </w:p>
    <w:p>
      <w:r>
        <w:t>第一，四个市的政策都在 2024 年前后调整过</w:t>
      </w:r>
      <w:hyperlink r:id="rId9">
        <w:r>
          <w:rPr>
            <w:color w:val="8A6D3B"/>
            <w:vertAlign w:val="superscript"/>
          </w:rPr>
          <w:t>[1]</w:t>
        </w:r>
      </w:hyperlink>
      <w:r>
        <w:t>，以后还可能再变，用这份材料时要核对最新的文件</w:t>
      </w:r>
      <w:hyperlink r:id="rId10">
        <w:r>
          <w:rPr>
            <w:color w:val="8A6D3B"/>
            <w:vertAlign w:val="superscript"/>
          </w:rPr>
          <w:t>[2]</w:t>
        </w:r>
      </w:hyperlink>
      <w:hyperlink r:id="rId15">
        <w:r>
          <w:rPr>
            <w:color w:val="8A6D3B"/>
            <w:vertAlign w:val="superscript"/>
          </w:rPr>
          <w:t>[7]</w:t>
        </w:r>
      </w:hyperlink>
      <w:r>
        <w:t>。第二，各市都没有公布补贴的实际发放金额，要比较效果，需要另外找各市的发放数据</w:t>
      </w:r>
      <w:hyperlink r:id="rId11">
        <w:r>
          <w:rPr>
            <w:color w:val="8A6D3B"/>
            <w:vertAlign w:val="superscript"/>
          </w:rPr>
          <w:t>[3]</w:t>
        </w:r>
      </w:hyperlink>
      <w:r>
        <w:t>。第三，乙市的「人才」认定标准由乙市自己定</w:t>
      </w:r>
      <w:hyperlink r:id="rId12">
        <w:r>
          <w:rPr>
            <w:color w:val="8A6D3B"/>
            <w:vertAlign w:val="superscript"/>
          </w:rPr>
          <w:t>[4]</w:t>
        </w:r>
      </w:hyperlink>
      <w:r>
        <w:t>，和其他三个市不是一个口径。</w:t>
      </w:r>
    </w:p>
    <w:p>
      <w:pPr>
        <w:pStyle w:val="Heading1"/>
      </w:pPr>
      <w:r>
        <w:t>参考资料</w:t>
      </w:r>
    </w:p>
    <w:p>
      <w:r>
        <w:t xml:space="preserve">1. </w:t>
      </w:r>
      <w:hyperlink r:id="rId9">
        <w:r>
          <w:rPr>
            <w:color w:val="8A6D3B"/>
          </w:rPr>
          <w:t>《长三角人才政策比较研究（2025）》（虚构）</w:t>
        </w:r>
      </w:hyperlink>
      <w:r>
        <w:t>(转引自 研究报告自述，未列出逐市依据)</w:t>
      </w:r>
      <w:r>
        <w:t xml:space="preserve"> · 二手(B级)</w:t>
      </w:r>
    </w:p>
    <w:p>
      <w:r>
        <w:t xml:space="preserve">2. </w:t>
      </w:r>
      <w:hyperlink r:id="rId10">
        <w:r>
          <w:rPr>
            <w:color w:val="8A6D3B"/>
          </w:rPr>
          <w:t>《甲市人才安居实施办法（2024 年修订）》（虚构）</w:t>
        </w:r>
      </w:hyperlink>
      <w:r>
        <w:t xml:space="preserve"> · 一手(A级)</w:t>
      </w:r>
    </w:p>
    <w:p>
      <w:r>
        <w:t xml:space="preserve">3. </w:t>
      </w:r>
      <w:hyperlink r:id="rId11">
        <w:r>
          <w:rPr>
            <w:color w:val="8A6D3B"/>
          </w:rPr>
          <w:t>《甲市 2025 年人才工作要点》（虚构）</w:t>
        </w:r>
      </w:hyperlink>
      <w:r>
        <w:t xml:space="preserve"> · 机构披露(A−级)</w:t>
      </w:r>
    </w:p>
    <w:p>
      <w:r>
        <w:t xml:space="preserve">4. </w:t>
      </w:r>
      <w:hyperlink r:id="rId12">
        <w:r>
          <w:rPr>
            <w:color w:val="8A6D3B"/>
          </w:rPr>
          <w:t>《乙市高层次人才引进若干措施》（虚构）</w:t>
        </w:r>
      </w:hyperlink>
      <w:r>
        <w:t xml:space="preserve"> · 一手(A级)</w:t>
      </w:r>
    </w:p>
    <w:p>
      <w:r>
        <w:t xml:space="preserve">5. </w:t>
      </w:r>
      <w:hyperlink r:id="rId13">
        <w:r>
          <w:rPr>
            <w:color w:val="8A6D3B"/>
          </w:rPr>
          <w:t>《丙市人才落户实施细则》（虚构）</w:t>
        </w:r>
      </w:hyperlink>
      <w:r>
        <w:t xml:space="preserve"> · 一手(A级)</w:t>
      </w:r>
    </w:p>
    <w:p>
      <w:r>
        <w:t xml:space="preserve">6. </w:t>
      </w:r>
      <w:hyperlink r:id="rId14">
        <w:r>
          <w:rPr>
            <w:color w:val="8A6D3B"/>
          </w:rPr>
          <w:t>《丙市统计公报 2024》（虚构）</w:t>
        </w:r>
      </w:hyperlink>
      <w:r>
        <w:t xml:space="preserve"> · 一手(A级)</w:t>
      </w:r>
    </w:p>
    <w:p>
      <w:r>
        <w:t xml:space="preserve">7. </w:t>
      </w:r>
      <w:hyperlink r:id="rId15">
        <w:r>
          <w:rPr>
            <w:color w:val="8A6D3B"/>
          </w:rPr>
          <w:t>《丁市青年人才住房保障办法》（虚构）</w:t>
        </w:r>
      </w:hyperlink>
      <w:r>
        <w:t xml:space="preserve"> · 一手(A级)</w:t>
      </w:r>
    </w:p>
    <w:p>
      <w:r>
        <w:t xml:space="preserve">8. </w:t>
      </w:r>
      <w:hyperlink r:id="rId16">
        <w:r>
          <w:rPr>
            <w:color w:val="8A6D3B"/>
          </w:rPr>
          <w:t>《丁市人才服务中心年报 2024》（虚构）</w:t>
        </w:r>
      </w:hyperlink>
      <w:r>
        <w:t xml:space="preserve"> · 机构披露(A−级)</w:t>
      </w:r>
    </w:p>
    <w:p>
      <w:r>
        <w:rPr>
          <w:sz w:val="18"/>
        </w:rPr>
        <w:t>来源层级:A=官方/院校一手文件,A−=机构自报披露,B=行业协会/媒体/平台(二手)。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yangtze-talent/comparative-study-2025.html" TargetMode="External"/><Relationship Id="rId10" Type="http://schemas.openxmlformats.org/officeDocument/2006/relationships/hyperlink" Target="https://example.org/yangtze-talent/jia-housing-2024.pdf" TargetMode="External"/><Relationship Id="rId11" Type="http://schemas.openxmlformats.org/officeDocument/2006/relationships/hyperlink" Target="https://example.org/yangtze-talent/jia-work-points-2025.pdf" TargetMode="External"/><Relationship Id="rId12" Type="http://schemas.openxmlformats.org/officeDocument/2006/relationships/hyperlink" Target="https://example.org/yangtze-talent/yi-high-level-2024.pdf" TargetMode="External"/><Relationship Id="rId13" Type="http://schemas.openxmlformats.org/officeDocument/2006/relationships/hyperlink" Target="https://example.org/yangtze-talent/bing-hukou-2024.pdf" TargetMode="External"/><Relationship Id="rId14" Type="http://schemas.openxmlformats.org/officeDocument/2006/relationships/hyperlink" Target="https://example.org/yangtze-talent/bing-bulletin-2024.pdf" TargetMode="External"/><Relationship Id="rId15" Type="http://schemas.openxmlformats.org/officeDocument/2006/relationships/hyperlink" Target="https://example.org/yangtze-talent/ding-apartments-2024.pdf" TargetMode="External"/><Relationship Id="rId16" Type="http://schemas.openxmlformats.org/officeDocument/2006/relationships/hyperlink" Target="https://example.org/yangtze-talent/ding-service-centre-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