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2023 年县域充电设施调研（旧稿，虚构）</w:t>
      </w:r>
    </w:p>
    <w:p>
      <w:r>
        <w:t xml:space="preserve">一、调研范围：H 省东部三个地市的十二个县。</w:t>
      </w:r>
    </w:p>
    <w:p>
      <w:r>
        <w:t xml:space="preserve">二、主要发现：县城公共快充站基本建成，乡镇站点少，村里几乎没有。</w:t>
      </w:r>
    </w:p>
    <w:p>
      <w:r>
        <w:t xml:space="preserve">三、问题：部分新建站点利用率低，运营单位亏损。</w:t>
      </w:r>
    </w:p>
    <w:p>
      <w:r>
        <w:t xml:space="preserve">说明：本文件为虚构样例，所有地名与数字均为编造。</w:t>
      </w:r>
    </w:p>
    <w:sectPr/>
  </w:body>
</w:document>
</file>