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640B" w:rsidRDefault="00000000">
      <w:pPr>
        <w:rPr>
          <w:lang w:eastAsia="zh-CN"/>
        </w:rPr>
        <w:keepNext/>
        <w:spacing w:before="240" w:after="0" w:line="480" w:lineRule="auto"/>
        <w:jc w:val="center"/>
      </w:pPr>
      <w:r>
        <w:rPr>
          <w:rFonts w:ascii="Times New Roman" w:eastAsia="黑体" w:hAnsi="Times New Roman" w:cs="Times New Roman"/>
          <w:b/>
          <w:sz w:val="36"/>
          <w:lang w:eastAsia="zh-CN"/>
          <w:szCs w:val="36"/>
        </w:rPr>
        <w:t>尺度先验驱动的路侧小目标检测方法</w:t>
      </w:r>
    </w:p>
    <w:p w:rsidR="00C9640B" w:rsidRDefault="00000000">
      <w:pPr>
        <w:rPr>
          <w:lang w:eastAsia="zh-CN"/>
        </w:rPr>
        <w:keepNext/>
        <w:spacing w:before="0" w:after="0" w:line="300" w:lineRule="auto"/>
        <w:jc w:val="center"/>
      </w:pPr>
      <w:r>
        <w:rPr>
          <w:rFonts w:ascii="Times New Roman" w:eastAsia="楷体" w:hAnsi="Times New Roman" w:cs="Times New Roman"/>
          <w:b/>
          <w:sz w:val="30"/>
          <w:lang w:eastAsia="zh-CN"/>
          <w:szCs w:val="30"/>
        </w:rPr>
        <w:t>刘华硕</w:t>
      </w:r>
      <w:r>
        <w:rPr>
          <w:rFonts w:ascii="Times New Roman" w:eastAsia="楷体" w:hAnsi="Times New Roman" w:cs="Times New Roman"/>
          <w:b/>
          <w:sz w:val="30"/>
          <w:lang w:eastAsia="zh-CN"/>
          <w:vertAlign w:val="superscript"/>
          <w:szCs w:val="30"/>
        </w:rPr>
        <w:t>1</w:t>
      </w:r>
      <w:r>
        <w:rPr>
          <w:rFonts w:ascii="Times New Roman" w:eastAsia="楷体" w:hAnsi="Times New Roman" w:cs="Times New Roman"/>
          <w:b/>
          <w:sz w:val="30"/>
          <w:lang w:eastAsia="zh-CN"/>
          <w:szCs w:val="30"/>
        </w:rPr>
        <w:t>，王金聪</w:t>
      </w:r>
      <w:r>
        <w:rPr>
          <w:rFonts w:ascii="Times New Roman" w:eastAsia="楷体" w:hAnsi="Times New Roman" w:cs="Times New Roman"/>
          <w:b/>
          <w:sz w:val="30"/>
          <w:lang w:eastAsia="zh-CN"/>
          <w:vertAlign w:val="superscript"/>
          <w:szCs w:val="30"/>
        </w:rPr>
        <w:t>1，2</w:t>
      </w:r>
      <w:r>
        <w:rPr>
          <w:rFonts w:ascii="Times New Roman" w:eastAsia="楷体" w:hAnsi="Times New Roman" w:cs="Times New Roman"/>
          <w:b/>
          <w:sz w:val="30"/>
          <w:lang w:eastAsia="zh-CN"/>
          <w:szCs w:val="30"/>
        </w:rPr>
        <w:t>，任洪娥</w:t>
      </w:r>
      <w:r>
        <w:rPr>
          <w:rFonts w:ascii="Times New Roman" w:eastAsia="楷体" w:hAnsi="Times New Roman" w:cs="Times New Roman"/>
          <w:b/>
          <w:sz w:val="30"/>
          <w:lang w:eastAsia="zh-CN"/>
          <w:vertAlign w:val="superscript"/>
          <w:szCs w:val="30"/>
        </w:rPr>
        <w:t>1，2</w:t>
      </w:r>
      <w:r>
        <w:rPr>
          <w:rFonts w:ascii="Times New Roman" w:eastAsia="楷体" w:hAnsi="Times New Roman" w:cs="Times New Roman"/>
          <w:b/>
          <w:sz w:val="30"/>
          <w:lang w:eastAsia="zh-CN"/>
          <w:szCs w:val="30"/>
        </w:rPr>
        <w:t>，赵龙</w:t>
      </w:r>
      <w:r>
        <w:rPr>
          <w:rFonts w:ascii="Times New Roman" w:eastAsia="楷体" w:hAnsi="Times New Roman" w:cs="Times New Roman"/>
          <w:b/>
          <w:sz w:val="30"/>
          <w:lang w:eastAsia="zh-CN"/>
          <w:vertAlign w:val="superscript"/>
          <w:szCs w:val="30"/>
        </w:rPr>
        <w:t>2，3</w:t>
      </w:r>
    </w:p>
    <w:p w:rsidR="00C9640B" w:rsidRDefault="00000000">
      <w:pPr>
        <w:rPr>
          <w:lang w:eastAsia="zh-CN"/>
        </w:rPr>
        <w:keepNext/>
        <w:spacing w:before="0" w:after="0" w:line="276" w:lineRule="auto"/>
        <w:jc w:val="center"/>
      </w:pPr>
      <w:r>
        <w:rPr>
          <w:rFonts w:ascii="Times New Roman" w:hAnsi="Times New Roman" w:eastAsia="宋体" w:cs="Times New Roman"/>
          <w:sz w:val="18"/>
          <w:lang w:eastAsia="zh-CN"/>
          <w:szCs w:val="18"/>
        </w:rPr>
        <w:t>（1 东北林业大学，黑龙江 哈尔滨 150040；2 黑龙江省林业智能装备工程研究中心，黑龙江 哈尔滨 150040；3 黑龙江东方学院，黑龙江 哈尔滨 150066）</w:t>
      </w:r>
    </w:p>
    <w:p w:rsidR="00C9640B" w:rsidRDefault="00000000">
      <w:pPr>
        <w:rPr>
          <w:lang w:eastAsia="zh-CN"/>
        </w:rPr>
        <w:spacing w:before="0" w:after="0" w:line="276" w:lineRule="auto"/>
        <w:jc w:val="both"/>
      </w:pPr>
      <w:r>
        <w:rPr>
          <w:rFonts w:ascii="Times New Roman" w:eastAsia="楷体" w:hAnsi="Times New Roman" w:cs="Times New Roman"/>
          <w:b/>
          <w:lang w:eastAsia="zh-CN"/>
          <w:sz w:val="20"/>
          <w:szCs w:val="20"/>
        </w:rPr>
        <w:t>摘  要：</w:t>
      </w:r>
      <w:r>
        <w:rPr>
          <w:rFonts w:ascii="Times New Roman" w:hAnsi="Times New Roman" w:eastAsia="楷体" w:cs="Times New Roman"/>
          <w:lang w:eastAsia="zh-CN"/>
          <w:sz w:val="20"/>
          <w:szCs w:val="20"/>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rsidR="00C9640B" w:rsidRDefault="00000000">
      <w:pPr>
        <w:rPr>
          <w:lang w:eastAsia="zh-CN"/>
        </w:rPr>
        <w:spacing w:before="0" w:after="0" w:line="276" w:lineRule="auto"/>
        <w:jc w:val="both"/>
      </w:pPr>
      <w:r>
        <w:rPr>
          <w:rFonts w:ascii="Times New Roman" w:eastAsia="楷体" w:hAnsi="Times New Roman" w:cs="Times New Roman"/>
          <w:b/>
          <w:lang w:eastAsia="zh-CN"/>
          <w:sz w:val="20"/>
          <w:szCs w:val="20"/>
        </w:rPr>
        <w:t>关键词：</w:t>
      </w:r>
      <w:r>
        <w:rPr>
          <w:rFonts w:ascii="Times New Roman" w:hAnsi="Times New Roman" w:eastAsia="楷体" w:cs="Times New Roman"/>
          <w:lang w:eastAsia="zh-CN"/>
          <w:sz w:val="20"/>
          <w:szCs w:val="20"/>
        </w:rPr>
        <w:t>路侧感知；小目标检测；YOLO11n；高分辨率特征；动态检测头；车路协同</w:t>
      </w:r>
    </w:p>
    <w:p w:rsidR="00C9640B" w:rsidRDefault="00000000">
      <w:pPr>
        <w:spacing w:before="0" w:after="0" w:line="276" w:lineRule="auto"/>
        <w:jc w:val="left"/>
      </w:pPr>
      <w:r>
        <w:rPr>
          <w:rFonts w:ascii="Times New Roman" w:eastAsia="宋体" w:hAnsi="Times New Roman" w:cs="Times New Roman"/>
          <w:b/>
          <w:sz w:val="18"/>
          <w:szCs w:val="18"/>
        </w:rPr>
        <w:t>中图分类号：</w:t>
      </w:r>
      <w:r>
        <w:rPr>
          <w:rFonts w:ascii="Times New Roman" w:hAnsi="Times New Roman" w:eastAsia="宋体" w:cs="Times New Roman"/>
          <w:sz w:val="18"/>
          <w:szCs w:val="18"/>
        </w:rPr>
        <w:t>TP391.4　　　　文献标志码：A</w:t>
      </w:r>
    </w:p>
    <w:p w:rsidR="00C9640B" w:rsidRDefault="00000000">
      <w:pPr>
        <w:keepNext/>
        <w:spacing w:before="120" w:after="0" w:line="360" w:lineRule="auto"/>
        <w:jc w:val="center"/>
      </w:pPr>
      <w:r>
        <w:rPr>
          <w:rFonts w:ascii="Times New Roman" w:eastAsia="Times New Roman" w:hAnsi="Times New Roman" w:cs="Times New Roman"/>
          <w:b w:val="1"/>
          <w:sz w:val="32"/>
          <w:szCs w:val="32"/>
          <w:bCs w:val="1"/>
        </w:rPr>
        <w:t>Scale-Prior Small-Object Detection for Roadside Perception</w:t>
      </w:r>
    </w:p>
    <w:p w:rsidR="00C9640B" w:rsidRDefault="00000000">
      <w:pPr>
        <w:keepNext/>
        <w:spacing w:before="0" w:after="0" w:line="276" w:lineRule="auto"/>
        <w:jc w:val="center"/>
      </w:pPr>
      <w:r>
        <w:rPr>
          <w:rFonts w:ascii="Times New Roman" w:eastAsia="Times New Roman" w:hAnsi="Times New Roman" w:cs="Times New Roman"/>
          <w:b/>
          <w:sz w:val="22"/>
          <w:szCs w:val="22"/>
        </w:rPr>
        <w:t>LIU Huashuo</w:t>
      </w:r>
      <w:r>
        <w:rPr>
          <w:rFonts w:ascii="Times New Roman" w:eastAsia="Times New Roman" w:hAnsi="Times New Roman" w:cs="Times New Roman"/>
          <w:b/>
          <w:vertAlign w:val="superscript"/>
          <w:sz w:val="22"/>
          <w:szCs w:val="22"/>
        </w:rPr>
        <w:t>1</w:t>
      </w:r>
      <w:r>
        <w:rPr>
          <w:rFonts w:ascii="Times New Roman" w:eastAsia="Times New Roman" w:hAnsi="Times New Roman" w:cs="Times New Roman"/>
          <w:b/>
          <w:sz w:val="22"/>
          <w:szCs w:val="22"/>
        </w:rPr>
        <w:t>, WANG Jincong</w:t>
      </w:r>
      <w:r>
        <w:rPr>
          <w:rFonts w:ascii="Times New Roman" w:eastAsia="Times New Roman" w:hAnsi="Times New Roman" w:cs="Times New Roman"/>
          <w:b/>
          <w:vertAlign w:val="superscript"/>
          <w:sz w:val="22"/>
          <w:szCs w:val="22"/>
        </w:rPr>
        <w:t>1,2</w:t>
      </w:r>
      <w:r>
        <w:rPr>
          <w:rFonts w:ascii="Times New Roman" w:eastAsia="Times New Roman" w:hAnsi="Times New Roman" w:cs="Times New Roman"/>
          <w:b/>
          <w:sz w:val="22"/>
          <w:szCs w:val="22"/>
        </w:rPr>
        <w:t>, REN Hong-e</w:t>
      </w:r>
      <w:r>
        <w:rPr>
          <w:rFonts w:ascii="Times New Roman" w:eastAsia="Times New Roman" w:hAnsi="Times New Roman" w:cs="Times New Roman"/>
          <w:b/>
          <w:vertAlign w:val="superscript"/>
          <w:sz w:val="22"/>
          <w:szCs w:val="22"/>
        </w:rPr>
        <w:t>1,2</w:t>
      </w:r>
      <w:r>
        <w:rPr>
          <w:rFonts w:ascii="Times New Roman" w:eastAsia="Times New Roman" w:hAnsi="Times New Roman" w:cs="Times New Roman"/>
          <w:b/>
          <w:sz w:val="22"/>
          <w:szCs w:val="22"/>
        </w:rPr>
        <w:t>, ZHAO Long</w:t>
      </w:r>
      <w:r>
        <w:rPr>
          <w:rFonts w:ascii="Times New Roman" w:eastAsia="Times New Roman" w:hAnsi="Times New Roman" w:cs="Times New Roman"/>
          <w:b/>
          <w:vertAlign w:val="superscript"/>
          <w:sz w:val="22"/>
          <w:szCs w:val="22"/>
        </w:rPr>
        <w:t>2,3</w:t>
      </w:r>
    </w:p>
    <w:p w:rsidR="00C9640B" w:rsidRDefault="00000000">
      <w:pPr>
        <w:keepNext/>
        <w:spacing w:before="0" w:after="0" w:line="276" w:lineRule="auto"/>
        <w:jc w:val="center"/>
      </w:pPr>
      <w:r>
        <w:rPr>
          <w:rFonts w:ascii="Times New Roman" w:eastAsia="Times New Roman" w:hAnsi="Times New Roman" w:cs="Times New Roman"/>
          <w:sz w:val="18"/>
          <w:szCs w:val="18"/>
        </w:rPr>
        <w:t>(1 Northeast Forestry University, Harbin 150040, China; 2 Heilongjiang Engineering Research Center of Forestry Intelligent Equipment, Harbin 150040, China; 3 East University of Heilongjiang, Harbin 150066, China)</w:t>
      </w:r>
    </w:p>
    <w:p w:rsidR="00C9640B" w:rsidRDefault="00000000">
      <w:pPr>
        <w:spacing w:before="0" w:after="0" w:line="276" w:lineRule="auto"/>
        <w:jc w:val="both"/>
      </w:pPr>
      <w:r>
        <w:rPr>
          <w:rFonts w:ascii="Times New Roman" w:eastAsia="Times New Roman" w:hAnsi="Times New Roman" w:cs="Times New Roman"/>
          <w:b/>
          <w:sz w:val="20"/>
          <w:szCs w:val="20"/>
        </w:rPr>
        <w:t xml:space="preserve">Abstract: </w:t>
      </w:r>
      <w:r>
        <w:rPr>
          <w:rFonts w:ascii="Times New Roman" w:eastAsia="Times New Roman" w:hAnsi="Times New Roman" w:cs="Times New Roman"/>
          <w:sz w:val="20"/>
          <w:szCs w:val="20"/>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r w:rsidR="00512718" w:rsidRPr="00512718">
        <w:rPr>
          <w:rFonts w:ascii="Times New Roman" w:hAnsi="Times New Roman" w:eastAsia="Times New Roman" w:cs="Times New Roman"/>
          <w:sz w:val="20"/>
          <w:szCs w:val="20"/>
        </w:rPr>
        <w:t xml:space="preserve"> </w:t>
      </w:r>
      <w:r w:rsidR="00512718" w:rsidRPr="00512718">
        <w:rPr>
          <w:rFonts w:ascii="Times New Roman" w:eastAsia="Times New Roman" w:hAnsi="Times New Roman" w:cs="Times New Roman"/>
          <w:sz w:val="20"/>
          <w:szCs w:val="20"/>
        </w:rPr>
        <w:t>The study demonstrates that configuring the prediction resolution based on the true scale distribution of roadside data can more stably improve small object detection compared to indiscriminate stacking of attention modules.</w:t>
      </w:r>
    </w:p>
    <w:p w:rsidR="00C9640B" w:rsidRDefault="00000000">
      <w:pPr>
        <w:spacing w:before="0" w:after="0" w:line="276" w:lineRule="auto"/>
        <w:jc w:val="both"/>
        <w:sectPr>
          <w:headerReference w:type="default" r:id="rId17"/>
          <w:footerReference w:type="first" r:id="rId21"/>
          <w:footerReference w:type="default" r:id="rId18"/>
          <w:type w:val="continuous"/>
          <w:pgSz w:w="11906" w:h="16838"/>
          <w:pgMar w:top="1814" w:right="1134" w:bottom="1418" w:left="1134" w:header="1418" w:footer="992" w:gutter="0"/>
          <w:docGrid w:linePitch="312" w:charSpace="1940"/>
          <w:cols w:space="720" w:num="1"/>
          <w:titlePg/>
        </w:sectPr>
      </w:pPr>
      <w:r>
        <w:rPr>
          <w:rFonts w:ascii="Times New Roman" w:eastAsia="Times New Roman" w:hAnsi="Times New Roman" w:cs="Times New Roman"/>
          <w:b/>
          <w:sz w:val="20"/>
          <w:szCs w:val="20"/>
        </w:rPr>
        <w:t xml:space="preserve">Key words: </w:t>
      </w:r>
      <w:r>
        <w:rPr>
          <w:rFonts w:ascii="Times New Roman" w:eastAsia="Times New Roman" w:hAnsi="Times New Roman" w:cs="Times New Roman"/>
          <w:sz w:val="20"/>
          <w:szCs w:val="20"/>
        </w:rPr>
        <w:t>roadside perception; small-object detection; YOLO11n; high-resolution feature; dynamic head; vehicle–infrastructure cooperation</w:t>
      </w:r>
    </w:p>
    <w:p w:rsidR="00C9640B" w:rsidRDefault="00000000">
      <w:pPr>
        <w:pStyle w:val="1"/>
        <w:keepNext/>
        <w:spacing w:before="120" w:after="0" w:line="300" w:lineRule="auto"/>
        <w:jc w:val="left"/>
      </w:pPr>
      <w:r>
        <w:rPr>
          <w:rFonts w:ascii="Times New Roman" w:eastAsia="黑体" w:hAnsi="Times New Roman" w:cs="Times New Roman"/>
          <w:sz w:val="24"/>
          <w:szCs w:val="24"/>
        </w:rPr>
        <w:t>0　引言</w:t>
      </w:r>
    </w:p>
    <w:p w:rsidR="00C9640B" w:rsidRDefault="00000000">
      <w:pPr>
        <w:spacing w:before="0" w:after="0" w:line="276" w:lineRule="auto"/>
        <w:ind w:firstLine="420"/>
        <w:jc w:val="both"/>
      </w:pPr>
      <w:r>
        <w:rPr>
          <w:rFonts w:ascii="Times New Roman" w:hAnsi="Times New Roman" w:eastAsia="宋体" w:cs="Times New Roman"/>
          <w:sz w:val="21"/>
          <w:szCs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rsidR="00C9640B" w:rsidRDefault="00000000">
      <w:pPr>
        <w:spacing w:before="0" w:after="0" w:line="276" w:lineRule="auto"/>
        <w:ind w:firstLine="420"/>
        <w:jc w:val="both"/>
      </w:pPr>
      <w:r>
        <w:rPr>
          <w:rFonts w:ascii="Times New Roman" w:hAnsi="Times New Roman" w:eastAsia="宋体" w:cs="Times New Roman"/>
          <w:sz w:val="21"/>
          <w:szCs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对小目标检测方法的系统综述进一步指出，多尺度特征表达与上下文聚合仍是该方向的核心瓶颈[17]。</w:t>
      </w:r>
    </w:p>
    <w:p w:rsidR="00C9640B" w:rsidRDefault="00000000">
      <w:pPr>
        <w:spacing w:before="0" w:after="0" w:line="276" w:lineRule="auto"/>
        <w:ind w:firstLine="420"/>
        <w:jc w:val="both"/>
      </w:pPr>
      <w:r>
        <w:rPr>
          <w:rFonts w:ascii="Times New Roman" w:hAnsi="Times New Roman" w:eastAsia="宋体" w:cs="Times New Roman"/>
          <w:sz w:val="21"/>
          <w:szCs w:val="21"/>
        </w:rPr>
        <w:lastRenderedPageBreak/>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rsidR="00C9640B" w:rsidRDefault="00000000">
      <w:pPr>
        <w:spacing w:before="0" w:after="0" w:line="276" w:lineRule="auto"/>
        <w:ind w:firstLine="420"/>
        <w:jc w:val="both"/>
      </w:pPr>
      <w:r>
        <w:rPr>
          <w:rFonts w:ascii="Times New Roman" w:hAnsi="Times New Roman" w:eastAsia="宋体" w:cs="Times New Roman"/>
          <w:sz w:val="21"/>
          <w:szCs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rsidR="00C9640B" w:rsidRDefault="00000000">
      <w:pPr>
        <w:pStyle w:val="1"/>
        <w:keepNext/>
        <w:spacing w:before="120" w:after="0" w:line="300" w:lineRule="auto"/>
        <w:jc w:val="left"/>
      </w:pPr>
      <w:r>
        <w:rPr>
          <w:rFonts w:ascii="Times New Roman" w:eastAsia="黑体" w:hAnsi="Times New Roman" w:cs="Times New Roman"/>
          <w:sz w:val="24"/>
          <w:szCs w:val="24"/>
        </w:rPr>
        <w:t>1　相关工作</w:t>
      </w:r>
    </w:p>
    <w:p w:rsidR="00C9640B" w:rsidRDefault="00000000">
      <w:pPr>
        <w:pStyle w:val="21"/>
        <w:keepNext/>
        <w:spacing w:before="60" w:after="0" w:line="276" w:lineRule="auto"/>
        <w:jc w:val="left"/>
      </w:pPr>
      <w:r>
        <w:rPr>
          <w:rFonts w:ascii="Times New Roman" w:eastAsia="黑体" w:hAnsi="Times New Roman" w:cs="Times New Roman"/>
          <w:sz w:val="21"/>
          <w:szCs w:val="21"/>
        </w:rPr>
        <w:t>1.1　路侧与车路协同视觉感知</w:t>
      </w:r>
    </w:p>
    <w:p w:rsidR="00C9640B" w:rsidRDefault="00000000">
      <w:pPr>
        <w:spacing w:before="0" w:after="0" w:line="276" w:lineRule="auto"/>
        <w:ind w:firstLine="420"/>
        <w:jc w:val="both"/>
      </w:pPr>
      <w:r>
        <w:rPr>
          <w:rFonts w:ascii="Times New Roman" w:hAnsi="Times New Roman" w:eastAsia="宋体" w:cs="Times New Roman"/>
          <w:sz w:val="21"/>
          <w:szCs w:val="21"/>
        </w:rPr>
        <w:t>DAIR-V2X 提供车端、路侧及协同视角数据，为真实交通环境中的车路协同感知研究提供了公开基准[18]。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rsidR="00C9640B" w:rsidRDefault="00000000">
      <w:pPr>
        <w:pStyle w:val="21"/>
        <w:keepNext/>
        <w:spacing w:before="60" w:after="0" w:line="276" w:lineRule="auto"/>
        <w:jc w:val="left"/>
      </w:pPr>
      <w:r>
        <w:rPr>
          <w:rFonts w:ascii="Times New Roman" w:eastAsia="黑体" w:hAnsi="Times New Roman" w:cs="Times New Roman"/>
          <w:sz w:val="21"/>
          <w:szCs w:val="21"/>
        </w:rPr>
        <w:t>1.2　实时检测与小目标表征</w:t>
      </w:r>
    </w:p>
    <w:p w:rsidR="00C9640B" w:rsidRDefault="00000000">
      <w:pPr>
        <w:spacing w:before="0" w:after="0" w:line="276" w:lineRule="auto"/>
        <w:ind w:firstLine="420"/>
        <w:jc w:val="both"/>
      </w:pPr>
      <w:r>
        <w:rPr>
          <w:rFonts w:ascii="Times New Roman" w:hAnsi="Times New Roman" w:eastAsia="宋体" w:cs="Times New Roman"/>
          <w:sz w:val="21"/>
          <w:szCs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的近期研究也证明，高分辨率浅层信息对小目标检测具有稳定价值[21-22]。EfficientDet 通过 BiFPN 进行可扩展的多尺度特征融合，进一步验证了跨层聚合对精度—效率权衡的价值[23]。因此，本文选择在单次前向过程中增加 P2 分支，而非引入多裁剪推理。</w:t>
      </w:r>
    </w:p>
    <w:p w:rsidR="00C9640B" w:rsidRDefault="00000000">
      <w:pPr>
        <w:pStyle w:val="21"/>
        <w:keepNext/>
        <w:spacing w:before="60" w:after="0" w:line="276" w:lineRule="auto"/>
        <w:jc w:val="left"/>
      </w:pPr>
      <w:r>
        <w:rPr>
          <w:rFonts w:ascii="Times New Roman" w:eastAsia="黑体" w:hAnsi="Times New Roman" w:cs="Times New Roman"/>
          <w:sz w:val="21"/>
          <w:szCs w:val="21"/>
        </w:rPr>
        <w:t>1.3　注意力与回归损失</w:t>
      </w:r>
    </w:p>
    <w:p w:rsidR="00C9640B" w:rsidRDefault="00000000">
      <w:pPr>
        <w:spacing w:before="0" w:after="0" w:line="276" w:lineRule="auto"/>
        <w:ind w:firstLine="420"/>
        <w:jc w:val="both"/>
      </w:pPr>
      <w:r>
        <w:rPr>
          <w:rFonts w:ascii="Times New Roman" w:hAnsi="Times New Roman" w:eastAsia="宋体" w:cs="Times New Roman"/>
          <w:sz w:val="21"/>
          <w:szCs w:val="21"/>
        </w:rPr>
        <w:t>DyHead 将尺度、空间与任务注意力统一到检测头中，可根据目标尺度和位置动态调整多层响应[15]。通道注意力方面，SENet 首先以全局平均池化建模通道权重[24]，CBAM 进一步将通道与空间注意力串联[25]，ECA-Net 则以一维卷积在更低代价下获得等价效果[26]。CoordAttention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rsidR="00C9640B" w:rsidRDefault="00000000">
      <w:pPr>
        <w:pStyle w:val="1"/>
        <w:keepNext/>
        <w:spacing w:before="120" w:after="0" w:line="300" w:lineRule="auto"/>
        <w:jc w:val="left"/>
      </w:pPr>
      <w:r>
        <w:rPr>
          <w:rFonts w:ascii="Times New Roman" w:eastAsia="黑体" w:hAnsi="Times New Roman" w:cs="Times New Roman"/>
          <w:sz w:val="24"/>
          <w:szCs w:val="24"/>
        </w:rPr>
        <w:t>2　数据尺度审计与设计准则</w:t>
      </w:r>
    </w:p>
    <w:p w:rsidR="00C9640B" w:rsidRDefault="00000000">
      <w:pPr>
        <w:pStyle w:val="21"/>
        <w:keepNext/>
        <w:spacing w:before="60" w:after="0" w:line="276" w:lineRule="auto"/>
        <w:jc w:val="left"/>
      </w:pPr>
      <w:r>
        <w:rPr>
          <w:rFonts w:ascii="Times New Roman" w:eastAsia="黑体" w:hAnsi="Times New Roman" w:cs="Times New Roman"/>
          <w:sz w:val="21"/>
          <w:szCs w:val="21"/>
        </w:rPr>
        <w:t>2.1　数据集与划分</w:t>
      </w:r>
    </w:p>
    <w:p w:rsidR="00C9640B" w:rsidRDefault="00000000">
      <w:pPr>
        <w:spacing w:before="0" w:after="0" w:line="276" w:lineRule="auto"/>
        <w:ind w:firstLine="420"/>
        <w:jc w:val="both"/>
      </w:pPr>
      <w:r>
        <w:rPr>
          <w:rFonts w:ascii="Times New Roman" w:hAnsi="Times New Roman" w:eastAsia="宋体" w:cs="Times New Roman"/>
          <w:sz w:val="21"/>
          <w:szCs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表1　DAIR-V2X-I 数据划分</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2041"/>
        <w:gridCol w:w="2041"/>
        <w:gridCol w:w="2381"/>
        <w:gridCol w:w="2494"/>
      </w:tblGrid>
      <w:tr w:rsidR="00C9640B">
        <w:trPr>
          <w:tblHeader/>
          <w:jc w:val="center"/>
        </w:trPr>
        <w:tc>
          <w:tcPr>
            <w:tcW w:w="204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lastRenderedPageBreak/>
              <w:t>子集</w:t>
            </w:r>
          </w:p>
        </w:tc>
        <w:tc>
          <w:tcPr>
            <w:tcW w:w="204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图像数/幅</w:t>
            </w:r>
          </w:p>
        </w:tc>
        <w:tc>
          <w:tcPr>
            <w:tcW w:w="238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实例数/个</w:t>
            </w:r>
          </w:p>
        </w:tc>
        <w:tc>
          <w:tcPr>
            <w:tcW w:w="249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占全部图像/%</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训练集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4940</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227831</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验证集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1411</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65255</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测试集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707</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32628</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合计</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7058</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325714</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100.0</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2.2　尺度分布</w:t>
      </w:r>
    </w:p>
    <w:p w:rsidR="00C9640B" w:rsidRDefault="00000000">
      <w:pPr>
        <w:spacing w:before="0" w:after="0" w:line="276" w:lineRule="auto"/>
        <w:ind w:firstLine="420"/>
        <w:jc w:val="both"/>
      </w:pPr>
      <w:r>
        <w:rPr>
          <w:rFonts w:ascii="Times New Roman" w:hAnsi="Times New Roman" w:eastAsia="宋体" w:cs="Times New Roman"/>
          <w:sz w:val="21"/>
          <w:szCs w:val="21"/>
        </w:rPr>
        <w:t>参照 COCO 中面积阈值并补充短边统计[27]，分别计算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表2　640×640 输入下的尺度统计</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2438"/>
        <w:gridCol w:w="1814"/>
        <w:gridCol w:w="1587"/>
        <w:gridCol w:w="3118"/>
      </w:tblGrid>
      <w:tr w:rsidR="00C9640B">
        <w:trPr>
          <w:tblHeader/>
          <w:jc w:val="center"/>
        </w:trPr>
        <w:tc>
          <w:tcPr>
            <w:tcW w:w="243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判据</w:t>
            </w:r>
          </w:p>
        </w:tc>
        <w:tc>
          <w:tcPr>
            <w:tcW w:w="181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实例数/个</w:t>
            </w:r>
          </w:p>
        </w:tc>
        <w:tc>
          <w:tcPr>
            <w:tcW w:w="158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占比/%</w:t>
            </w:r>
          </w:p>
        </w:tc>
        <w:tc>
          <w:tcPr>
            <w:tcW w:w="311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结构含义</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面积 &lt; 32² px²</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259421</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79.65</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总体面积较小</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短边 &lt; 16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223453</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68.60</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极端像素稀缺</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短边 &lt; 32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285172</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87.55</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大多数目标为小尺度</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宽、高均 &lt; 32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183595</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56.37</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双向均缺少细节</w:t>
            </w:r>
          </w:p>
        </w:tc>
      </w:tr>
    </w:tbl>
    <w:p w:rsidR="00C9640B" w:rsidRDefault="00000000">
      <w:pPr>
        <w:spacing w:before="0" w:after="0" w:line="240" w:lineRule="auto"/>
        <w:jc w:val="center"/>
      </w:pPr>
      <w:r>
        <w:rPr>
          <w:noProof/>
        </w:rPr>
        <w:drawing>
          <wp:inline distT="0" distB="0" distL="0" distR="0">
            <wp:extent cx="5652000" cy="3401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ale_distribution.png"/>
                    <pic:cNvPicPr/>
                  </pic:nvPicPr>
                  <pic:blipFill>
                    <a:blip r:embed="rId8"/>
                    <a:stretch>
                      <a:fillRect/>
                    </a:stretch>
                  </pic:blipFill>
                  <pic:spPr>
                    <a:xfrm>
                      <a:off x="0" y="0"/>
                      <a:ext cx="5652000" cy="3401644"/>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图1　验证集各类别目标短边分布（标注值为短边小于32像素的比例）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2.3　从统计到结构的推导</w:t>
      </w:r>
    </w:p>
    <w:p w:rsidR="00C9640B" w:rsidRDefault="00000000">
      <w:pPr>
        <w:spacing w:before="0" w:after="0" w:line="276" w:lineRule="auto"/>
        <w:ind w:firstLine="420"/>
        <w:jc w:val="both"/>
      </w:pPr>
      <w:r>
        <w:rPr>
          <w:rFonts w:ascii="Times New Roman" w:hAnsi="Times New Roman" w:eastAsia="宋体" w:cs="Times New Roman"/>
          <w:sz w:val="21"/>
          <w:szCs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（1）</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lastRenderedPageBreak/>
        <w:t>式中，d 为输入图像中的目标尺度，rₗ 为第 l 层的下采样倍数，dₗ 为其在对应特征图上的近似投影尺度。</w:t>
      </w:r>
    </w:p>
    <w:p w:rsidR="00C9640B" w:rsidRDefault="00000000">
      <w:pPr>
        <w:pStyle w:val="1"/>
        <w:keepNext/>
        <w:spacing w:before="120" w:after="0" w:line="300" w:lineRule="auto"/>
        <w:jc w:val="left"/>
      </w:pPr>
      <w:r>
        <w:rPr>
          <w:rFonts w:ascii="Times New Roman" w:eastAsia="黑体" w:hAnsi="Times New Roman" w:cs="Times New Roman"/>
          <w:sz w:val="24"/>
          <w:szCs w:val="24"/>
        </w:rPr>
        <w:t>3　YOLO11n-DWCA-P2 方法</w:t>
      </w:r>
    </w:p>
    <w:p w:rsidR="00C9640B" w:rsidRDefault="00000000">
      <w:pPr>
        <w:pStyle w:val="21"/>
        <w:keepNext/>
        <w:spacing w:before="60" w:after="0" w:line="276" w:lineRule="auto"/>
        <w:jc w:val="left"/>
      </w:pPr>
      <w:r>
        <w:rPr>
          <w:rFonts w:ascii="Times New Roman" w:eastAsia="黑体" w:hAnsi="Times New Roman" w:cs="Times New Roman"/>
          <w:sz w:val="21"/>
          <w:szCs w:val="21"/>
        </w:rPr>
        <w:t>3.1　总体架构</w:t>
      </w:r>
    </w:p>
    <w:p w:rsidR="00C9640B" w:rsidRDefault="00000000">
      <w:pPr>
        <w:spacing w:before="0" w:after="0" w:line="276" w:lineRule="auto"/>
        <w:ind w:firstLine="420"/>
        <w:jc w:val="both"/>
      </w:pPr>
      <w:r>
        <w:rPr>
          <w:rFonts w:ascii="Times New Roman" w:hAnsi="Times New Roman" w:eastAsia="宋体" w:cs="Times New Roman"/>
          <w:sz w:val="21"/>
          <w:szCs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drawing>
          <wp:inline distT="0" distB="0" distL="0" distR="0">
            <wp:extent cx="5394960" cy="6650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394960" cy="6650223"/>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图2　YOLO11n-DWCA-P2 尺度先验架构与组件位置</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lastRenderedPageBreak/>
        <w:t>3.2　P2 高分辨率预测分支</w:t>
      </w:r>
    </w:p>
    <w:p w:rsidR="00C9640B" w:rsidRDefault="00000000">
      <w:pPr>
        <w:spacing w:before="0" w:after="0" w:line="276" w:lineRule="auto"/>
        <w:ind w:firstLine="420"/>
        <w:jc w:val="both"/>
      </w:pPr>
      <w:r>
        <w:rPr>
          <w:rFonts w:ascii="Times New Roman" w:hAnsi="Times New Roman" w:eastAsia="宋体" w:cs="Times New Roman"/>
          <w:sz w:val="21"/>
          <w:szCs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drawing>
          <wp:inline distT="0" distB="0" distL="0" distR="0">
            <wp:extent cx="5688000" cy="360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jpg"/>
                    <pic:cNvPicPr/>
                  </pic:nvPicPr>
                  <pic:blipFill>
                    <a:blip r:embed="rId10"/>
                    <a:stretch>
                      <a:fillRect/>
                    </a:stretch>
                  </pic:blipFill>
                  <pic:spPr>
                    <a:xfrm>
                      <a:off x="0" y="0"/>
                      <a:ext cx="5688000" cy="3602400"/>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图3　P2 高分辨率分支的双向特征融合过程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3.3　DyHead 动态检测头</w:t>
      </w:r>
    </w:p>
    <w:p w:rsidR="00C9640B" w:rsidRDefault="00000000">
      <w:pPr>
        <w:spacing w:before="0" w:after="0" w:line="276" w:lineRule="auto"/>
        <w:ind w:firstLine="420"/>
        <w:jc w:val="both"/>
      </w:pPr>
      <w:r>
        <w:rPr>
          <w:rFonts w:ascii="Times New Roman" w:hAnsi="Times New Roman" w:eastAsia="宋体" w:cs="Times New Roman"/>
          <w:sz w:val="21"/>
          <w:szCs w:val="21"/>
        </w:rPr>
        <w:t>设多层输入特征为 F，DyHead 依次施加尺度注意力 π</w:t>
      </w:r>
      <w:r>
        <w:rPr>
          <w:rFonts w:ascii="Times New Roman" w:hAnsi="Times New Roman" w:eastAsia="宋体" w:cs="Times New Roman"/>
          <w:vertAlign w:val="subscript"/>
          <w:sz w:val="21"/>
          <w:szCs w:val="21"/>
        </w:rPr>
        <w:t>L</w:t>
      </w:r>
      <w:r>
        <w:rPr>
          <w:rFonts w:ascii="Times New Roman" w:hAnsi="Times New Roman" w:eastAsia="宋体" w:cs="Times New Roman"/>
          <w:sz w:val="21"/>
          <w:szCs w:val="21"/>
        </w:rPr>
        <w:t>、空间注意力 π</w:t>
      </w:r>
      <w:r>
        <w:rPr>
          <w:rFonts w:ascii="Times New Roman" w:hAnsi="Times New Roman" w:eastAsia="宋体" w:cs="Times New Roman"/>
          <w:vertAlign w:val="subscript"/>
          <w:sz w:val="21"/>
          <w:szCs w:val="21"/>
        </w:rPr>
        <w:t>S</w:t>
      </w:r>
      <w:r>
        <w:rPr>
          <w:rFonts w:ascii="Times New Roman" w:hAnsi="Times New Roman" w:eastAsia="宋体" w:cs="Times New Roman"/>
          <w:sz w:val="21"/>
          <w:szCs w:val="21"/>
        </w:rPr>
        <w:t>、任务注意力 π</w:t>
      </w:r>
      <w:r>
        <w:rPr>
          <w:rFonts w:ascii="Times New Roman" w:hAnsi="Times New Roman" w:eastAsia="宋体" w:cs="Times New Roman"/>
          <w:vertAlign w:val="subscript"/>
          <w:sz w:val="21"/>
          <w:szCs w:val="21"/>
        </w:rPr>
        <w:t>C</w:t>
      </w:r>
      <w:r>
        <w:rPr>
          <w:rFonts w:ascii="Times New Roman" w:hAnsi="Times New Roman" w:eastAsia="宋体" w:cs="Times New Roman"/>
          <w:sz w:val="21"/>
          <w:szCs w:val="21"/>
        </w:rPr>
        <w:t>，其总体映射表示为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(F)))</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（2）</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rsidR="00C9640B" w:rsidRDefault="00000000">
      <w:pPr>
        <w:pStyle w:val="21"/>
        <w:keepNext/>
        <w:spacing w:before="60" w:after="0" w:line="276" w:lineRule="auto"/>
        <w:jc w:val="left"/>
      </w:pPr>
      <w:r>
        <w:rPr>
          <w:rFonts w:ascii="Times New Roman" w:eastAsia="黑体" w:hAnsi="Times New Roman" w:cs="Times New Roman"/>
          <w:sz w:val="21"/>
          <w:szCs w:val="21"/>
        </w:rPr>
        <w:t>3.4　CoordAttention 位置敏感细化</w:t>
      </w:r>
    </w:p>
    <w:p w:rsidR="00C9640B" w:rsidRDefault="00000000">
      <w:pPr>
        <w:spacing w:before="0" w:after="0" w:line="276" w:lineRule="auto"/>
        <w:ind w:firstLine="420"/>
        <w:jc w:val="both"/>
      </w:pPr>
      <w:r>
        <w:rPr>
          <w:rFonts w:ascii="Times New Roman" w:hAnsi="Times New Roman" w:eastAsia="宋体" w:cs="Times New Roman"/>
          <w:sz w:val="21"/>
          <w:szCs w:val="21"/>
        </w:rPr>
        <w:t>对输入 x∈R</w:t>
      </w:r>
      <w:r>
        <w:rPr>
          <w:rFonts w:ascii="Times New Roman" w:hAnsi="Times New Roman" w:eastAsia="宋体" w:cs="Times New Roman"/>
          <w:vertAlign w:val="superscript"/>
          <w:sz w:val="21"/>
          <w:szCs w:val="21"/>
        </w:rPr>
        <w:t>(C×H×W)</w:t>
      </w:r>
      <w:r>
        <w:rPr>
          <w:rFonts w:ascii="Times New Roman" w:hAnsi="Times New Roman" w:eastAsia="宋体" w:cs="Times New Roman"/>
          <w:sz w:val="21"/>
          <w:szCs w:val="21"/>
        </w:rPr>
        <w:t>，分别沿宽度和高度方向进行一维全局平均池化：</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rPr>
                <w:rFonts w:ascii="Times New Roman" w:hAnsi="Times New Roman" w:eastAsia="宋体" w:cs="Times New Roman"/>
                <w:sz w:val="21"/>
                <w:szCs w:val="21"/>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（3）</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将两方向特征拼接并经1×1卷积、非线性变换后分解为 f</w:t>
      </w:r>
      <w:r>
        <w:rPr>
          <w:rFonts w:ascii="Times New Roman" w:hAnsi="Times New Roman" w:eastAsia="宋体" w:cs="Times New Roman"/>
          <w:vertAlign w:val="superscript"/>
          <w:sz w:val="21"/>
          <w:szCs w:val="21"/>
        </w:rPr>
        <w:t>h</w:t>
      </w:r>
      <w:r>
        <w:rPr>
          <w:rFonts w:ascii="Times New Roman" w:hAnsi="Times New Roman" w:eastAsia="宋体" w:cs="Times New Roman"/>
          <w:sz w:val="21"/>
          <w:szCs w:val="21"/>
        </w:rPr>
        <w:t xml:space="preserve"> 与 f</w:t>
      </w:r>
      <w:r>
        <w:rPr>
          <w:rFonts w:ascii="Times New Roman" w:hAnsi="Times New Roman" w:eastAsia="宋体" w:cs="Times New Roman"/>
          <w:vertAlign w:val="superscript"/>
          <w:sz w:val="21"/>
          <w:szCs w:val="21"/>
        </w:rPr>
        <w:t>w</w:t>
      </w:r>
      <w:r>
        <w:rPr>
          <w:rFonts w:ascii="Times New Roman" w:hAnsi="Times New Roman" w:eastAsia="宋体" w:cs="Times New Roman"/>
          <w:sz w:val="21"/>
          <w:szCs w:val="21"/>
        </w:rPr>
        <w:t>，再生成方向注意力 g</w:t>
      </w:r>
      <w:r>
        <w:rPr>
          <w:rFonts w:ascii="Times New Roman" w:hAnsi="Times New Roman" w:eastAsia="宋体" w:cs="Times New Roman"/>
          <w:vertAlign w:val="superscript"/>
          <w:sz w:val="21"/>
          <w:szCs w:val="21"/>
        </w:rPr>
        <w:t>h</w:t>
      </w:r>
      <w:r>
        <w:rPr>
          <w:rFonts w:ascii="Times New Roman" w:hAnsi="Times New Roman" w:eastAsia="宋体" w:cs="Times New Roman"/>
          <w:sz w:val="21"/>
          <w:szCs w:val="21"/>
        </w:rPr>
        <w:t>、g</w:t>
      </w:r>
      <w:r>
        <w:rPr>
          <w:rFonts w:ascii="Times New Roman" w:hAnsi="Times New Roman" w:eastAsia="宋体" w:cs="Times New Roman"/>
          <w:vertAlign w:val="superscript"/>
          <w:sz w:val="21"/>
          <w:szCs w:val="21"/>
        </w:rPr>
        <w:t>w</w:t>
      </w:r>
      <w:r>
        <w:rPr>
          <w:rFonts w:ascii="Times New Roman" w:hAnsi="Times New Roman" w:eastAsia="宋体" w:cs="Times New Roman"/>
          <w:sz w:val="21"/>
          <w:szCs w:val="21"/>
        </w:rPr>
        <w:t>，输出为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（4）</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该机制以较小代价保留道路场景中的方向位置信息。本文仅在 P3 融合节点使用 CoordAttention，以控制复杂度并避免在多个尺度重复放大背景响应。</w:t>
      </w:r>
    </w:p>
    <w:p w:rsidR="00C9640B" w:rsidRDefault="00000000">
      <w:pPr>
        <w:pStyle w:val="21"/>
        <w:keepNext/>
        <w:spacing w:before="60" w:after="0" w:line="276" w:lineRule="auto"/>
        <w:jc w:val="left"/>
      </w:pPr>
      <w:r>
        <w:rPr>
          <w:rFonts w:ascii="Times New Roman" w:eastAsia="黑体" w:hAnsi="Times New Roman" w:cs="Times New Roman"/>
          <w:sz w:val="21"/>
          <w:szCs w:val="21"/>
        </w:rPr>
        <w:t>3.5　Wise-IoU v3 回归损失</w:t>
      </w:r>
    </w:p>
    <w:p w:rsidR="00C9640B" w:rsidRDefault="00000000">
      <w:pPr>
        <w:spacing w:before="0" w:after="0" w:line="276" w:lineRule="auto"/>
        <w:ind w:firstLine="420"/>
        <w:jc w:val="both"/>
      </w:pPr>
      <w:r>
        <w:rPr>
          <w:rFonts w:ascii="Times New Roman" w:hAnsi="Times New Roman" w:eastAsia="宋体" w:cs="Times New Roman"/>
          <w:sz w:val="21"/>
          <w:szCs w:val="21"/>
        </w:rPr>
        <w:t>令 L</w:t>
      </w:r>
      <w:r>
        <w:rPr>
          <w:rFonts w:ascii="Times New Roman" w:hAnsi="Times New Roman" w:eastAsia="宋体" w:cs="Times New Roman"/>
          <w:vertAlign w:val="subscript"/>
          <w:sz w:val="21"/>
          <w:szCs w:val="21"/>
        </w:rPr>
        <w:t>IoU</w:t>
      </w:r>
      <w:r>
        <w:rPr>
          <w:rFonts w:ascii="Times New Roman" w:hAnsi="Times New Roman" w:eastAsia="宋体" w:cs="Times New Roman"/>
          <w:sz w:val="21"/>
          <w:szCs w:val="21"/>
        </w:rPr>
        <w:t>=1−IoU，ρ 为预测框与真实框中心距离，c 为最小外接框对角线。WIoU 的距离注意项为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以滑动平均归一化后的离群度 β（见式（6））构造非单调聚焦系数</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rPr>
                <w:rFonts w:ascii="Times New Roman" w:hAnsi="Times New Roman" w:eastAsia="宋体" w:cs="Times New Roman"/>
                <w:sz w:val="21"/>
                <w:szCs w:val="21"/>
              </w:rPr>
              <w:t>，　α=1.9，δ=3.0</w:t>
            </w:r>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（6）</w:t>
            </w:r>
          </w:p>
        </w:tc>
      </w:tr>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（7）</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非单调聚焦使普通质量样本获得较高有效梯度，同时降低极端低质量框和已充分拟合框的主导作用。对于路侧密集遮挡目标，这有助于减轻异常标注或严重错位候选框造成的回归不稳定。事实上，边界框回归损失已从原始 IoU 逐步发展到考虑最小外接框的 GIoU[28] 与引入中心距离惩罚的 DIoU[29]，Wise-IoU v3 在此基础上以离群度感知的非单调聚焦进一步细化。</w:t>
      </w:r>
    </w:p>
    <w:p w:rsidR="00C9640B" w:rsidRDefault="00000000">
      <w:pPr>
        <w:pStyle w:val="1"/>
        <w:keepNext/>
        <w:spacing w:before="120" w:after="0" w:line="300" w:lineRule="auto"/>
        <w:jc w:val="left"/>
      </w:pPr>
      <w:r>
        <w:rPr>
          <w:rFonts w:ascii="Times New Roman" w:eastAsia="黑体" w:hAnsi="Times New Roman" w:cs="Times New Roman"/>
          <w:sz w:val="24"/>
          <w:szCs w:val="24"/>
        </w:rPr>
        <w:t>4　实验设计</w:t>
      </w:r>
    </w:p>
    <w:p w:rsidR="00C9640B" w:rsidRDefault="00000000">
      <w:pPr>
        <w:pStyle w:val="21"/>
        <w:keepNext/>
        <w:spacing w:before="60" w:after="0" w:line="276" w:lineRule="auto"/>
        <w:jc w:val="left"/>
      </w:pPr>
      <w:r>
        <w:rPr>
          <w:rFonts w:ascii="Times New Roman" w:eastAsia="黑体" w:hAnsi="Times New Roman" w:cs="Times New Roman"/>
          <w:sz w:val="21"/>
          <w:szCs w:val="21"/>
        </w:rPr>
        <w:t>4.1　实验环境与训练设置</w:t>
      </w:r>
    </w:p>
    <w:p w:rsidR="00C9640B" w:rsidRDefault="00000000">
      <w:pPr>
        <w:spacing w:before="0" w:after="0" w:line="276" w:lineRule="auto"/>
        <w:ind w:firstLine="420"/>
        <w:jc w:val="both"/>
      </w:pPr>
      <w:r>
        <w:rPr>
          <w:rFonts w:ascii="Times New Roman" w:hAnsi="Times New Roman" w:eastAsia="宋体" w:cs="Times New Roman"/>
          <w:sz w:val="21"/>
          <w:szCs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表3　训练与测试配置</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474"/>
        <w:gridCol w:w="3061"/>
        <w:gridCol w:w="1531"/>
        <w:gridCol w:w="2891"/>
      </w:tblGrid>
      <w:tr w:rsidR="00C9640B">
        <w:trPr>
          <w:tblHeader/>
          <w:jc w:val="center"/>
        </w:trPr>
        <w:tc>
          <w:tcPr>
            <w:tcW w:w="147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项目</w:t>
            </w:r>
          </w:p>
        </w:tc>
        <w:tc>
          <w:tcPr>
            <w:tcW w:w="306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设置</w:t>
            </w:r>
          </w:p>
        </w:tc>
        <w:tc>
          <w:tcPr>
            <w:tcW w:w="153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项目</w:t>
            </w:r>
          </w:p>
        </w:tc>
        <w:tc>
          <w:tcPr>
            <w:tcW w:w="289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设置</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GPU</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RTX 4090 24 GB</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输入尺寸</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640×640</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软件</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Python 3.12.3 / PyTorch 2.7.0+cu128</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训练轮次</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300</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框架</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Ultralytics 8.4.56</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批大小</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32（nbs=64）</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优化器</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SGD</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Mosaic关闭</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最后10轮</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初始化</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由结构文件从头训练</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时延口径</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batch=1，imgsz=640，FPS=1000/(preprocess+inference+postprocess)，排除loss</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注：现有记录未包含多随机种子重复实验，因此本文不报告均值±标准差，相关影响在局限性中说明。</w:t>
      </w:r>
    </w:p>
    <w:p w:rsidR="00C9640B" w:rsidRDefault="00000000">
      <w:pPr>
        <w:pStyle w:val="21"/>
        <w:keepNext/>
        <w:spacing w:before="60" w:after="0" w:line="276" w:lineRule="auto"/>
        <w:jc w:val="left"/>
      </w:pPr>
      <w:r>
        <w:rPr>
          <w:rFonts w:ascii="Times New Roman" w:eastAsia="黑体" w:hAnsi="Times New Roman" w:cs="Times New Roman"/>
          <w:sz w:val="21"/>
          <w:szCs w:val="21"/>
        </w:rPr>
        <w:t>4.2　评价指标与比较原则</w:t>
      </w:r>
    </w:p>
    <w:p w:rsidR="00C9640B" w:rsidRDefault="00000000">
      <w:pPr>
        <w:spacing w:before="0" w:after="0" w:line="276" w:lineRule="auto"/>
        <w:ind w:firstLine="420"/>
        <w:jc w:val="both"/>
      </w:pPr>
      <w:r>
        <w:rPr>
          <w:rFonts w:ascii="Times New Roman" w:hAnsi="Times New Roman" w:eastAsia="宋体" w:cs="Times New Roman"/>
          <w:sz w:val="21"/>
          <w:szCs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rsidR="00C9640B" w:rsidRDefault="00000000">
      <w:pPr>
        <w:pStyle w:val="1"/>
        <w:keepNext/>
        <w:spacing w:before="120" w:after="0" w:line="300" w:lineRule="auto"/>
        <w:jc w:val="left"/>
      </w:pPr>
      <w:r>
        <w:rPr>
          <w:rFonts w:ascii="Times New Roman" w:eastAsia="黑体" w:hAnsi="Times New Roman" w:cs="Times New Roman"/>
          <w:sz w:val="24"/>
          <w:szCs w:val="24"/>
        </w:rPr>
        <w:t>5　结果与分析</w:t>
      </w:r>
    </w:p>
    <w:p w:rsidR="00C9640B" w:rsidRDefault="00000000">
      <w:pPr>
        <w:pStyle w:val="21"/>
        <w:keepNext/>
        <w:spacing w:before="60" w:after="0" w:line="276" w:lineRule="auto"/>
        <w:jc w:val="left"/>
      </w:pPr>
      <w:r>
        <w:rPr>
          <w:rFonts w:ascii="Times New Roman" w:eastAsia="黑体" w:hAnsi="Times New Roman" w:cs="Times New Roman"/>
          <w:sz w:val="21"/>
          <w:szCs w:val="21"/>
        </w:rPr>
        <w:t>5.1　整体性能</w:t>
      </w:r>
    </w:p>
    <w:p w:rsidR="00C9640B" w:rsidRDefault="00000000">
      <w:pPr>
        <w:spacing w:before="0" w:after="0" w:line="276" w:lineRule="auto"/>
        <w:ind w:firstLine="420"/>
        <w:jc w:val="both"/>
      </w:pPr>
      <w:r>
        <w:rPr>
          <w:rFonts w:ascii="Times New Roman" w:hAnsi="Times New Roman" w:eastAsia="宋体" w:cs="Times New Roman"/>
          <w:sz w:val="21"/>
          <w:szCs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表4　基线与完整模型整体性能</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281"/>
        <w:gridCol w:w="820"/>
        <w:gridCol w:w="820"/>
        <w:gridCol w:w="1333"/>
        <w:gridCol w:w="1538"/>
        <w:gridCol w:w="872"/>
        <w:gridCol w:w="1025"/>
        <w:gridCol w:w="974"/>
        <w:gridCol w:w="975"/>
      </w:tblGrid>
      <w:tr w:rsidR="00C9640B">
        <w:trPr>
          <w:tblHeader/>
          <w:jc w:val="center"/>
        </w:trPr>
        <w:tc>
          <w:tcPr>
            <w:tcW w:w="128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820"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820"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1333"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mAP@0.5/%</w:t>
            </w:r>
          </w:p>
        </w:tc>
        <w:tc>
          <w:tcPr>
            <w:tcW w:w="153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mAP@0.5:0.95/%</w:t>
            </w:r>
          </w:p>
        </w:tc>
        <w:tc>
          <w:tcPr>
            <w:tcW w:w="872"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FPS</w:t>
            </w:r>
          </w:p>
        </w:tc>
        <w:tc>
          <w:tcPr>
            <w:tcW w:w="102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97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c>
          <w:tcPr>
            <w:tcW w:w="97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时延/ms</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lastRenderedPageBreak/>
              <w:t>YOLO11n</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153.0</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6.54</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9.95</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变化</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+0.3</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+2.7</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+2.4</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+4.2</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−52.5</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+1.9</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+3.41</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注：各百分比差异均为百分点；FPS 在 RTX 4090、单图推理口径下测得。</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drawing>
          <wp:inline distT="0" distB="0" distL="0" distR="0">
            <wp:extent cx="5220000" cy="3147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in_metrics.png"/>
                    <pic:cNvPicPr/>
                  </pic:nvPicPr>
                  <pic:blipFill>
                    <a:blip r:embed="rId11"/>
                    <a:stretch>
                      <a:fillRect/>
                    </a:stretch>
                  </pic:blipFill>
                  <pic:spPr>
                    <a:xfrm>
                      <a:off x="0" y="0"/>
                      <a:ext cx="5220000" cy="3147076"/>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图4　YOLO11n 与 DWCA-P2 的整体精度指标对比</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5.2　类别级性能</w:t>
      </w:r>
    </w:p>
    <w:p w:rsidR="00C9640B" w:rsidRDefault="00000000">
      <w:pPr>
        <w:spacing w:before="0" w:after="0" w:line="276" w:lineRule="auto"/>
        <w:ind w:firstLine="420"/>
        <w:jc w:val="both"/>
      </w:pPr>
      <w:r>
        <w:rPr>
          <w:rFonts w:ascii="Times New Roman" w:hAnsi="Times New Roman" w:eastAsia="宋体" w:cs="Times New Roman"/>
          <w:sz w:val="21"/>
          <w:szCs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表5　各类别 AP 对比（单位：%）</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928"/>
        <w:gridCol w:w="1417"/>
        <w:gridCol w:w="1417"/>
        <w:gridCol w:w="1417"/>
        <w:gridCol w:w="1417"/>
        <w:gridCol w:w="1417"/>
      </w:tblGrid>
      <w:tr w:rsidR="00C9640B">
        <w:trPr>
          <w:tblHeader/>
          <w:jc w:val="center"/>
        </w:trPr>
        <w:tc>
          <w:tcPr>
            <w:tcW w:w="192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类别</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基线 AP50</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本文 AP50</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基线 AP</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本文 AP</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 增益</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Car</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95.9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96.8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Truck</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78.8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54.1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55.9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+1.8</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Van</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82.1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68.9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71.9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Bus</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94.0</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95.5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Cyclist</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89.8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58.1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62.1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Motorcyclist</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77.4</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50.9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54.0</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+3.1</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Pedestrian</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42.8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51.3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Trafficcone</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92.2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96.3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50.2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58.2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注：AP 表示 mAP@0.5:0.95；增益为本文 AP−基线 AP。本文为8类口径（已删除 Barrowlist），与文献[19]的10类口径不可直接比较。</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lastRenderedPageBreak/>
        <w:drawing>
          <wp:inline distT="0" distB="0" distL="0" distR="0">
            <wp:extent cx="5400000" cy="3122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ass_gains.png"/>
                    <pic:cNvPicPr/>
                  </pic:nvPicPr>
                  <pic:blipFill>
                    <a:blip r:embed="rId12"/>
                    <a:stretch>
                      <a:fillRect/>
                    </a:stretch>
                  </pic:blipFill>
                  <pic:spPr>
                    <a:xfrm>
                      <a:off x="0" y="0"/>
                      <a:ext cx="5400000" cy="3122431"/>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图5　各类别 mAP@0.5:0.95 增益</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5.3　消融实验</w:t>
      </w:r>
    </w:p>
    <w:p w:rsidR="00C9640B" w:rsidRDefault="00000000">
      <w:pPr>
        <w:spacing w:before="0" w:after="0" w:line="276" w:lineRule="auto"/>
        <w:ind w:firstLine="420"/>
        <w:jc w:val="both"/>
      </w:pPr>
      <w:r>
        <w:rPr>
          <w:rFonts w:ascii="Times New Roman" w:hAnsi="Times New Roman" w:eastAsia="宋体" w:cs="Times New Roman"/>
          <w:sz w:val="21"/>
          <w:szCs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表6　模块消融实验</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304"/>
        <w:gridCol w:w="1644"/>
        <w:gridCol w:w="765"/>
        <w:gridCol w:w="765"/>
        <w:gridCol w:w="879"/>
        <w:gridCol w:w="879"/>
        <w:gridCol w:w="879"/>
        <w:gridCol w:w="964"/>
        <w:gridCol w:w="992"/>
      </w:tblGrid>
      <w:tr w:rsidR="00C9640B">
        <w:trPr>
          <w:tblHeader/>
          <w:jc w:val="center"/>
        </w:trPr>
        <w:tc>
          <w:tcPr>
            <w:tcW w:w="130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164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组件</w:t>
            </w:r>
          </w:p>
        </w:tc>
        <w:tc>
          <w:tcPr>
            <w:tcW w:w="76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76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AP50</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FPS</w:t>
            </w:r>
          </w:p>
        </w:tc>
        <w:tc>
          <w:tcPr>
            <w:tcW w:w="96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992"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Baseline</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YOLO11n</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153.0</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DyHead</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86.3</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81.1</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86.6</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120.8</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4.3</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81.9</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87.0</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123.4</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4.3</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86.8</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86.8</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119.5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4.4</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DW-P2</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D+W+P2</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85.6</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88.1</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注：D、W、CA、P2 分别表示 DyHead、Wise-IoU v3、CoordAttention 和 P2 高分辨率预测分支；P、R、AP50、AP 的单位均为%。</w:t>
      </w:r>
    </w:p>
    <w:p w:rsidR="00C9640B" w:rsidRDefault="00000000">
      <w:pPr>
        <w:pStyle w:val="21"/>
        <w:keepNext/>
        <w:spacing w:before="60" w:after="0" w:line="276" w:lineRule="auto"/>
        <w:jc w:val="left"/>
      </w:pPr>
      <w:r>
        <w:rPr>
          <w:rFonts w:ascii="Times New Roman" w:eastAsia="黑体" w:hAnsi="Times New Roman" w:cs="Times New Roman"/>
          <w:sz w:val="21"/>
          <w:szCs w:val="21"/>
        </w:rPr>
        <w:t>5.4　统一口径模型比较</w:t>
      </w:r>
    </w:p>
    <w:p w:rsidR="00C9640B" w:rsidRDefault="00000000">
      <w:pPr>
        <w:spacing w:before="0" w:after="0" w:line="276" w:lineRule="auto"/>
        <w:ind w:firstLine="420"/>
        <w:jc w:val="both"/>
      </w:pPr>
      <w:r>
        <w:rPr>
          <w:rFonts w:ascii="Times New Roman" w:hAnsi="Times New Roman" w:eastAsia="宋体" w:cs="Times New Roman"/>
          <w:sz w:val="21"/>
          <w:szCs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表7　轻量检测器统一口径比较</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757"/>
        <w:gridCol w:w="1134"/>
        <w:gridCol w:w="1134"/>
        <w:gridCol w:w="1304"/>
        <w:gridCol w:w="1134"/>
        <w:gridCol w:w="1361"/>
        <w:gridCol w:w="1247"/>
      </w:tblGrid>
      <w:tr w:rsidR="00C9640B">
        <w:trPr>
          <w:tblHeader/>
          <w:jc w:val="center"/>
        </w:trPr>
        <w:tc>
          <w:tcPr>
            <w:tcW w:w="175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130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AP50/%</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w:t>
            </w:r>
          </w:p>
        </w:tc>
        <w:tc>
          <w:tcPr>
            <w:tcW w:w="136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124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YOLOv5n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85.4</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81.0</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85.8</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59.9</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7.1</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2.5</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YOLOv8n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86.5</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81.2</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86.5</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61.0</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YOLOv10n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85.8</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80.1</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60.7</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8.4</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2.7</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YOLO11n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lastRenderedPageBreak/>
              <w:t>DWCA-P2</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rsidR="00C9640B" w:rsidRDefault="00000000">
      <w:pPr>
        <w:pStyle w:val="21"/>
        <w:keepNext/>
        <w:spacing w:before="60" w:after="0" w:line="276" w:lineRule="auto"/>
        <w:jc w:val="left"/>
      </w:pPr>
      <w:r>
        <w:rPr>
          <w:rFonts w:ascii="Times New Roman" w:eastAsia="黑体" w:hAnsi="Times New Roman" w:cs="Times New Roman"/>
          <w:sz w:val="21"/>
          <w:szCs w:val="21"/>
        </w:rPr>
        <w:t>5.5　精度—时延与实时性边界</w:t>
      </w:r>
    </w:p>
    <w:p w:rsidR="00C9640B" w:rsidRDefault="00000000">
      <w:pPr>
        <w:spacing w:before="0" w:after="0" w:line="276" w:lineRule="auto"/>
        <w:ind w:firstLine="420"/>
        <w:jc w:val="both"/>
      </w:pPr>
      <w:r>
        <w:rPr>
          <w:rFonts w:ascii="Times New Roman" w:hAnsi="Times New Roman" w:eastAsia="宋体" w:cs="Times New Roman"/>
          <w:sz w:val="21"/>
          <w:szCs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drawing>
          <wp:inline distT="0" distB="0" distL="0" distR="0">
            <wp:extent cx="5328000" cy="3684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curacy_latency.png"/>
                    <pic:cNvPicPr/>
                  </pic:nvPicPr>
                  <pic:blipFill>
                    <a:blip r:embed="rId13"/>
                    <a:stretch>
                      <a:fillRect/>
                    </a:stretch>
                  </pic:blipFill>
                  <pic:spPr>
                    <a:xfrm>
                      <a:off x="0" y="0"/>
                      <a:ext cx="5328000" cy="3684811"/>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图6　各消融模型的精度—时延关系</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5.6　收敛与可视化观察</w:t>
      </w:r>
    </w:p>
    <w:p w:rsidR="00C9640B" w:rsidRDefault="00000000">
      <w:pPr>
        <w:spacing w:before="0" w:after="0" w:line="276" w:lineRule="auto"/>
        <w:ind w:firstLine="420"/>
        <w:jc w:val="both"/>
      </w:pPr>
      <w:r>
        <w:rPr>
          <w:rFonts w:ascii="Times New Roman" w:hAnsi="Times New Roman" w:eastAsia="宋体" w:cs="Times New Roman"/>
          <w:sz w:val="21"/>
          <w:szCs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jc w:val="center"/>
        <w:tblLayout w:type="fixed"/>
        <w:tblLook w:val="04A0" w:firstRow="1" w:lastRow="0" w:firstColumn="1" w:lastColumn="0" w:noHBand="0" w:noVBand="1"/>
      </w:tblPr>
      <w:tblGrid>
        <w:gridCol w:w="4479"/>
        <w:gridCol w:w="4479"/>
      </w:tblGrid>
      <w:tr w:rsidR="00C9640B">
        <w:trPr>
          <w:jc w:val="center"/>
        </w:trPr>
        <w:tc>
          <w:tcPr>
            <w:tcW w:w="4479" w:type="dxa"/>
            <w:tcMar>
              <w:top w:w="0" w:type="dxa"/>
              <w:left w:w="30" w:type="dxa"/>
              <w:bottom w:w="0" w:type="dxa"/>
              <w:right w:w="30" w:type="dxa"/>
            </w:tcMar>
            <w:vAlign w:val="center"/>
          </w:tcPr>
          <w:p w:rsidR="00C9640B" w:rsidRDefault="00000000">
            <w:pPr>
              <w:spacing w:before="0" w:after="0" w:line="276" w:lineRule="auto"/>
              <w:jc w:val="center"/>
            </w:pPr>
            <w:r>
              <w:rPr>
                <w:rFonts w:ascii="Times New Roman" w:hAnsi="Times New Roman" w:eastAsia="宋体" w:cs="Times New Roman"/>
                <w:noProof/>
                <w:sz w:val="21"/>
                <w:szCs w:val="21"/>
              </w:rPr>
              <w:lastRenderedPageBreak/>
              <w:drawing>
                <wp:inline distT="0" distB="0" distL="0" distR="0">
                  <wp:extent cx="2772000" cy="1683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jpg"/>
                          <pic:cNvPicPr/>
                        </pic:nvPicPr>
                        <pic:blipFill>
                          <a:blip r:embed="rId14"/>
                          <a:stretch>
                            <a:fillRect/>
                          </a:stretch>
                        </pic:blipFill>
                        <pic:spPr>
                          <a:xfrm>
                            <a:off x="0" y="0"/>
                            <a:ext cx="2772000" cy="1683733"/>
                          </a:xfrm>
                          <a:prstGeom prst="rect">
                            <a:avLst/>
                          </a:prstGeom>
                        </pic:spPr>
                      </pic:pic>
                    </a:graphicData>
                  </a:graphic>
                </wp:inline>
              </w:drawing>
            </w:r>
          </w:p>
        </w:tc>
        <w:tc>
          <w:tcPr>
            <w:tcW w:w="4479" w:type="dxa"/>
            <w:tcMar>
              <w:top w:w="0" w:type="dxa"/>
              <w:left w:w="30" w:type="dxa"/>
              <w:bottom w:w="0" w:type="dxa"/>
              <w:right w:w="30" w:type="dxa"/>
            </w:tcMar>
            <w:vAlign w:val="center"/>
          </w:tcPr>
          <w:p w:rsidR="00C9640B" w:rsidRDefault="00000000">
            <w:pPr>
              <w:spacing w:before="0" w:after="0" w:line="276" w:lineRule="auto"/>
              <w:jc w:val="center"/>
            </w:pPr>
            <w:r>
              <w:rPr>
                <w:rFonts w:ascii="Times New Roman" w:hAnsi="Times New Roman" w:eastAsia="宋体" w:cs="Times New Roman"/>
                <w:noProof/>
                <w:sz w:val="21"/>
                <w:szCs w:val="21"/>
              </w:rPr>
              <w:drawing>
                <wp:inline distT="0" distB="0" distL="0" distR="0">
                  <wp:extent cx="2772000" cy="1683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5"/>
                          <a:stretch>
                            <a:fillRect/>
                          </a:stretch>
                        </pic:blipFill>
                        <pic:spPr>
                          <a:xfrm>
                            <a:off x="0" y="0"/>
                            <a:ext cx="2772000" cy="1683733"/>
                          </a:xfrm>
                          <a:prstGeom prst="rect">
                            <a:avLst/>
                          </a:prstGeom>
                        </pic:spPr>
                      </pic:pic>
                    </a:graphicData>
                  </a:graphic>
                </wp:inline>
              </w:drawing>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keepNext/>
        <w:spacing w:before="0" w:after="0" w:line="240" w:lineRule="auto"/>
        <w:jc w:val="center"/>
      </w:pPr>
      <w:r>
        <w:rPr>
          <w:rFonts w:ascii="Times New Roman" w:hAnsi="Times New Roman" w:eastAsia="宋体" w:cs="Times New Roman"/>
          <w:sz w:val="18"/>
          <w:szCs w:val="18"/>
        </w:rPr>
        <w:t>图7　模型训练与验证曲线</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spacing w:before="0" w:after="0" w:line="240" w:lineRule="auto"/>
        <w:jc w:val="center"/>
      </w:pPr>
      <w:r>
        <w:rPr>
          <w:noProof/>
        </w:rPr>
        <w:drawing>
          <wp:inline distT="0" distB="0" distL="0" distR="0">
            <wp:extent cx="5688000" cy="1603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jpg"/>
                    <pic:cNvPicPr/>
                  </pic:nvPicPr>
                  <pic:blipFill>
                    <a:blip r:embed="rId16"/>
                    <a:stretch>
                      <a:fillRect/>
                    </a:stretch>
                  </pic:blipFill>
                  <pic:spPr>
                    <a:xfrm>
                      <a:off x="0" y="0"/>
                      <a:ext cx="5688000" cy="1603042"/>
                    </a:xfrm>
                    <a:prstGeom prst="rect">
                      <a:avLst/>
                    </a:prstGeom>
                  </pic:spPr>
                </pic:pic>
              </a:graphicData>
            </a:graphic>
          </wp:inline>
        </w:drawing>
      </w:r>
    </w:p>
    <w:p w:rsidR="00C9640B" w:rsidRDefault="00000000">
      <w:pPr>
        <w:keepNext/>
        <w:spacing w:before="0" w:after="0" w:line="240" w:lineRule="auto"/>
        <w:jc w:val="center"/>
      </w:pPr>
      <w:r>
        <w:rPr>
          <w:rFonts w:ascii="Times New Roman" w:hAnsi="Times New Roman" w:eastAsia="宋体" w:cs="Times New Roman"/>
          <w:sz w:val="18"/>
          <w:szCs w:val="18"/>
        </w:rPr>
        <w:t>图8　路侧场景定性检测示例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1"/>
        <w:keepNext/>
        <w:spacing w:before="120" w:after="0" w:line="300" w:lineRule="auto"/>
        <w:jc w:val="left"/>
      </w:pPr>
      <w:r>
        <w:rPr>
          <w:rFonts w:ascii="Times New Roman" w:eastAsia="黑体" w:hAnsi="Times New Roman" w:cs="Times New Roman"/>
          <w:sz w:val="24"/>
          <w:szCs w:val="24"/>
        </w:rPr>
        <w:t>6　讨论</w:t>
      </w:r>
    </w:p>
    <w:p w:rsidR="00C9640B" w:rsidRDefault="00000000">
      <w:pPr>
        <w:pStyle w:val="21"/>
        <w:keepNext/>
        <w:spacing w:before="60" w:after="0" w:line="276" w:lineRule="auto"/>
        <w:jc w:val="left"/>
      </w:pPr>
      <w:r>
        <w:rPr>
          <w:rFonts w:ascii="Times New Roman" w:eastAsia="黑体" w:hAnsi="Times New Roman" w:cs="Times New Roman"/>
          <w:sz w:val="21"/>
          <w:szCs w:val="21"/>
        </w:rPr>
        <w:t>6.1　为何高分辨率证据占主导</w:t>
      </w:r>
    </w:p>
    <w:p w:rsidR="00C9640B" w:rsidRDefault="00000000">
      <w:pPr>
        <w:spacing w:before="0" w:after="0" w:line="276" w:lineRule="auto"/>
        <w:ind w:firstLine="420"/>
        <w:jc w:val="both"/>
      </w:pPr>
      <w:r>
        <w:rPr>
          <w:rFonts w:ascii="Times New Roman" w:hAnsi="Times New Roman" w:eastAsia="宋体" w:cs="Times New Roman"/>
          <w:sz w:val="21"/>
          <w:szCs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rsidR="00C9640B" w:rsidRDefault="00000000">
      <w:pPr>
        <w:pStyle w:val="21"/>
        <w:keepNext/>
        <w:spacing w:before="60" w:after="0" w:line="276" w:lineRule="auto"/>
        <w:jc w:val="left"/>
      </w:pPr>
      <w:r>
        <w:rPr>
          <w:rFonts w:ascii="Times New Roman" w:eastAsia="黑体" w:hAnsi="Times New Roman" w:cs="Times New Roman"/>
          <w:sz w:val="21"/>
          <w:szCs w:val="21"/>
        </w:rPr>
        <w:t>6.2　有效性威胁与局限</w:t>
      </w:r>
    </w:p>
    <w:p w:rsidR="00C9640B" w:rsidRDefault="00000000">
      <w:pPr>
        <w:spacing w:before="0" w:after="0" w:line="276" w:lineRule="auto"/>
        <w:ind w:firstLine="420"/>
        <w:jc w:val="both"/>
      </w:pPr>
      <w:r>
        <w:rPr>
          <w:rFonts w:ascii="Times New Roman" w:hAnsi="Times New Roman" w:eastAsia="宋体" w:cs="Times New Roman"/>
          <w:sz w:val="21"/>
          <w:szCs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rsidR="00C9640B" w:rsidRDefault="00000000">
      <w:pPr>
        <w:spacing w:before="0" w:after="0" w:line="276" w:lineRule="auto"/>
        <w:ind w:firstLine="420"/>
        <w:jc w:val="both"/>
      </w:pPr>
      <w:r>
        <w:rPr>
          <w:rFonts w:ascii="Times New Roman" w:hAnsi="Times New Roman" w:eastAsia="宋体" w:cs="Times New Roman"/>
          <w:sz w:val="21"/>
          <w:szCs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rsidR="00C9640B" w:rsidRDefault="00000000">
      <w:pPr>
        <w:pStyle w:val="1"/>
        <w:keepNext/>
        <w:spacing w:before="120" w:after="0" w:line="300" w:lineRule="auto"/>
        <w:jc w:val="left"/>
      </w:pPr>
      <w:r>
        <w:rPr>
          <w:rFonts w:ascii="Times New Roman" w:eastAsia="黑体" w:hAnsi="Times New Roman" w:cs="Times New Roman"/>
          <w:sz w:val="24"/>
          <w:szCs w:val="24"/>
        </w:rPr>
        <w:t>7　结论</w:t>
      </w:r>
    </w:p>
    <w:p w:rsidR="00C9640B" w:rsidRDefault="00000000">
      <w:pPr>
        <w:spacing w:before="0" w:after="0" w:line="276" w:lineRule="auto"/>
        <w:ind w:firstLine="420"/>
        <w:jc w:val="both"/>
      </w:pPr>
      <w:r>
        <w:rPr>
          <w:rFonts w:ascii="Times New Roman" w:hAnsi="Times New Roman" w:eastAsia="宋体" w:cs="Times New Roman"/>
          <w:sz w:val="21"/>
          <w:szCs w:val="21"/>
        </w:rPr>
        <w:t xml:space="preserve">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w:t>
      </w:r>
      <w:r>
        <w:rPr>
          <w:rFonts w:ascii="Times New Roman" w:hAnsi="Times New Roman" w:eastAsia="宋体" w:cs="Times New Roman"/>
          <w:sz w:val="21"/>
          <w:szCs w:val="21"/>
        </w:rPr>
        <w:lastRenderedPageBreak/>
        <w:t>Recall、88.4% mAP@0.5和64.4% mAP@0.5:0.95，相较 YOLO11n 的 Recall 和 mAP@0.5:0.95 分别提高2.7和4.2个百分点。</w:t>
      </w:r>
    </w:p>
    <w:p w:rsidR="00C9640B" w:rsidRDefault="00000000">
      <w:pPr>
        <w:spacing w:before="0" w:after="0" w:line="276" w:lineRule="auto"/>
        <w:ind w:firstLine="420"/>
        <w:jc w:val="both"/>
      </w:pPr>
      <w:r>
        <w:rPr>
          <w:rFonts w:ascii="Times New Roman" w:hAnsi="Times New Roman" w:eastAsia="宋体" w:cs="Times New Roman"/>
          <w:sz w:val="21"/>
          <w:szCs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rsidR="00C9640B" w:rsidRDefault="00000000">
      <w:pPr>
        <w:pStyle w:val="1"/>
        <w:keepNext/>
        <w:spacing w:before="120" w:after="0" w:line="300" w:lineRule="auto"/>
        <w:jc w:val="left"/>
      </w:pPr>
      <w:r>
        <w:rPr>
          <w:rFonts w:ascii="Times New Roman" w:eastAsia="黑体" w:hAnsi="Times New Roman" w:cs="Times New Roman"/>
          <w:sz w:val="24"/>
          <w:szCs w:val="24"/>
        </w:rPr>
        <w:t>参考文献</w:t>
      </w:r>
    </w:p>
    <w:p w:rsidR="00C9640B" w:rsidRDefault="00000000">
      <w:pPr>
        <w:spacing w:before="0" w:after="0" w:line="240" w:lineRule="auto"/>
        <w:jc w:val="both"/>
        <w:ind w:left="360" w:hanging="360"/>
      </w:pPr>
      <w:r>
        <w:rPr>
          <w:rFonts w:ascii="Times New Roman" w:eastAsia="宋体" w:hAnsi="Times New Roman" w:cs="Times New Roman"/>
          <w:sz w:val="18"/>
          <w:szCs w:val="18"/>
        </w:rPr>
        <w:t>[1] GIRSHICK R. Fast R-CNN[C]//Proceedings of the IEEE International Conference on Computer Vision. 2015: 1440-1448.</w:t>
      </w:r>
    </w:p>
    <w:p w:rsidR="00C9640B" w:rsidRDefault="00000000">
      <w:pPr>
        <w:spacing w:before="0" w:after="0" w:line="240" w:lineRule="auto"/>
        <w:jc w:val="both"/>
        <w:ind w:left="360" w:hanging="360"/>
      </w:pPr>
      <w:r>
        <w:rPr>
          <w:rFonts w:ascii="Times New Roman" w:eastAsia="宋体" w:hAnsi="Times New Roman" w:cs="Times New Roman"/>
          <w:sz w:val="18"/>
          <w:szCs w:val="18"/>
        </w:rPr>
        <w:t>[2] REN S, HE K, GIRSHICK R, et al. Faster R-CNN: Towards real-time object detection with region proposal networks[J]. IEEE Transactions on Pattern Analysis and Machine Intelligence, 2017, 39(6): 1137-1149.</w:t>
      </w:r>
    </w:p>
    <w:p w:rsidR="00C9640B" w:rsidRDefault="00000000">
      <w:pPr>
        <w:spacing w:before="0" w:after="0" w:line="240" w:lineRule="auto"/>
        <w:jc w:val="both"/>
        <w:ind w:left="360" w:hanging="360"/>
      </w:pPr>
      <w:r>
        <w:rPr>
          <w:rFonts w:ascii="Times New Roman" w:eastAsia="宋体" w:hAnsi="Times New Roman" w:cs="Times New Roman"/>
          <w:sz w:val="18"/>
          <w:szCs w:val="18"/>
        </w:rPr>
        <w:t>[3] REDMON J, DIVVALA S, GIRSHICK R, et al. You only look once: Unified, real-time object detection[C]//Proceedings of the IEEE Conference on Computer Vision and Pattern Recognition. 2016: 779-788.</w:t>
      </w:r>
    </w:p>
    <w:p w:rsidR="00C9640B" w:rsidRDefault="00000000">
      <w:pPr>
        <w:spacing w:before="0" w:after="0" w:line="240" w:lineRule="auto"/>
        <w:jc w:val="both"/>
        <w:ind w:left="360" w:hanging="360"/>
      </w:pPr>
      <w:r>
        <w:rPr>
          <w:rFonts w:ascii="Times New Roman" w:eastAsia="宋体" w:hAnsi="Times New Roman" w:cs="Times New Roman"/>
          <w:sz w:val="18"/>
          <w:szCs w:val="18"/>
        </w:rPr>
        <w:t>[4] BOCHKOVSKIY A, WANG C Y, LIAO H Y M. YOLOv4: Optimal speed and accuracy of object detection[EB/OL]. arXiv:2004.10934, 2020. https://arxiv.org/abs/2004.10934.</w:t>
      </w:r>
    </w:p>
    <w:p w:rsidR="00C9640B" w:rsidRDefault="00000000">
      <w:pPr>
        <w:spacing w:before="0" w:after="0" w:line="240" w:lineRule="auto"/>
        <w:jc w:val="both"/>
        <w:ind w:left="360" w:hanging="360"/>
      </w:pPr>
      <w:r>
        <w:rPr>
          <w:rFonts w:ascii="Times New Roman" w:eastAsia="宋体" w:hAnsi="Times New Roman" w:cs="Times New Roman"/>
          <w:sz w:val="18"/>
          <w:szCs w:val="18"/>
        </w:rPr>
        <w:t>[5] WANG C Y, BOCHKOVSKIY A, LIAO H Y M. YOLOv7: Trainable bag-of-freebies sets new state-of-the-art for real-time object detectors[C]//Proceedings of the IEEE Conference on Computer Vision and Pattern Recognition. 2023: 7464-7475.</w:t>
      </w:r>
    </w:p>
    <w:p w:rsidR="00C9640B" w:rsidRDefault="00000000">
      <w:pPr>
        <w:spacing w:before="0" w:after="0" w:line="240" w:lineRule="auto"/>
        <w:jc w:val="both"/>
        <w:ind w:left="360" w:hanging="360"/>
      </w:pPr>
      <w:r>
        <w:rPr>
          <w:rFonts w:ascii="Times New Roman" w:eastAsia="宋体" w:hAnsi="Times New Roman" w:cs="Times New Roman"/>
          <w:sz w:val="18"/>
          <w:szCs w:val="18"/>
        </w:rPr>
        <w:t>[6] WANG A, CHEN H, LIU L, et al. YOLOv10: Real-time end-to-end object detection[C]//Advances in Neural Information Processing Systems. 2024, 37. DOI: 10.52202/079017-3429.</w:t>
      </w:r>
    </w:p>
    <w:p w:rsidR="00C9640B" w:rsidRDefault="00000000">
      <w:pPr>
        <w:spacing w:before="0" w:after="0" w:line="240" w:lineRule="auto"/>
        <w:jc w:val="both"/>
        <w:ind w:left="360" w:hanging="360"/>
      </w:pPr>
      <w:r>
        <w:rPr>
          <w:rFonts w:ascii="Times New Roman" w:eastAsia="宋体" w:hAnsi="Times New Roman" w:cs="Times New Roman"/>
          <w:sz w:val="18"/>
          <w:szCs w:val="18"/>
        </w:rPr>
        <w:t>[7] ULTRALYTICS. Ultralytics YOLO11 documentation[EB/OL]. https://docs.ultralytics.com/models/yolo11/, [2026-06-23].</w:t>
      </w:r>
    </w:p>
    <w:p w:rsidR="00C9640B" w:rsidRDefault="00000000">
      <w:pPr>
        <w:spacing w:before="0" w:after="0" w:line="240" w:lineRule="auto"/>
        <w:jc w:val="both"/>
        <w:ind w:left="360" w:hanging="360"/>
      </w:pPr>
      <w:r>
        <w:rPr>
          <w:rFonts w:ascii="Times New Roman" w:eastAsia="宋体" w:hAnsi="Times New Roman" w:cs="Times New Roman"/>
          <w:sz w:val="18"/>
          <w:szCs w:val="18"/>
        </w:rPr>
        <w:t>[8] CARION N, MASSA F, SYNNAEVE G, et al. End-to-end object detection with transformers[C]//European Conference on Computer Vision. Cham: Springer, 2020: 213-229.</w:t>
      </w:r>
    </w:p>
    <w:p w:rsidR="00C9640B" w:rsidRDefault="00000000">
      <w:pPr>
        <w:spacing w:before="0" w:after="0" w:line="240" w:lineRule="auto"/>
        <w:jc w:val="both"/>
        <w:ind w:left="360" w:hanging="360"/>
      </w:pPr>
      <w:r>
        <w:rPr>
          <w:rFonts w:ascii="Times New Roman" w:eastAsia="宋体" w:hAnsi="Times New Roman" w:cs="Times New Roman"/>
          <w:sz w:val="18"/>
          <w:szCs w:val="18"/>
        </w:rPr>
        <w:t>[9] ZHAO Y, LV W, XU S, et al. DETRs beat YOLOs on real-time object detection[C]//Proceedings of the IEEE Conference on Computer Vision and Pattern Recognition. 2024: 16965-16974.</w:t>
      </w:r>
    </w:p>
    <w:p w:rsidR="00C9640B" w:rsidRDefault="00000000">
      <w:pPr>
        <w:spacing w:before="0" w:after="0" w:line="240" w:lineRule="auto"/>
        <w:jc w:val="both"/>
        <w:ind w:left="360" w:hanging="360"/>
      </w:pPr>
      <w:r>
        <w:rPr>
          <w:rFonts w:ascii="Times New Roman" w:eastAsia="宋体" w:hAnsi="Times New Roman" w:cs="Times New Roman"/>
          <w:sz w:val="18"/>
          <w:szCs w:val="18"/>
        </w:rPr>
        <w:t>[10] LIN T Y, DOLLÁR P, GIRSHICK R, et al. Feature pyramid networks for object detection[C]//Proceedings of the IEEE Conference on Computer Vision and Pattern Recognition. 2017: 2117-2125.</w:t>
      </w:r>
    </w:p>
    <w:p w:rsidR="00C9640B" w:rsidRDefault="00000000">
      <w:pPr>
        <w:spacing w:before="0" w:after="0" w:line="240" w:lineRule="auto"/>
        <w:jc w:val="both"/>
        <w:ind w:left="360" w:hanging="360"/>
      </w:pPr>
      <w:r>
        <w:rPr>
          <w:rFonts w:ascii="Times New Roman" w:eastAsia="宋体" w:hAnsi="Times New Roman" w:cs="Times New Roman"/>
          <w:sz w:val="18"/>
          <w:szCs w:val="18"/>
        </w:rPr>
        <w:t>[11] LIU S, QI L, QIN H, et al. Path aggregation network for instance segmentation[C]//Proceedings of the IEEE Conference on Computer Vision and Pattern Recognition. 2018: 8759-8768.</w:t>
      </w:r>
    </w:p>
    <w:p w:rsidR="00C9640B" w:rsidRDefault="00000000">
      <w:pPr>
        <w:spacing w:before="0" w:after="0" w:line="240" w:lineRule="auto"/>
        <w:jc w:val="both"/>
        <w:ind w:left="360" w:hanging="360"/>
      </w:pPr>
      <w:r>
        <w:rPr>
          <w:rFonts w:ascii="Times New Roman" w:eastAsia="宋体" w:hAnsi="Times New Roman" w:cs="Times New Roman"/>
          <w:sz w:val="18"/>
          <w:szCs w:val="18"/>
        </w:rPr>
        <w:t>[12] SINGH B, DAVIS L S. An analysis of scale invariance in object detection—SNIP[C]//Proceedings of the IEEE Conference on Computer Vision and Pattern Recognition. 2018: 3578-3587.</w:t>
      </w:r>
    </w:p>
    <w:p w:rsidR="00C9640B" w:rsidRDefault="00000000">
      <w:pPr>
        <w:spacing w:before="0" w:after="0" w:line="240" w:lineRule="auto"/>
        <w:jc w:val="both"/>
        <w:ind w:left="360" w:hanging="360"/>
      </w:pPr>
      <w:r>
        <w:rPr>
          <w:rFonts w:ascii="Times New Roman" w:eastAsia="宋体" w:hAnsi="Times New Roman" w:cs="Times New Roman"/>
          <w:sz w:val="18"/>
          <w:szCs w:val="18"/>
        </w:rPr>
        <w:t>[13] AKYON F C, ALTINUC S O, TEMIZEL A. Slicing aided hyper inference and fine-tuning for small object detection[C]//IEEE International Conference on Image Processing. 2022: 966-970.</w:t>
      </w:r>
    </w:p>
    <w:p w:rsidR="00C9640B" w:rsidRDefault="00000000">
      <w:pPr>
        <w:spacing w:before="0" w:after="0" w:line="240" w:lineRule="auto"/>
        <w:jc w:val="both"/>
        <w:ind w:left="360" w:hanging="360"/>
      </w:pPr>
      <w:r>
        <w:rPr>
          <w:rFonts w:ascii="Times New Roman" w:eastAsia="宋体" w:hAnsi="Times New Roman" w:cs="Times New Roman"/>
          <w:sz w:val="18"/>
          <w:szCs w:val="18"/>
        </w:rPr>
        <w:t>[14] HOU Q, ZHOU D, FENG J. Coordinate attention for efficient mobile network design[C]//Proceedings of the IEEE Conference on Computer Vision and Pattern Recognition. 2021: 13713-13722.</w:t>
      </w:r>
    </w:p>
    <w:p w:rsidR="00C9640B" w:rsidRDefault="00000000">
      <w:pPr>
        <w:spacing w:before="0" w:after="0" w:line="240" w:lineRule="auto"/>
        <w:jc w:val="both"/>
        <w:ind w:left="360" w:hanging="360"/>
      </w:pPr>
      <w:r>
        <w:rPr>
          <w:rFonts w:ascii="Times New Roman" w:eastAsia="宋体" w:hAnsi="Times New Roman" w:cs="Times New Roman"/>
          <w:sz w:val="18"/>
          <w:szCs w:val="18"/>
        </w:rPr>
        <w:t>[15] DAI X, CHEN Y, XIAO B, et al. Dynamic head: Unifying object detection heads with attentions[C]//Proceedings of the IEEE Conference on Computer Vision and Pattern Recognition. 2021: 7373-7382.</w:t>
      </w:r>
    </w:p>
    <w:p w:rsidR="00C9640B" w:rsidRDefault="00000000">
      <w:pPr>
        <w:spacing w:before="0" w:after="0" w:line="240" w:lineRule="auto"/>
        <w:jc w:val="both"/>
        <w:ind w:left="360" w:hanging="360"/>
      </w:pPr>
      <w:r>
        <w:rPr>
          <w:rFonts w:ascii="Times New Roman" w:eastAsia="宋体" w:hAnsi="Times New Roman" w:cs="Times New Roman"/>
          <w:sz w:val="18"/>
          <w:szCs w:val="18"/>
        </w:rPr>
        <w:t>[16] TONG Z, CHEN Y, XU Z, et al. Wise-IoU: Bounding box regression loss with dynamic focusing mechanism[EB/OL]. arXiv:2301.10051, 2023. https://arxiv.org/abs/2301.10051.</w:t>
      </w:r>
    </w:p>
    <w:p w:rsidR="00C9640B" w:rsidRDefault="00000000">
      <w:pPr>
        <w:spacing w:before="0" w:after="0" w:line="240" w:lineRule="auto"/>
        <w:jc w:val="both"/>
        <w:ind w:left="360" w:hanging="360"/>
      </w:pPr>
      <w:r>
        <w:rPr>
          <w:rFonts w:ascii="Times New Roman" w:eastAsia="宋体" w:hAnsi="Times New Roman" w:cs="Times New Roman"/>
          <w:sz w:val="18"/>
          <w:szCs w:val="18"/>
        </w:rPr>
        <w:t>[17] FENG Q, XU X, WANG Z. Deep learning-based small object detection: A survey[J]. Mathematical Biosciences and Engineering, 2023, 20(4): 6551-6590.</w:t>
      </w:r>
    </w:p>
    <w:p w:rsidR="00C9640B" w:rsidRDefault="00000000">
      <w:pPr>
        <w:spacing w:before="0" w:after="0" w:line="240" w:lineRule="auto"/>
        <w:jc w:val="both"/>
        <w:ind w:left="360" w:hanging="360"/>
      </w:pPr>
      <w:r>
        <w:rPr>
          <w:rFonts w:ascii="Times New Roman" w:eastAsia="宋体" w:hAnsi="Times New Roman" w:cs="Times New Roman"/>
          <w:sz w:val="18"/>
          <w:szCs w:val="18"/>
        </w:rPr>
        <w:t>[18] YU H, LUO Y, SHU M, et al. DAIR-V2X: A large-scale dataset for vehicle-infrastructure cooperative 3D object detection[C]//Proceedings of the IEEE Conference on Computer Vision and Pattern Recognition. 2022: 21361-21370.</w:t>
      </w:r>
    </w:p>
    <w:p w:rsidR="00C9640B" w:rsidRDefault="00000000">
      <w:pPr>
        <w:spacing w:before="0" w:after="0" w:line="240" w:lineRule="auto"/>
        <w:jc w:val="both"/>
        <w:ind w:left="360" w:hanging="360"/>
      </w:pPr>
      <w:r>
        <w:rPr>
          <w:rFonts w:ascii="Times New Roman" w:eastAsia="宋体" w:hAnsi="Times New Roman" w:cs="Times New Roman"/>
          <w:sz w:val="18"/>
          <w:szCs w:val="18"/>
        </w:rPr>
        <w:t>[19] LIANG E, WEI D, LI F, et al. Object detection model of vehicle-road cooperative autonomous driving based on improved YOLO11 algorithm[J]. Scientific Reports, 2025, 15: 32348.</w:t>
      </w:r>
    </w:p>
    <w:p w:rsidR="00C9640B" w:rsidRDefault="00000000">
      <w:pPr>
        <w:spacing w:before="0" w:after="0" w:line="240" w:lineRule="auto"/>
        <w:jc w:val="both"/>
        <w:ind w:left="360" w:hanging="360"/>
      </w:pPr>
      <w:r>
        <w:rPr>
          <w:rFonts w:ascii="Times New Roman" w:eastAsia="宋体" w:hAnsi="Times New Roman" w:cs="Times New Roman"/>
          <w:sz w:val="18"/>
          <w:szCs w:val="18"/>
        </w:rPr>
        <w:t>[20] ZHENG Z, ZHAO J, FAN J, et al. A complex roadside object detection model based on multi-scale feature pyramid network[J]. Scientific Reports, 2025, 15: 15992.</w:t>
      </w:r>
    </w:p>
    <w:p w:rsidR="00C9640B" w:rsidRDefault="00000000">
      <w:pPr>
        <w:spacing w:before="0" w:after="0" w:line="240" w:lineRule="auto"/>
        <w:jc w:val="both"/>
        <w:ind w:left="360" w:hanging="360"/>
      </w:pPr>
      <w:r>
        <w:rPr>
          <w:rFonts w:ascii="Times New Roman" w:eastAsia="宋体" w:hAnsi="Times New Roman" w:cs="Times New Roman"/>
          <w:sz w:val="18"/>
          <w:szCs w:val="18"/>
        </w:rPr>
        <w:t>[21] MA P, HE X, CHEN Y, et al. ISOD: Improved small object detection based on extended scale feature pyramid network[J]. The Visual Computer, 2025, 41: 465-479.</w:t>
      </w:r>
    </w:p>
    <w:p w:rsidR="00C9640B" w:rsidRDefault="00000000">
      <w:pPr>
        <w:spacing w:before="0" w:after="0" w:line="240" w:lineRule="auto"/>
        <w:jc w:val="both"/>
        <w:ind w:left="360" w:hanging="360"/>
      </w:pPr>
      <w:r>
        <w:rPr>
          <w:rFonts w:ascii="Times New Roman" w:eastAsia="宋体" w:hAnsi="Times New Roman" w:cs="Times New Roman"/>
          <w:sz w:val="18"/>
          <w:szCs w:val="18"/>
        </w:rPr>
        <w:t>[22] DU Z, HU Z, ZHAO G, et al. Cross-layer feature pyramid transformer for small object detection in aerial images[J]. IEEE Transactions on Geoscience and Remote Sensing, 2025, 63: 1-14.</w:t>
      </w:r>
    </w:p>
    <w:p w:rsidR="00C9640B" w:rsidRDefault="00000000">
      <w:pPr>
        <w:spacing w:before="0" w:after="0" w:line="240" w:lineRule="auto"/>
        <w:jc w:val="both"/>
        <w:ind w:left="360" w:hanging="360"/>
      </w:pPr>
      <w:r>
        <w:rPr>
          <w:rFonts w:ascii="Times New Roman" w:eastAsia="宋体" w:hAnsi="Times New Roman" w:cs="Times New Roman"/>
          <w:sz w:val="18"/>
          <w:szCs w:val="18"/>
        </w:rPr>
        <w:t>[23] TAN M, PANG R, LE Q V. EfficientDet: Scalable and efficient object detection[C]//Proceedings of the IEEE Conference on Computer Vision and Pattern Recognition. 2020: 10781-10790.</w:t>
      </w:r>
    </w:p>
    <w:p w:rsidR="00C9640B" w:rsidRDefault="00000000">
      <w:pPr>
        <w:spacing w:before="0" w:after="0" w:line="240" w:lineRule="auto"/>
        <w:jc w:val="both"/>
        <w:ind w:left="360" w:hanging="360"/>
      </w:pPr>
      <w:r>
        <w:rPr>
          <w:rFonts w:ascii="Times New Roman" w:eastAsia="宋体" w:hAnsi="Times New Roman" w:cs="Times New Roman"/>
          <w:sz w:val="18"/>
          <w:szCs w:val="18"/>
        </w:rPr>
        <w:t>[24] HU J, SHEN L, SUN G. Squeeze-and-excitation networks[C]//Proceedings of the IEEE Conference on Computer Vision and Pattern Recognition. 2018: 7132-7141.</w:t>
      </w:r>
    </w:p>
    <w:p w:rsidR="00C9640B" w:rsidRDefault="00000000">
      <w:pPr>
        <w:spacing w:before="0" w:after="0" w:line="240" w:lineRule="auto"/>
        <w:jc w:val="both"/>
        <w:ind w:left="360" w:hanging="360"/>
      </w:pPr>
      <w:r>
        <w:rPr>
          <w:rFonts w:ascii="Times New Roman" w:eastAsia="宋体" w:hAnsi="Times New Roman" w:cs="Times New Roman"/>
          <w:sz w:val="18"/>
          <w:szCs w:val="18"/>
        </w:rPr>
        <w:t>[25] WOO S, PARK J, LEE J Y, et al. CBAM: Convolutional block attention module[C]//European Conference on Computer Vision. Cham: Springer, 2018: 3-19.</w:t>
      </w:r>
    </w:p>
    <w:p w:rsidR="00C9640B" w:rsidRDefault="00000000">
      <w:pPr>
        <w:spacing w:before="0" w:after="0" w:line="240" w:lineRule="auto"/>
        <w:jc w:val="both"/>
        <w:ind w:left="360" w:hanging="360"/>
      </w:pPr>
      <w:r>
        <w:rPr>
          <w:rFonts w:ascii="Times New Roman" w:eastAsia="宋体" w:hAnsi="Times New Roman" w:cs="Times New Roman"/>
          <w:sz w:val="18"/>
          <w:szCs w:val="18"/>
        </w:rPr>
        <w:t>[26] WANG Q, WU B, ZHU P, et al. ECA-Net: Efficient channel attention for deep convolutional neural networks[C]//Proceedings of the IEEE Conference on Computer Vision and Pattern Recognition. 2020: 11534-11542.</w:t>
      </w:r>
    </w:p>
    <w:p w:rsidR="00C9640B" w:rsidRDefault="00000000">
      <w:pPr>
        <w:spacing w:before="0" w:after="0" w:line="240" w:lineRule="auto"/>
        <w:jc w:val="both"/>
        <w:ind w:left="360" w:hanging="360"/>
      </w:pPr>
      <w:r>
        <w:rPr>
          <w:rFonts w:ascii="Times New Roman" w:eastAsia="宋体" w:hAnsi="Times New Roman" w:cs="Times New Roman"/>
          <w:sz w:val="18"/>
          <w:szCs w:val="18"/>
        </w:rPr>
        <w:t>[27] LIN T Y, MAIRE M, BELONGIE S, et al. Microsoft COCO: Common objects in context[C]//European Conference on Computer Vision. Cham: Springer, 2014: 740-755.</w:t>
      </w:r>
    </w:p>
    <w:p w:rsidR="00C9640B" w:rsidRDefault="00000000">
      <w:pPr>
        <w:spacing w:before="0" w:after="0" w:line="240" w:lineRule="auto"/>
        <w:jc w:val="both"/>
        <w:ind w:left="360" w:hanging="360"/>
      </w:pPr>
      <w:r>
        <w:rPr>
          <w:rFonts w:ascii="Times New Roman" w:eastAsia="宋体" w:hAnsi="Times New Roman" w:cs="Times New Roman"/>
          <w:sz w:val="18"/>
          <w:szCs w:val="18"/>
        </w:rPr>
        <w:t>[28] REZATOFIGHI H, TSOI N, GWAK J, et al. Generalized intersection over union: A metric and a loss for bounding box regression[C]//Proceedings of the IEEE Conference on Computer Vision and Pattern Recognition. 2019: 658-666.</w:t>
      </w:r>
    </w:p>
    <w:p w:rsidR="00C9640B" w:rsidRDefault="00000000">
      <w:pPr>
        <w:spacing w:before="0" w:after="0" w:line="240" w:lineRule="auto"/>
        <w:jc w:val="both"/>
        <w:ind w:left="360" w:hanging="360"/>
      </w:pPr>
      <w:r>
        <w:rPr>
          <w:rFonts w:ascii="Times New Roman" w:eastAsia="宋体" w:hAnsi="Times New Roman" w:cs="Times New Roman"/>
          <w:sz w:val="18"/>
          <w:szCs w:val="18"/>
        </w:rPr>
        <w:t>[29] ZHENG Z, WANG P, LIU W, et al. Distance-IoU loss: Faster and better learning for bounding box regression[J]. Proceedings of the AAAI Conference on Artificial Intelligence, 2020, 34(7): 12993-13000.</w:t>
      </w:r>
    </w:p>
    <w:p w:rsidR="00C9640B" w:rsidRDefault="00000000">
      <w:pPr>
        <w:pStyle w:val="1"/>
        <w:spacing w:before="0" w:after="0" w:line="276" w:lineRule="auto"/>
        <w:ind w:firstLine="420"/>
        <w:jc w:val="both"/>
      </w:pPr>
      <w:r>
        <w:rPr>
          <w:rFonts w:ascii="Times New Roman" w:eastAsia="宋体" w:hAnsi="Times New Roman" w:cs="Times New Roman"/>
          <w:sz w:val="21"/>
          <w:szCs w:val="21"/>
        </w:rPr>
        <w:lastRenderedPageBreak/>
        <w:t>附加声明</w:t>
      </w:r>
    </w:p>
    <w:p w:rsidR="00C9640B" w:rsidRDefault="00000000">
      <w:pPr>
        <w:spacing w:before="0" w:after="0" w:line="276" w:lineRule="auto"/>
        <w:ind w:firstLine="420"/>
        <w:jc w:val="both"/>
      </w:pPr>
      <w:r>
        <w:rPr>
          <w:rFonts w:ascii="Times New Roman" w:hAnsi="Times New Roman" w:eastAsia="宋体" w:cs="Times New Roman"/>
          <w:sz w:val="21"/>
          <w:szCs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headerReference w:type="default" r:id="rId17"/>
      <w:footerReference w:type="default" r:id="rId18"/>
      <w:pgSz w:w="11906" w:h="16838"/>
      <w:pgMar w:top="1814" w:right="1134" w:bottom="1418" w:left="1134" w:header="1134" w:footer="0" w:gutter="0"/>
      <w:docGrid w:linePitch="329" w:charSpace="1833"/>
      <w:cols w:space="425"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6FEB" w:rsidRDefault="00036FEB">
      <w:pPr>
        <w:spacing w:after="0" w:line="240" w:lineRule="auto"/>
      </w:pPr>
      <w:r>
        <w:separator/>
      </w:r>
    </w:p>
  </w:endnote>
  <w:endnote w:type="continuationSeparator" w:id="0">
    <w:p w:rsidR="00036FEB" w:rsidRDefault="0003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40B" w:rsidRDefault="00000000">
    <w:pPr>
      <w:pStyle w:val="a7"/>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512718">
      <w:rPr>
        <w:rFonts w:ascii="Times New Roman" w:eastAsia="Times New Roman" w:hAnsi="Times New Roman"/>
        <w:sz w:val="18"/>
      </w:rPr>
      <w:fldChar w:fldCharType="separate"/>
    </w:r>
    <w:r w:rsidR="00512718">
      <w:rPr>
        <w:rFonts w:ascii="Times New Roman" w:eastAsia="Times New Roman" w:hAnsi="Times New Roman"/>
        <w:noProof/>
        <w:sz w:val="18"/>
      </w:rPr>
      <w:t>1</w:t>
    </w:r>
    <w:r>
      <w:rPr>
        <w:rFonts w:ascii="Times New Roman" w:eastAsia="Times New Roman" w:hAnsi="Times New Roma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D987">
    <w:pPr>
      <w:rPr>
        <w:sz w:val="15"/>
        <w:szCs w:val="15"/>
      </w:rPr>
    </w:pPr>
    <w:r>
      <w:rPr>
        <w:rFonts w:eastAsia="黑体"/>
        <w:b/>
        <w:sz w:val="15"/>
        <w:szCs w:val="15"/>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-20955</wp:posOffset>
              </wp:positionV>
              <wp:extent cx="1228725" cy="0"/>
              <wp:effectExtent l="0" t="0" r="0" b="0"/>
              <wp:wrapNone/>
              <wp:docPr id="2" name="自选图形 3"/>
              <wp:cNvGraphicFramePr/>
              <a:graphic xmlns:a="http://schemas.openxmlformats.org/drawingml/2006/main">
                <a:graphicData uri="http://schemas.microsoft.com/office/word/2010/wordprocessingShape">
                  <wps:wsp>
                    <wps:cNvCnPr/>
                    <wps:spPr>
                      <a:xfrm>
                        <a:off x="0" y="0"/>
                        <a:ext cx="12287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 o:spid="_x0000_s1026" o:spt="32" type="#_x0000_t32" style="position:absolute;left:0pt;margin-left:-1.2pt;margin-top:-1.65pt;height:0pt;width:96.75pt;z-index:251659264;mso-width-relative:page;mso-height-relative:page;" filled="f" stroked="t" coordsize="21600,21600" o:gfxdata="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vtebr1gAAAAgBAAAPAAAAAAAAAAEAIAAAACIAAABkcnMvZG93bnJldi54bWxQSwECFAAU&#10;AAAACACHTuJASJM0a/MBAADjAwAADgAAAAAAAAABACAAAAAlAQAAZHJzL2Uyb0RvYy54bWxQSwUG&#10;AAAAAAYABgBZAQAAigUAAAAA&#10;">
              <v:fill on="f" focussize="0,0"/>
              <v:stroke color="#000000" joinstyle="round"/>
              <v:imagedata o:title=""/>
              <o:lock v:ext="edit" aspectratio="f"/>
            </v:shape>
          </w:pict>
        </mc:Fallback>
      </mc:AlternateContent>
    </w:r>
    <w:r>
      <w:rPr>
        <w:rStyle w:val="70"/>
        <w:rFonts w:hint="eastAsia"/>
        <w:sz w:val="15"/>
        <w:szCs w:val="15"/>
      </w:rPr>
      <w:t>收稿日期</w:t>
    </w:r>
    <w:r>
      <w:rPr>
        <w:rFonts w:hint="eastAsia"/>
        <w:sz w:val="15"/>
        <w:szCs w:val="15"/>
      </w:rPr>
      <w:t xml:space="preserve">： </w:t>
    </w:r>
  </w:p>
  <w:p w14:paraId="4BB6F2F0">
    <w:pPr>
      <w:rPr>
        <w:sz w:val="15"/>
        <w:szCs w:val="15"/>
      </w:rPr>
    </w:pPr>
    <w:r>
      <w:rPr>
        <w:rFonts w:hint="eastAsia" w:ascii="黑体" w:eastAsia="黑体"/>
        <w:b/>
        <w:sz w:val="15"/>
        <w:szCs w:val="15"/>
      </w:rPr>
      <w:t>基金项目</w:t>
    </w:r>
    <w:r>
      <w:rPr>
        <w:rFonts w:hint="eastAsia"/>
        <w:sz w:val="15"/>
        <w:szCs w:val="15"/>
      </w:rPr>
      <w:t xml:space="preserve">： </w:t>
    </w:r>
    <w:r>
      <w:rPr>
        <w:rFonts w:ascii="Calibri" w:hAnsi="Calibri" w:eastAsia="楷体" w:cs="Calibri"/>
        <w:kern w:val="0"/>
        <w:sz w:val="15"/>
        <w:szCs w:val="15"/>
      </w:rPr>
      <w:t>黑龙江省自然科学基金（LH2024F047）</w:t>
    </w:r>
  </w:p>
  <w:p w14:paraId="6F173ABF">
    <w:pPr>
      <w:widowControl/>
      <w:rPr>
        <w:rFonts w:ascii="楷体" w:hAnsi="楷体" w:eastAsia="楷体"/>
        <w:kern w:val="0"/>
        <w:sz w:val="15"/>
        <w:szCs w:val="15"/>
      </w:rPr>
    </w:pPr>
    <w:r>
      <w:rPr>
        <w:rFonts w:hint="eastAsia" w:ascii="黑体" w:eastAsia="黑体"/>
        <w:b/>
        <w:sz w:val="15"/>
        <w:szCs w:val="15"/>
      </w:rPr>
      <w:t>作者简介</w:t>
    </w:r>
    <w:r>
      <w:rPr>
        <w:rFonts w:hint="eastAsia"/>
        <w:sz w:val="15"/>
        <w:szCs w:val="15"/>
      </w:rPr>
      <w:t xml:space="preserve">： </w:t>
    </w:r>
    <w:r>
      <w:rPr>
        <w:rFonts w:hint="eastAsia" w:ascii="楷体" w:hAnsi="楷体" w:eastAsia="楷体"/>
        <w:kern w:val="0"/>
        <w:sz w:val="15"/>
        <w:szCs w:val="15"/>
      </w:rPr>
      <w:t>刘华硕（</w:t>
    </w:r>
    <w:r>
      <w:rPr>
        <w:rFonts w:ascii="楷体" w:hAnsi="楷体" w:eastAsia="楷体"/>
        <w:kern w:val="0"/>
        <w:sz w:val="15"/>
        <w:szCs w:val="15"/>
      </w:rPr>
      <w:t>2001</w:t>
    </w:r>
    <w:r>
      <w:rPr>
        <w:rFonts w:hint="eastAsia" w:ascii="楷体" w:hAnsi="楷体" w:eastAsia="楷体"/>
        <w:kern w:val="0"/>
        <w:sz w:val="15"/>
        <w:szCs w:val="15"/>
      </w:rPr>
      <w:t>—），男，硕士研究生；</w:t>
    </w:r>
  </w:p>
  <w:p w14:paraId="2F2A3C65">
    <w:pPr>
      <w:widowControl/>
      <w:ind w:firstLine="825" w:firstLineChars="550"/>
      <w:rPr>
        <w:rFonts w:ascii="楷体" w:hAnsi="楷体" w:eastAsia="楷体"/>
        <w:kern w:val="0"/>
        <w:sz w:val="15"/>
        <w:szCs w:val="15"/>
      </w:rPr>
    </w:pPr>
    <w:r>
      <w:rPr>
        <w:rFonts w:hint="eastAsia" w:ascii="楷体" w:hAnsi="楷体" w:eastAsia="楷体"/>
        <w:kern w:val="0"/>
        <w:sz w:val="15"/>
        <w:szCs w:val="15"/>
      </w:rPr>
      <w:t>王金聪（1988—），男，</w:t>
    </w:r>
    <w:r>
      <w:rPr>
        <w:rFonts w:hint="eastAsia" w:ascii="楷体" w:hAnsi="楷体" w:eastAsia="楷体"/>
        <w:kern w:val="0"/>
        <w:sz w:val="15"/>
        <w:szCs w:val="15"/>
        <w:lang w:eastAsia="zh-CN"/>
      </w:rPr>
      <w:t>硕士，</w:t>
    </w:r>
    <w:r>
      <w:rPr>
        <w:rFonts w:hint="eastAsia" w:ascii="楷体" w:hAnsi="楷体" w:eastAsia="楷体"/>
        <w:kern w:val="0"/>
        <w:sz w:val="15"/>
        <w:szCs w:val="15"/>
      </w:rPr>
      <w:t>工程师；</w:t>
    </w:r>
  </w:p>
  <w:p w14:paraId="105F0D78">
    <w:pPr>
      <w:widowControl/>
      <w:ind w:firstLine="825" w:firstLineChars="550"/>
      <w:rPr>
        <w:rFonts w:ascii="楷体" w:hAnsi="楷体" w:eastAsia="楷体"/>
        <w:kern w:val="0"/>
        <w:sz w:val="15"/>
        <w:szCs w:val="15"/>
      </w:rPr>
    </w:pPr>
    <w:r>
      <w:rPr>
        <w:rFonts w:ascii="楷体" w:hAnsi="楷体" w:eastAsia="楷体"/>
        <w:kern w:val="0"/>
        <w:sz w:val="15"/>
        <w:szCs w:val="15"/>
      </w:rPr>
      <w:t>任洪娥（1962—），女，</w:t>
    </w:r>
    <w:r>
      <w:rPr>
        <w:rFonts w:hint="eastAsia" w:ascii="楷体" w:hAnsi="楷体" w:eastAsia="楷体"/>
        <w:kern w:val="0"/>
        <w:sz w:val="15"/>
        <w:szCs w:val="15"/>
      </w:rPr>
      <w:t>博士，教授，博士研究生导师；</w:t>
    </w:r>
  </w:p>
  <w:p w14:paraId="3C5E4342">
    <w:pPr>
      <w:ind w:firstLine="825" w:firstLineChars="550"/>
      <w:rPr>
        <w:rFonts w:ascii="楷体" w:hAnsi="楷体" w:eastAsia="楷体"/>
        <w:kern w:val="0"/>
        <w:sz w:val="15"/>
        <w:szCs w:val="15"/>
      </w:rPr>
    </w:pPr>
    <w:r>
      <w:rPr>
        <w:rFonts w:ascii="楷体" w:hAnsi="楷体" w:eastAsia="楷体"/>
        <w:kern w:val="0"/>
        <w:sz w:val="15"/>
        <w:szCs w:val="15"/>
      </w:rPr>
      <w:t>赵龙</w:t>
    </w:r>
    <w:r>
      <w:rPr>
        <w:rFonts w:hint="eastAsia" w:ascii="楷体" w:hAnsi="楷体" w:eastAsia="楷体"/>
        <w:kern w:val="0"/>
        <w:sz w:val="15"/>
        <w:szCs w:val="15"/>
      </w:rPr>
      <w:t>（</w:t>
    </w:r>
    <w:r>
      <w:rPr>
        <w:rFonts w:ascii="楷体" w:hAnsi="楷体" w:eastAsia="楷体"/>
        <w:kern w:val="0"/>
        <w:sz w:val="15"/>
        <w:szCs w:val="15"/>
      </w:rPr>
      <w:t>1981—</w:t>
    </w:r>
    <w:r>
      <w:rPr>
        <w:rFonts w:hint="eastAsia" w:ascii="楷体" w:hAnsi="楷体" w:eastAsia="楷体"/>
        <w:kern w:val="0"/>
        <w:sz w:val="15"/>
        <w:szCs w:val="15"/>
      </w:rPr>
      <w:t>）</w:t>
    </w:r>
    <w:r>
      <w:rPr>
        <w:rFonts w:ascii="楷体" w:hAnsi="楷体" w:eastAsia="楷体"/>
        <w:kern w:val="0"/>
        <w:sz w:val="15"/>
        <w:szCs w:val="15"/>
      </w:rPr>
      <w:t>，男，博士</w:t>
    </w:r>
    <w:r>
      <w:rPr>
        <w:rFonts w:hint="eastAsia" w:ascii="楷体" w:hAnsi="楷体" w:eastAsia="楷体"/>
        <w:kern w:val="0"/>
        <w:sz w:val="15"/>
        <w:szCs w:val="15"/>
      </w:rPr>
      <w:t>，教授。</w:t>
    </w:r>
  </w:p>
  <w:p w14:paraId="55C35AAA">
    <w:pPr>
      <w:rPr>
        <w:rFonts w:ascii="楷体" w:hAnsi="楷体" w:eastAsia="楷体"/>
        <w:kern w:val="0"/>
        <w:sz w:val="15"/>
        <w:szCs w:val="15"/>
      </w:rPr>
    </w:pPr>
    <w:r>
      <w:rPr>
        <w:rStyle w:val="70"/>
        <w:rFonts w:hint="eastAsia"/>
        <w:sz w:val="15"/>
        <w:szCs w:val="15"/>
      </w:rPr>
      <w:t>通信作者</w:t>
    </w:r>
    <w:r>
      <w:rPr>
        <w:rFonts w:hint="eastAsia"/>
        <w:sz w:val="15"/>
        <w:szCs w:val="15"/>
      </w:rPr>
      <w:t xml:space="preserve">： </w:t>
    </w:r>
    <w:r>
      <w:rPr>
        <w:rFonts w:hint="eastAsia" w:ascii="楷体" w:hAnsi="楷体" w:eastAsia="楷体"/>
        <w:kern w:val="0"/>
        <w:sz w:val="15"/>
        <w:szCs w:val="15"/>
      </w:rPr>
      <w:t>王金聪，</w:t>
    </w:r>
    <w:r>
      <w:rPr>
        <w:rFonts w:ascii="楷体" w:hAnsi="楷体" w:eastAsia="楷体"/>
        <w:kern w:val="0"/>
        <w:sz w:val="15"/>
        <w:szCs w:val="15"/>
      </w:rPr>
      <w:t>E-mail：wangjincong@foxmail.com；</w:t>
    </w:r>
  </w:p>
  <w:p w14:paraId="1030BD5C">
    <w:pPr>
      <w:rPr>
        <w:color w:val="FF0000"/>
        <w:sz w:val="15"/>
        <w:szCs w:val="15"/>
      </w:rPr>
    </w:pPr>
    <w:r>
      <w:rPr>
        <w:rFonts w:hint="eastAsia"/>
        <w:color w:val="FF0000"/>
        <w:sz w:val="15"/>
        <w:szCs w:val="15"/>
      </w:rPr>
      <w:t xml:space="preserve"> </w:t>
    </w:r>
    <w:r>
      <w:rPr>
        <w:color w:val="FF0000"/>
        <w:sz w:val="15"/>
        <w:szCs w:val="15"/>
      </w:rPr>
      <w:t xml:space="preserve">          </w:t>
    </w:r>
    <w:r>
      <w:rPr>
        <w:rFonts w:ascii="楷体" w:hAnsi="楷体" w:eastAsia="楷体"/>
        <w:kern w:val="0"/>
        <w:sz w:val="15"/>
        <w:szCs w:val="15"/>
      </w:rPr>
      <w:t>任洪娥</w:t>
    </w:r>
    <w:r>
      <w:rPr>
        <w:rFonts w:hint="eastAsia" w:ascii="楷体" w:hAnsi="楷体" w:eastAsia="楷体"/>
        <w:kern w:val="0"/>
        <w:sz w:val="15"/>
        <w:szCs w:val="15"/>
      </w:rPr>
      <w:t>，</w:t>
    </w:r>
    <w:r>
      <w:rPr>
        <w:rFonts w:ascii="楷体" w:hAnsi="楷体" w:eastAsia="楷体"/>
        <w:kern w:val="0"/>
        <w:sz w:val="15"/>
        <w:szCs w:val="15"/>
      </w:rPr>
      <w:t>E-mail：nefu_rhe@163.com.</w:t>
    </w:r>
  </w:p>
  <w:p w14:paraId="5D02768C">
    <w:pPr>
      <w:pStyle w:val="2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6FEB" w:rsidRDefault="00036FEB">
      <w:pPr>
        <w:spacing w:after="0" w:line="240" w:lineRule="auto"/>
      </w:pPr>
      <w:r>
        <w:separator/>
      </w:r>
    </w:p>
  </w:footnote>
  <w:footnote w:type="continuationSeparator" w:id="0">
    <w:p w:rsidR="00036FEB" w:rsidRDefault="00036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before="0" w:after="0" w:line="240" w:lineRule="auto"/>
      <w:jc w:val="center"/>
    </w:pPr>
    <w:r>
      <w:rPr>
        <w:rFonts w:hint="eastAsia" w:ascii="Times New Roman" w:hAnsi="Times New Roman" w:eastAsia="宋体" w:cs="Times New Roman"/>
        <w:sz w:val="18"/>
        <w:szCs w:val="18"/>
      </w:rPr>
      <w:t>刘华硕等：尺度先验驱动的路侧小目标检测方法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2034918">
    <w:abstractNumId w:val="8"/>
  </w:num>
  <w:num w:numId="2" w16cid:durableId="376591320">
    <w:abstractNumId w:val="6"/>
  </w:num>
  <w:num w:numId="3" w16cid:durableId="2107341066">
    <w:abstractNumId w:val="5"/>
  </w:num>
  <w:num w:numId="4" w16cid:durableId="1359039569">
    <w:abstractNumId w:val="4"/>
  </w:num>
  <w:num w:numId="5" w16cid:durableId="1081637975">
    <w:abstractNumId w:val="7"/>
  </w:num>
  <w:num w:numId="6" w16cid:durableId="1459253768">
    <w:abstractNumId w:val="3"/>
  </w:num>
  <w:num w:numId="7" w16cid:durableId="1201472386">
    <w:abstractNumId w:val="2"/>
  </w:num>
  <w:num w:numId="8" w16cid:durableId="1636174885">
    <w:abstractNumId w:val="1"/>
  </w:num>
  <w:num w:numId="9" w16cid:durableId="18105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EB"/>
    <w:rsid w:val="0006063C"/>
    <w:rsid w:val="0015074B"/>
    <w:rsid w:val="0029639D"/>
    <w:rsid w:val="00326F90"/>
    <w:rsid w:val="00512718"/>
    <w:rsid w:val="00AA1D8D"/>
    <w:rsid w:val="00B47730"/>
    <w:rsid w:val="00C964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4D7F3A-505C-3D43-881B-F61D752D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Huashuo Liu</cp:lastModifiedBy>
  <cp:revision>2</cp:revision>
  <dcterms:created xsi:type="dcterms:W3CDTF">2013-12-23T23:15:00Z</dcterms:created>
  <dcterms:modified xsi:type="dcterms:W3CDTF">2026-08-13T08:05:00Z</dcterms:modified>
  <cp:category/>
</cp:coreProperties>
</file>