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尺度先验驱动的路侧小目标检测方法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[17]。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中面积阈值并补充短边统计[23]，分别计算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keepLines w:val="0"/>
        <w:widowControl/>
        <w:spacing w:before="80" w:after="0" w:line="240" w:lineRule="auto"/>
        <w:jc w:val="center"/>
      </w:pPr>
      <w:r>
        <w:drawing>
          <wp:inline xmlns:a="http://schemas.openxmlformats.org/drawingml/2006/main" xmlns:pic="http://schemas.openxmlformats.org/drawingml/2006/picture">
            <wp:extent cx="5688000" cy="3602400"/>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3602400"/>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设多层输入特征为 F，DyHead 依次施加尺度注意力 πL、空间注意力 πS 和任务注意力 πC，其总体映射表示为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acc>
                <m:accPr>
                  <m:chr m:val="̃"/>
                  <m:ctrlPr>
                    <w:rPr>
                      <w:rFonts w:ascii="Cambria Math" w:hAnsi="Cambria Math"/>
                    </w:rPr>
                  </m:ctrlPr>
                </m:accPr>
                <m:e>
                  <m:r>
                    <w:rPr>
                      <w:rFonts w:ascii="Cambria Math" w:hAnsi="Cambria Math"/>
                    </w:rPr>
                    <m:t xml:space="preserve">F</m:t>
                  </m:r>
                </m:e>
              </m:acc>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C</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m:t>
              </m:r>
              <m:sSub>
                <m:sSubPr>
                  <m:ctrlPr>
                    <w:rPr>
                      <w:rFonts w:ascii="Cambria Math" w:hAnsi="Cambria Math"/>
                    </w:rPr>
                  </m:ctrlPr>
                </m:sSubPr>
                <m:e>
                  <m:r>
                    <w:rPr>
                      <w:rFonts w:ascii="Cambria Math" w:hAnsi="Cambria Math"/>
                    </w:rPr>
                    <m:t xml:space="preserve">π</m:t>
                  </m:r>
                </m:e>
                <m:sub>
                  <m:r>
                    <w:rPr>
                      <w:rFonts w:ascii="Cambria Math" w:hAnsi="Cambria Math"/>
                    </w:rPr>
                    <m:t xml:space="preserve">L</m:t>
                  </m:r>
                </m:sub>
              </m:sSub>
              <m:r>
                <w:rPr>
                  <w:rFonts w:ascii="Cambria Math" w:hAnsi="Cambria Math"/>
                </w:rPr>
                <m:t xml:space="preserve">(F)))</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对输入 x∈R^(C×H×W)，分别沿宽度和高度方向进行一维全局平均池化：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将两方向特征拼接并经1×1卷积、非线性变换后分解为 fh 与 fw，再生成方向注意力 gh、gw，输出为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令 LIoU=1−IoU，ρ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以滑动平均归一化后的离群度 β=LIoU*/L̄IoU 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t xml:space="preserve">，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batch=1，imgsz=640，FPS=1000/(preprocess+inference+postprocess)，排除loss</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时延/ms</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6.54</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9.95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+3.41</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AP。本文为8类口径（已删除 Barrowlist），与文献[19]的10类口径不可直接比较。</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Transactions on Pattern Analysis and Machine Intelligence,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detection[C]//Proceedings of the IEEE Conference on Computer Vision and Pattern Recognition.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 https://arxiv.org/abs/2004.10934.</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detectors[C]//Proceedings of the IEEE Conference on Computer Vision and Pattern Recognition.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detection[C]//Advances in Neural Information Processing Systems. 2024, 37. DOI: 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transformers[C]//European Conference on Computer Vision. Cham: Springer,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detection[C]//Proceedings of the IEEE Conference on Computer Vision and Pattern Recognition.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detection[C]//Proceedings of the IEEE Conference on Computer Vision and Pattern Recognition.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segmentation[C]//Proceedings of the IEEE Conference on Computer Vision and Pattern Recognition.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detection—SNIP[C]//Proceedings of the IEEE Conference on Computer Vision and Pattern Recognition.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detection[C]//IEEE International Conference on Image Processing.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design[C]//Proceedings of the IEEE Conference on Computer Vision and Pattern Recognition.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attentions[C]//Proceedings of the IEEE Conference on Computer Vision and Pattern Recognition.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 https://arxiv.org/abs/2301.10051.</w:t>
      </w:r>
    </w:p>
    <w:p>
      <w:pPr>
        <w:keepLines w:val="0"/>
        <w:widowControl/>
        <w:spacing w:before="0" w:after="20" w:line="240" w:lineRule="auto"/>
        <w:ind w:left="420" w:hanging="420"/>
      </w:pPr>
      <w:r>
        <w:rPr>
          <w:rFonts w:ascii="Times New Roman" w:hAnsi="Times New Roman" w:eastAsia="Times New Roman"/>
          <w:b w:val="0"/>
          <w:i w:val="0"/>
          <w:sz w:val="16"/>
        </w:rPr>
        <w:t>[17] YU H, LUO Y, SHU M, et al. DAIR-V2X: A large-scale dataset for vehicle-infrastructure cooperative 3D object detection[C]//Proceedings of the IEEE Conference on Computer Vision and Pattern Recognition. 2022: 21361-21370.</w:t>
      </w:r>
    </w:p>
    <w:p>
      <w:pPr>
        <w:keepLines w:val="0"/>
        <w:widowControl/>
        <w:spacing w:before="0" w:after="20" w:line="240" w:lineRule="auto"/>
        <w:ind w:left="420" w:hanging="420"/>
      </w:pPr>
      <w:r>
        <w:rPr>
          <w:rFonts w:ascii="Times New Roman" w:hAnsi="Times New Roman" w:eastAsia="Times New Roman"/>
          <w:b w:val="0"/>
          <w:i w:val="0"/>
          <w:sz w:val="16"/>
        </w:rPr>
        <w:t>[18]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LIN T Y, MAIRE M, BELONGIE S, et al. Microsoft COCO: Common objects in context[C]//European Conference on Computer Vision. Cham: Springer, 2014: 740-755.</w:t>
      </w:r>
    </w:p>
    <w:p>
      <w:pPr>
        <w:keepLines w:val="0"/>
        <w:widowControl/>
        <w:spacing w:before="0" w:after="20" w:line="240" w:lineRule="auto"/>
        <w:ind w:left="420" w:hanging="420"/>
      </w:pPr>
      <w:r>
        <w:rPr>
          <w:rFonts w:ascii="Times New Roman" w:hAnsi="Times New Roman" w:eastAsia="Times New Roman"/>
          <w:b w:val="0"/>
          <w:i w:val="0"/>
          <w:sz w:val="16"/>
        </w:rPr>
        <w:t>[24] REZATOFIGHI H, TSOI N, GWAK J, et al. Generalized intersection over union: A metric and a loss for bounding box regression[C]//Proceedings of the IEEE Conference on Computer Vision and Pattern Recognition. 2019: 658-666.</w:t>
      </w:r>
    </w:p>
    <w:p>
      <w:pPr>
        <w:keepLines w:val="0"/>
        <w:widowControl/>
        <w:spacing w:before="0" w:after="20" w:line="240" w:lineRule="auto"/>
        <w:ind w:left="420" w:hanging="420"/>
      </w:pPr>
      <w:r>
        <w:rPr>
          <w:rFonts w:ascii="Times New Roman" w:hAnsi="Times New Roman" w:eastAsia="Times New Roman"/>
          <w:b w:val="0"/>
          <w:i w:val="0"/>
          <w:sz w:val="16"/>
        </w:rPr>
        <w:t>[25] ZHENG Z, WANG P, LIU W, et al. Distance-IoU loss: Faster and better learning for bounding box regression[J]. Proceedings of the AAAI Conference on Artificial Intelligence, 2020, 34(7): 12993-13000.</w:t>
      </w:r>
    </w:p>
    <w:p>
      <w:pPr>
        <w:keepLines w:val="0"/>
        <w:widowControl/>
        <w:spacing w:before="0" w:after="20" w:line="240" w:lineRule="auto"/>
        <w:ind w:left="420" w:hanging="420"/>
      </w:pPr>
      <w:r>
        <w:rPr>
          <w:rFonts w:ascii="Times New Roman" w:hAnsi="Times New Roman" w:eastAsia="Times New Roman"/>
          <w:b w:val="0"/>
          <w:i w:val="0"/>
          <w:sz w:val="16"/>
        </w:rPr>
        <w:t>[26] TAN M, PANG R, LE Q V. EfficientDet: Scalable and efficient object detection[C]//Proceedings of the IEEE Conference on Computer Vision and Pattern Recognition. 2020: 10781-10790.</w:t>
      </w:r>
    </w:p>
    <w:p>
      <w:pPr>
        <w:keepLines w:val="0"/>
        <w:widowControl/>
        <w:spacing w:before="0" w:after="20" w:line="240" w:lineRule="auto"/>
        <w:ind w:left="420" w:hanging="420"/>
      </w:pPr>
      <w:r>
        <w:rPr>
          <w:rFonts w:ascii="Times New Roman" w:hAnsi="Times New Roman" w:eastAsia="Times New Roman"/>
          <w:b w:val="0"/>
          <w:i w:val="0"/>
          <w:sz w:val="16"/>
        </w:rPr>
        <w:t>[27] HU J, SHEN L, SUN G. Squeeze-and-excitation networks[C]//Proceedings of the IEEE Conference on Computer Vision and Pattern Recognition. 2018: 7132-7141.</w:t>
      </w:r>
    </w:p>
    <w:p>
      <w:pPr>
        <w:keepLines w:val="0"/>
        <w:widowControl/>
        <w:spacing w:before="0" w:after="20" w:line="240" w:lineRule="auto"/>
        <w:ind w:left="420" w:hanging="420"/>
      </w:pPr>
      <w:r>
        <w:rPr>
          <w:rFonts w:ascii="Times New Roman" w:hAnsi="Times New Roman" w:eastAsia="Times New Roman"/>
          <w:b w:val="0"/>
          <w:i w:val="0"/>
          <w:sz w:val="16"/>
        </w:rPr>
        <w:t>[28] WOO S, PARK J, LEE J Y, et al. CBAM: Convolutional block attention module[C]//European Conference on Computer Vision. Cham: Springer, 2018: 3-19.</w:t>
      </w:r>
    </w:p>
    <w:p>
      <w:pPr>
        <w:keepLines w:val="0"/>
        <w:widowControl/>
        <w:spacing w:before="0" w:after="20" w:line="240" w:lineRule="auto"/>
        <w:ind w:left="420" w:hanging="420"/>
      </w:pPr>
      <w:r>
        <w:rPr>
          <w:rFonts w:ascii="Times New Roman" w:hAnsi="Times New Roman" w:eastAsia="Times New Roman"/>
          <w:b w:val="0"/>
          <w:i w:val="0"/>
          <w:sz w:val="16"/>
        </w:rPr>
        <w:t>[29] WANG Q, WU B, ZHU P, et al. ECA-Net: Efficient channel attention for deep convolutional neural networks[C]//Proceedings of the IEEE Conference on Computer Vision and Pattern Recognition. 2020: 11534-11542.</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