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仿宋_GB2312"/>
          <w:b/>
          <w:bCs/>
          <w:sz w:val="32"/>
          <w:szCs w:val="32"/>
          <w:shd w:val="clear" w:color="auto" w:fill="FFFFFF"/>
        </w:rPr>
      </w:pPr>
      <w:r>
        <w:rPr>
          <w:rFonts w:hint="eastAsia" w:ascii="Times New Roman" w:hAnsi="Times New Roman" w:eastAsia="仿宋_GB2312"/>
          <w:b/>
          <w:bCs/>
          <w:sz w:val="32"/>
          <w:szCs w:val="32"/>
          <w:shd w:val="clear" w:color="auto" w:fill="FFFFFF"/>
        </w:rPr>
        <w:t>大学外语教学中心关于《安徽大学大学外语分层分类个性化教学改革方案（试行）》相关问题的解答</w:t>
      </w:r>
    </w:p>
    <w:p>
      <w:pPr>
        <w:adjustRightInd w:val="0"/>
        <w:snapToGrid w:val="0"/>
        <w:jc w:val="center"/>
        <w:rPr>
          <w:rFonts w:ascii="Times New Roman" w:hAnsi="Times New Roman" w:eastAsia="仿宋_GB2312"/>
          <w:b/>
          <w:bCs/>
          <w:sz w:val="32"/>
          <w:szCs w:val="32"/>
          <w:shd w:val="clear" w:color="auto" w:fill="FFFFFF"/>
        </w:rPr>
      </w:pPr>
    </w:p>
    <w:p>
      <w:pPr>
        <w:spacing w:line="560" w:lineRule="exact"/>
        <w:ind w:firstLine="640" w:firstLineChars="200"/>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为贯彻新时代党的教育方针，落实立德树人根本任务，深入推进大学公共外语教学改革，提</w:t>
      </w:r>
      <w:r>
        <w:rPr>
          <w:rFonts w:hint="eastAsia" w:ascii="Times New Roman" w:hAnsi="Times New Roman" w:eastAsia="仿宋_GB2312"/>
          <w:sz w:val="32"/>
          <w:szCs w:val="32"/>
          <w:shd w:val="clear" w:color="auto" w:fill="FFFFFF"/>
        </w:rPr>
        <w:t>升</w:t>
      </w:r>
      <w:r>
        <w:rPr>
          <w:rFonts w:ascii="Times New Roman" w:hAnsi="Times New Roman" w:eastAsia="仿宋_GB2312"/>
          <w:sz w:val="32"/>
          <w:szCs w:val="32"/>
          <w:shd w:val="clear" w:color="auto" w:fill="FFFFFF"/>
        </w:rPr>
        <w:t>教学质量，</w:t>
      </w:r>
      <w:r>
        <w:rPr>
          <w:rFonts w:hint="eastAsia" w:ascii="Times New Roman" w:hAnsi="Times New Roman" w:eastAsia="仿宋_GB2312"/>
          <w:sz w:val="32"/>
          <w:szCs w:val="32"/>
          <w:shd w:val="clear" w:color="auto" w:fill="FFFFFF"/>
        </w:rPr>
        <w:t>安徽大学2025年5月15日发布了</w:t>
      </w:r>
      <w:r>
        <w:rPr>
          <w:rFonts w:ascii="Times New Roman" w:hAnsi="Times New Roman" w:eastAsia="仿宋_GB2312"/>
          <w:sz w:val="32"/>
          <w:szCs w:val="32"/>
          <w:shd w:val="clear" w:color="auto" w:fill="FFFFFF"/>
        </w:rPr>
        <w:t>《</w:t>
      </w:r>
      <w:r>
        <w:rPr>
          <w:rFonts w:hint="eastAsia" w:ascii="Times New Roman" w:hAnsi="Times New Roman" w:eastAsia="仿宋_GB2312"/>
          <w:sz w:val="32"/>
          <w:szCs w:val="32"/>
          <w:shd w:val="clear" w:color="auto" w:fill="FFFFFF"/>
        </w:rPr>
        <w:t>安徽大学大学外语分层分类个性化教学改革方案（试行）</w:t>
      </w:r>
      <w:r>
        <w:rPr>
          <w:rFonts w:ascii="Times New Roman" w:hAnsi="Times New Roman" w:eastAsia="仿宋_GB2312"/>
          <w:sz w:val="32"/>
          <w:szCs w:val="32"/>
          <w:shd w:val="clear" w:color="auto" w:fill="FFFFFF"/>
        </w:rPr>
        <w:t>》</w:t>
      </w:r>
      <w:r>
        <w:rPr>
          <w:rFonts w:hint="eastAsia" w:ascii="Times New Roman" w:hAnsi="Times New Roman" w:eastAsia="仿宋_GB2312"/>
          <w:sz w:val="32"/>
          <w:szCs w:val="32"/>
          <w:shd w:val="clear" w:color="auto" w:fill="FFFFFF"/>
        </w:rPr>
        <w:t>。目前，改革方案正稳步推行。为更好地服务我校学生的大学英语学习，针对方案中的三部分内容，大外中心整理了同学们关心的问题，进行逐一解答。</w:t>
      </w:r>
    </w:p>
    <w:p>
      <w:pPr>
        <w:numPr>
          <w:ilvl w:val="0"/>
          <w:numId w:val="1"/>
        </w:numPr>
        <w:spacing w:line="560" w:lineRule="exact"/>
        <w:ind w:firstLine="643" w:firstLineChars="200"/>
        <w:rPr>
          <w:rFonts w:ascii="Times New Roman" w:hAnsi="Times New Roman" w:eastAsia="仿宋_GB2312"/>
          <w:b/>
          <w:bCs/>
          <w:sz w:val="32"/>
          <w:szCs w:val="32"/>
          <w:shd w:val="clear" w:color="auto" w:fill="FFFFFF"/>
        </w:rPr>
      </w:pPr>
      <w:r>
        <w:rPr>
          <w:rFonts w:ascii="Times New Roman" w:hAnsi="Times New Roman" w:eastAsia="仿宋_GB2312"/>
          <w:b/>
          <w:bCs/>
          <w:sz w:val="32"/>
          <w:szCs w:val="32"/>
          <w:shd w:val="clear" w:color="auto" w:fill="FFFFFF"/>
        </w:rPr>
        <w:t>英语水平</w:t>
      </w:r>
      <w:r>
        <w:rPr>
          <w:rFonts w:hint="eastAsia" w:ascii="Times New Roman" w:hAnsi="Times New Roman" w:eastAsia="仿宋_GB2312"/>
          <w:b/>
          <w:bCs/>
          <w:sz w:val="32"/>
          <w:szCs w:val="32"/>
          <w:shd w:val="clear" w:color="auto" w:fill="FFFFFF"/>
        </w:rPr>
        <w:t>考试</w:t>
      </w:r>
      <w:r>
        <w:rPr>
          <w:rFonts w:ascii="Times New Roman" w:hAnsi="Times New Roman" w:eastAsia="仿宋_GB2312"/>
          <w:b/>
          <w:bCs/>
          <w:sz w:val="32"/>
          <w:szCs w:val="32"/>
          <w:shd w:val="clear" w:color="auto" w:fill="FFFFFF"/>
        </w:rPr>
        <w:t>通过后免修大学英语</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考试的性质是什么？</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考试为选拔性质，根据选拔考试的成绩确定新生年级获得大学英语课程免修资格的名单。</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考试的对象是哪些同学？</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除外语学院、纽约石溪学院外，高考外语考试语种为英语且高考英语单科成绩位列各省、自治区、直辖市、特别行政区招生生源前20%的学生（实际人数包括四舍五入后最后一名全部同分学生）可自愿参加本次考试。</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考试难度和题型是什么样的？</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考试难度和题型参照大学英语四级考试（</w:t>
      </w:r>
      <w:r>
        <w:rPr>
          <w:rFonts w:ascii="Times New Roman" w:hAnsi="Times New Roman" w:eastAsia="仿宋_GB2312"/>
          <w:sz w:val="32"/>
          <w:szCs w:val="32"/>
          <w:shd w:val="clear" w:color="auto" w:fill="FFFFFF"/>
        </w:rPr>
        <w:t>CET-4</w:t>
      </w:r>
      <w:r>
        <w:rPr>
          <w:rFonts w:hint="eastAsia" w:ascii="Times New Roman" w:hAnsi="Times New Roman" w:eastAsia="仿宋_GB2312"/>
          <w:sz w:val="32"/>
          <w:szCs w:val="32"/>
          <w:shd w:val="clear" w:color="auto" w:fill="FFFFFF"/>
        </w:rPr>
        <w:t>）难度。参加考试的同学需自备听力耳机。</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考试结束后，如果获得了大学英语课程免修资格，后续有哪些选择或流程呢？</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根据考试成绩，未能获得免修资格的同学需选修大学英语系列课程；获得免修资格的同学自愿选择如下任意一种方式继续大学英语学习：1）放弃免修资格，继续选择大学英语课程进行学习；2）申请免修，直接兑换1-4学期大学英语课程成绩（统一兑换为85分）；3）</w:t>
      </w:r>
      <w:r>
        <w:rPr>
          <w:rFonts w:ascii="Times New Roman" w:hAnsi="Times New Roman" w:eastAsia="仿宋_GB2312"/>
          <w:sz w:val="32"/>
          <w:szCs w:val="32"/>
          <w:shd w:val="clear" w:color="auto" w:fill="FFFFFF"/>
        </w:rPr>
        <w:t>修读第二外语或高阶英语课程</w:t>
      </w:r>
      <w:r>
        <w:rPr>
          <w:rFonts w:hint="eastAsia" w:ascii="Times New Roman" w:hAnsi="Times New Roman" w:eastAsia="仿宋_GB2312"/>
          <w:sz w:val="32"/>
          <w:szCs w:val="32"/>
          <w:shd w:val="clear" w:color="auto" w:fill="FFFFFF"/>
        </w:rPr>
        <w:t>代替大学英语课程。</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未能参加新生选拔考试或参加了选拔但没有成功获得免修资格的同学是否再无机会免修或修读</w:t>
      </w:r>
      <w:r>
        <w:rPr>
          <w:rFonts w:ascii="Times New Roman" w:hAnsi="Times New Roman" w:eastAsia="仿宋_GB2312"/>
          <w:sz w:val="32"/>
          <w:szCs w:val="32"/>
          <w:shd w:val="clear" w:color="auto" w:fill="FFFFFF"/>
        </w:rPr>
        <w:t>第二外语</w:t>
      </w:r>
      <w:r>
        <w:rPr>
          <w:rFonts w:hint="eastAsia" w:ascii="Times New Roman" w:hAnsi="Times New Roman" w:eastAsia="仿宋_GB2312"/>
          <w:sz w:val="32"/>
          <w:szCs w:val="32"/>
          <w:shd w:val="clear" w:color="auto" w:fill="FFFFFF"/>
        </w:rPr>
        <w:t>或高阶英语课程呢？</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不是的。大学外语教学中心秉持“</w:t>
      </w:r>
      <w:r>
        <w:rPr>
          <w:rFonts w:ascii="Times New Roman" w:hAnsi="Times New Roman" w:eastAsia="仿宋_GB2312"/>
          <w:sz w:val="32"/>
          <w:szCs w:val="32"/>
          <w:shd w:val="clear" w:color="auto" w:fill="FFFFFF"/>
        </w:rPr>
        <w:t>遵循指南、校本特色</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分层分类、因材施教</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能免尽免、应修尽修</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出口导向、以考代学</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测训一体、以分赋能</w:t>
      </w:r>
      <w:r>
        <w:rPr>
          <w:rFonts w:hint="eastAsia" w:ascii="Times New Roman" w:hAnsi="Times New Roman" w:eastAsia="仿宋_GB2312"/>
          <w:sz w:val="32"/>
          <w:szCs w:val="32"/>
          <w:shd w:val="clear" w:color="auto" w:fill="FFFFFF"/>
        </w:rPr>
        <w:t>”的改革思路，目的是让所有的同学找到适合自己的大学外语学习路径，这是多样化的路径，且通道是动态开放的，如第一学期未能获得免修资格，我们还为同学们提供了多元的课程选择机会和免修机会，详见下面的（二）和（三）部分。</w:t>
      </w:r>
    </w:p>
    <w:p>
      <w:pPr>
        <w:spacing w:line="560" w:lineRule="exact"/>
        <w:ind w:firstLine="643" w:firstLineChars="200"/>
        <w:rPr>
          <w:rFonts w:ascii="Times New Roman" w:hAnsi="Times New Roman" w:eastAsia="仿宋_GB2312"/>
          <w:b/>
          <w:bCs/>
          <w:sz w:val="32"/>
          <w:szCs w:val="32"/>
          <w:shd w:val="clear" w:color="auto" w:fill="FFFFFF"/>
        </w:rPr>
      </w:pPr>
      <w:r>
        <w:rPr>
          <w:rFonts w:hint="eastAsia" w:ascii="Times New Roman" w:hAnsi="Times New Roman" w:eastAsia="仿宋_GB2312"/>
          <w:b/>
          <w:bCs/>
          <w:sz w:val="32"/>
          <w:szCs w:val="32"/>
          <w:shd w:val="clear" w:color="auto" w:fill="FFFFFF"/>
        </w:rPr>
        <w:t>（二）</w:t>
      </w:r>
      <w:r>
        <w:rPr>
          <w:rFonts w:ascii="Times New Roman" w:hAnsi="Times New Roman" w:eastAsia="仿宋_GB2312"/>
          <w:b/>
          <w:bCs/>
          <w:sz w:val="32"/>
          <w:szCs w:val="32"/>
          <w:shd w:val="clear" w:color="auto" w:fill="FFFFFF"/>
        </w:rPr>
        <w:t>修读第二外语或高阶英语课程</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什么样的学生有资格修读第二外语或高阶英语课程呢？</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参加大学英语免修资格考试并获得免修资格的同学，可在三种方案中任选一种，其中一种方案就是修读</w:t>
      </w:r>
      <w:r>
        <w:rPr>
          <w:rFonts w:ascii="Times New Roman" w:hAnsi="Times New Roman" w:eastAsia="仿宋_GB2312"/>
          <w:sz w:val="32"/>
          <w:szCs w:val="32"/>
          <w:shd w:val="clear" w:color="auto" w:fill="FFFFFF"/>
        </w:rPr>
        <w:t>第二外语或高阶英语课程</w:t>
      </w:r>
      <w:r>
        <w:rPr>
          <w:rFonts w:hint="eastAsia" w:ascii="Times New Roman" w:hAnsi="Times New Roman" w:eastAsia="仿宋_GB2312"/>
          <w:sz w:val="32"/>
          <w:szCs w:val="32"/>
          <w:shd w:val="clear" w:color="auto" w:fill="FFFFFF"/>
        </w:rPr>
        <w:t>；另外，前一学期期末在大学英语教学班的总评成绩位列前10%的同学可获得自愿修读</w:t>
      </w:r>
      <w:r>
        <w:rPr>
          <w:rFonts w:ascii="Times New Roman" w:hAnsi="Times New Roman" w:eastAsia="仿宋_GB2312"/>
          <w:sz w:val="32"/>
          <w:szCs w:val="32"/>
          <w:shd w:val="clear" w:color="auto" w:fill="FFFFFF"/>
        </w:rPr>
        <w:t>第二外语或高阶英语课程</w:t>
      </w:r>
      <w:r>
        <w:rPr>
          <w:rFonts w:hint="eastAsia" w:ascii="Times New Roman" w:hAnsi="Times New Roman" w:eastAsia="仿宋_GB2312"/>
          <w:sz w:val="32"/>
          <w:szCs w:val="32"/>
          <w:shd w:val="clear" w:color="auto" w:fill="FFFFFF"/>
        </w:rPr>
        <w:t>的资格。</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我校开设了哪些第二外语或高阶英语课程？</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第二外语开设了日语、法语、俄语、德语、韩语、西班牙语等非通用语种课程，均为零起点，选修学生须至少修满2个学期，具体语种和开设学期请关注每学期初的选课列表；高阶英语课程分为高阶测试类和素质拓展类，具体开设课程请关注每学期初的选课列表。</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ascii="Times New Roman" w:hAnsi="Times New Roman" w:eastAsia="仿宋_GB2312"/>
          <w:sz w:val="32"/>
          <w:szCs w:val="32"/>
          <w:shd w:val="clear" w:color="auto" w:fill="FFFFFF"/>
        </w:rPr>
        <w:t>第二外语或高阶英语课程</w:t>
      </w:r>
      <w:r>
        <w:rPr>
          <w:rFonts w:hint="eastAsia" w:ascii="Times New Roman" w:hAnsi="Times New Roman" w:eastAsia="仿宋_GB2312"/>
          <w:sz w:val="32"/>
          <w:szCs w:val="32"/>
          <w:shd w:val="clear" w:color="auto" w:fill="FFFFFF"/>
        </w:rPr>
        <w:t>的成绩进入学生的成绩单和绩点吗？</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获得选修此类课程资格的学生可自愿选修，如选修则视为该门课程替代大学英语课程，请在每学期的选课列表中选择一门课程作为该学期大学英语课程的替代。第二外语或</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w:t>
      </w:r>
      <w:r>
        <w:rPr>
          <w:rFonts w:ascii="Times New Roman" w:hAnsi="Times New Roman" w:eastAsia="仿宋_GB2312"/>
          <w:sz w:val="32"/>
          <w:szCs w:val="32"/>
          <w:shd w:val="clear" w:color="auto" w:fill="FFFFFF"/>
        </w:rPr>
        <w:t>课程的总评成绩即这2学分的最终成绩，进入学生成绩单和绩点</w:t>
      </w:r>
      <w:r>
        <w:rPr>
          <w:rFonts w:hint="eastAsia" w:ascii="Times New Roman" w:hAnsi="Times New Roman" w:eastAsia="仿宋_GB2312"/>
          <w:sz w:val="32"/>
          <w:szCs w:val="32"/>
          <w:shd w:val="clear" w:color="auto" w:fill="FFFFFF"/>
        </w:rPr>
        <w:t>。</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第二外语和高阶英语课程的最终成绩是由哪些部分组成的？</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第二外语或</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w:t>
      </w:r>
      <w:r>
        <w:rPr>
          <w:rFonts w:ascii="Times New Roman" w:hAnsi="Times New Roman" w:eastAsia="仿宋_GB2312"/>
          <w:sz w:val="32"/>
          <w:szCs w:val="32"/>
          <w:shd w:val="clear" w:color="auto" w:fill="FFFFFF"/>
        </w:rPr>
        <w:t>课程的总评=平时成绩*50%+期末考试*50%</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选修</w:t>
      </w:r>
      <w:r>
        <w:rPr>
          <w:rFonts w:hint="eastAsia" w:ascii="Times New Roman" w:hAnsi="Times New Roman" w:eastAsia="仿宋_GB2312"/>
          <w:sz w:val="32"/>
          <w:szCs w:val="32"/>
          <w:shd w:val="clear" w:color="auto" w:fill="FFFFFF"/>
        </w:rPr>
        <w:t>第二外语或</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w:t>
      </w:r>
      <w:r>
        <w:rPr>
          <w:rFonts w:ascii="Times New Roman" w:hAnsi="Times New Roman" w:eastAsia="仿宋_GB2312"/>
          <w:sz w:val="32"/>
          <w:szCs w:val="32"/>
          <w:shd w:val="clear" w:color="auto" w:fill="FFFFFF"/>
        </w:rPr>
        <w:t>课程的同学无需参加大学英语的期中和期末考试，</w:t>
      </w:r>
      <w:r>
        <w:rPr>
          <w:rFonts w:hint="eastAsia" w:ascii="Times New Roman" w:hAnsi="Times New Roman" w:eastAsia="仿宋_GB2312"/>
          <w:sz w:val="32"/>
          <w:szCs w:val="32"/>
          <w:shd w:val="clear" w:color="auto" w:fill="FFFFFF"/>
        </w:rPr>
        <w:t>第二外语和</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w:t>
      </w:r>
      <w:r>
        <w:rPr>
          <w:rFonts w:ascii="Times New Roman" w:hAnsi="Times New Roman" w:eastAsia="仿宋_GB2312"/>
          <w:sz w:val="32"/>
          <w:szCs w:val="32"/>
          <w:shd w:val="clear" w:color="auto" w:fill="FFFFFF"/>
        </w:rPr>
        <w:t>课程的期末考试另行安排</w:t>
      </w:r>
      <w:r>
        <w:rPr>
          <w:rFonts w:hint="eastAsia" w:ascii="Times New Roman" w:hAnsi="Times New Roman" w:eastAsia="仿宋_GB2312"/>
          <w:sz w:val="32"/>
          <w:szCs w:val="32"/>
          <w:shd w:val="clear" w:color="auto" w:fill="FFFFFF"/>
        </w:rPr>
        <w:t>。</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选修了</w:t>
      </w:r>
      <w:r>
        <w:rPr>
          <w:rFonts w:ascii="Times New Roman" w:hAnsi="Times New Roman" w:eastAsia="仿宋_GB2312"/>
          <w:sz w:val="32"/>
          <w:szCs w:val="32"/>
          <w:shd w:val="clear" w:color="auto" w:fill="FFFFFF"/>
        </w:rPr>
        <w:t>第二外语或高阶英语课程</w:t>
      </w:r>
      <w:r>
        <w:rPr>
          <w:rFonts w:hint="eastAsia" w:ascii="Times New Roman" w:hAnsi="Times New Roman" w:eastAsia="仿宋_GB2312"/>
          <w:sz w:val="32"/>
          <w:szCs w:val="32"/>
          <w:shd w:val="clear" w:color="auto" w:fill="FFFFFF"/>
        </w:rPr>
        <w:t>还可以参加“</w:t>
      </w:r>
      <w:r>
        <w:rPr>
          <w:rFonts w:ascii="Times New Roman" w:hAnsi="Times New Roman" w:eastAsia="仿宋_GB2312"/>
          <w:sz w:val="32"/>
          <w:szCs w:val="32"/>
          <w:shd w:val="clear" w:color="auto" w:fill="FFFFFF"/>
        </w:rPr>
        <w:t>以托福、雅思和六级成绩兑换学分</w:t>
      </w:r>
      <w:r>
        <w:rPr>
          <w:rFonts w:hint="eastAsia" w:ascii="Times New Roman" w:hAnsi="Times New Roman" w:eastAsia="仿宋_GB2312"/>
          <w:sz w:val="32"/>
          <w:szCs w:val="32"/>
          <w:shd w:val="clear" w:color="auto" w:fill="FFFFFF"/>
        </w:rPr>
        <w:t>”吗？</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ascii="Times New Roman" w:hAnsi="Times New Roman" w:eastAsia="仿宋_GB2312"/>
          <w:sz w:val="32"/>
          <w:szCs w:val="32"/>
          <w:shd w:val="clear" w:color="auto" w:fill="FFFFFF"/>
        </w:rPr>
        <w:t>如已经选修</w:t>
      </w:r>
      <w:r>
        <w:rPr>
          <w:rFonts w:hint="eastAsia" w:ascii="Times New Roman" w:hAnsi="Times New Roman" w:eastAsia="仿宋_GB2312"/>
          <w:sz w:val="32"/>
          <w:szCs w:val="32"/>
          <w:shd w:val="clear" w:color="auto" w:fill="FFFFFF"/>
        </w:rPr>
        <w:t>该类课程</w:t>
      </w:r>
      <w:r>
        <w:rPr>
          <w:rFonts w:ascii="Times New Roman" w:hAnsi="Times New Roman" w:eastAsia="仿宋_GB2312"/>
          <w:sz w:val="32"/>
          <w:szCs w:val="32"/>
          <w:shd w:val="clear" w:color="auto" w:fill="FFFFFF"/>
        </w:rPr>
        <w:t>，不影响每年（上半年4月份、下半年10月份）通过六级、托福、雅思成绩免修大学英语和成绩兑换。如免修通过，</w:t>
      </w:r>
      <w:r>
        <w:rPr>
          <w:rFonts w:hint="eastAsia" w:ascii="Times New Roman" w:hAnsi="Times New Roman" w:eastAsia="仿宋_GB2312"/>
          <w:sz w:val="32"/>
          <w:szCs w:val="32"/>
          <w:shd w:val="clear" w:color="auto" w:fill="FFFFFF"/>
        </w:rPr>
        <w:t>无需修读相关课程</w:t>
      </w:r>
      <w:r>
        <w:rPr>
          <w:rFonts w:ascii="Times New Roman" w:hAnsi="Times New Roman" w:eastAsia="仿宋_GB2312"/>
          <w:sz w:val="32"/>
          <w:szCs w:val="32"/>
          <w:shd w:val="clear" w:color="auto" w:fill="FFFFFF"/>
        </w:rPr>
        <w:t>，</w:t>
      </w:r>
      <w:r>
        <w:rPr>
          <w:rFonts w:hint="eastAsia" w:ascii="Times New Roman" w:hAnsi="Times New Roman" w:eastAsia="仿宋_GB2312"/>
          <w:sz w:val="32"/>
          <w:szCs w:val="32"/>
          <w:shd w:val="clear" w:color="auto" w:fill="FFFFFF"/>
        </w:rPr>
        <w:t>欢迎</w:t>
      </w:r>
      <w:r>
        <w:rPr>
          <w:rFonts w:ascii="Times New Roman" w:hAnsi="Times New Roman" w:eastAsia="仿宋_GB2312"/>
          <w:sz w:val="32"/>
          <w:szCs w:val="32"/>
          <w:shd w:val="clear" w:color="auto" w:fill="FFFFFF"/>
        </w:rPr>
        <w:t>自愿旁听</w:t>
      </w:r>
      <w:r>
        <w:rPr>
          <w:rFonts w:hint="eastAsia" w:ascii="Times New Roman" w:hAnsi="Times New Roman" w:eastAsia="仿宋_GB2312"/>
          <w:sz w:val="32"/>
          <w:szCs w:val="32"/>
          <w:shd w:val="clear" w:color="auto" w:fill="FFFFFF"/>
        </w:rPr>
        <w:t>。</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一旦修读了第二外语和</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英语课程，是否就无法回到大学英语班级了？</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大外中心的第二外语和</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英语课程“可进可出”。修读大学英语系列课程的</w:t>
      </w:r>
      <w:r>
        <w:rPr>
          <w:rFonts w:ascii="Times New Roman" w:hAnsi="Times New Roman" w:eastAsia="仿宋_GB2312"/>
          <w:sz w:val="32"/>
          <w:szCs w:val="32"/>
          <w:shd w:val="clear" w:color="auto" w:fill="FFFFFF"/>
        </w:rPr>
        <w:t>学生期末总评成绩位列班级</w:t>
      </w:r>
      <w:r>
        <w:rPr>
          <w:rFonts w:hint="eastAsia" w:ascii="Times New Roman" w:hAnsi="Times New Roman" w:eastAsia="仿宋_GB2312"/>
          <w:sz w:val="32"/>
          <w:szCs w:val="32"/>
          <w:shd w:val="clear" w:color="auto" w:fill="FFFFFF"/>
        </w:rPr>
        <w:t>总评成绩</w:t>
      </w:r>
      <w:r>
        <w:rPr>
          <w:rFonts w:ascii="Times New Roman" w:hAnsi="Times New Roman" w:eastAsia="仿宋_GB2312"/>
          <w:sz w:val="32"/>
          <w:szCs w:val="32"/>
          <w:shd w:val="clear" w:color="auto" w:fill="FFFFFF"/>
        </w:rPr>
        <w:t>前10%</w:t>
      </w:r>
      <w:r>
        <w:rPr>
          <w:rFonts w:hint="eastAsia" w:ascii="Times New Roman" w:hAnsi="Times New Roman" w:eastAsia="仿宋_GB2312"/>
          <w:sz w:val="32"/>
          <w:szCs w:val="32"/>
          <w:shd w:val="clear" w:color="auto" w:fill="FFFFFF"/>
        </w:rPr>
        <w:t>的学生</w:t>
      </w:r>
      <w:r>
        <w:rPr>
          <w:rFonts w:ascii="Times New Roman" w:hAnsi="Times New Roman" w:eastAsia="仿宋_GB2312"/>
          <w:sz w:val="32"/>
          <w:szCs w:val="32"/>
          <w:shd w:val="clear" w:color="auto" w:fill="FFFFFF"/>
        </w:rPr>
        <w:t>，可申请在下一学期进入高阶英语课程的修读通道，仅限申请一次；申请</w:t>
      </w:r>
      <w:r>
        <w:rPr>
          <w:rFonts w:hint="eastAsia" w:ascii="Times New Roman" w:hAnsi="Times New Roman" w:eastAsia="仿宋_GB2312"/>
          <w:sz w:val="32"/>
          <w:szCs w:val="32"/>
          <w:shd w:val="clear" w:color="auto" w:fill="FFFFFF"/>
        </w:rPr>
        <w:t>第二外语和</w:t>
      </w:r>
      <w:r>
        <w:rPr>
          <w:rFonts w:ascii="Times New Roman" w:hAnsi="Times New Roman" w:eastAsia="仿宋_GB2312"/>
          <w:sz w:val="32"/>
          <w:szCs w:val="32"/>
          <w:shd w:val="clear" w:color="auto" w:fill="FFFFFF"/>
        </w:rPr>
        <w:t>高阶</w:t>
      </w:r>
      <w:r>
        <w:rPr>
          <w:rFonts w:hint="eastAsia" w:ascii="Times New Roman" w:hAnsi="Times New Roman" w:eastAsia="仿宋_GB2312"/>
          <w:sz w:val="32"/>
          <w:szCs w:val="32"/>
          <w:shd w:val="clear" w:color="auto" w:fill="FFFFFF"/>
        </w:rPr>
        <w:t>英语课程</w:t>
      </w:r>
      <w:r>
        <w:rPr>
          <w:rFonts w:ascii="Times New Roman" w:hAnsi="Times New Roman" w:eastAsia="仿宋_GB2312"/>
          <w:sz w:val="32"/>
          <w:szCs w:val="32"/>
          <w:shd w:val="clear" w:color="auto" w:fill="FFFFFF"/>
        </w:rPr>
        <w:t>的学生如期末总评成绩位列班级后10%</w:t>
      </w:r>
      <w:r>
        <w:rPr>
          <w:rFonts w:hint="eastAsia" w:ascii="Times New Roman" w:hAnsi="Times New Roman" w:eastAsia="仿宋_GB2312"/>
          <w:sz w:val="32"/>
          <w:szCs w:val="32"/>
          <w:shd w:val="clear" w:color="auto" w:fill="FFFFFF"/>
        </w:rPr>
        <w:t>（第二外语须至少修满2个学期）</w:t>
      </w:r>
      <w:r>
        <w:rPr>
          <w:rFonts w:ascii="Times New Roman" w:hAnsi="Times New Roman" w:eastAsia="仿宋_GB2312"/>
          <w:sz w:val="32"/>
          <w:szCs w:val="32"/>
          <w:shd w:val="clear" w:color="auto" w:fill="FFFFFF"/>
        </w:rPr>
        <w:t>，可在下一学期申请自愿转回大学英语课程的学习通道，仅限申请一次。</w:t>
      </w:r>
    </w:p>
    <w:p>
      <w:pPr>
        <w:spacing w:line="560" w:lineRule="exact"/>
        <w:ind w:firstLine="643" w:firstLineChars="200"/>
        <w:rPr>
          <w:rFonts w:ascii="Times New Roman" w:hAnsi="Times New Roman" w:eastAsia="仿宋_GB2312"/>
          <w:b/>
          <w:bCs/>
          <w:sz w:val="32"/>
          <w:szCs w:val="32"/>
          <w:shd w:val="clear" w:color="auto" w:fill="FFFFFF"/>
        </w:rPr>
      </w:pPr>
      <w:r>
        <w:rPr>
          <w:rFonts w:hint="eastAsia" w:ascii="Times New Roman" w:hAnsi="Times New Roman" w:eastAsia="仿宋_GB2312"/>
          <w:b/>
          <w:bCs/>
          <w:sz w:val="32"/>
          <w:szCs w:val="32"/>
          <w:shd w:val="clear" w:color="auto" w:fill="FFFFFF"/>
        </w:rPr>
        <w:t>（三）</w:t>
      </w:r>
      <w:r>
        <w:rPr>
          <w:rFonts w:ascii="Times New Roman" w:hAnsi="Times New Roman" w:eastAsia="仿宋_GB2312"/>
          <w:b/>
          <w:bCs/>
          <w:sz w:val="32"/>
          <w:szCs w:val="32"/>
          <w:shd w:val="clear" w:color="auto" w:fill="FFFFFF"/>
        </w:rPr>
        <w:t>以托福、雅思和六级成绩兑换学分</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ascii="Times New Roman" w:hAnsi="Times New Roman" w:eastAsia="仿宋_GB2312"/>
          <w:sz w:val="32"/>
          <w:szCs w:val="32"/>
          <w:shd w:val="clear" w:color="auto" w:fill="FFFFFF"/>
        </w:rPr>
        <w:t>以托福、雅思和六级成绩兑换学分</w:t>
      </w:r>
      <w:r>
        <w:rPr>
          <w:rFonts w:hint="eastAsia" w:ascii="Times New Roman" w:hAnsi="Times New Roman" w:eastAsia="仿宋_GB2312"/>
          <w:sz w:val="32"/>
          <w:szCs w:val="32"/>
          <w:shd w:val="clear" w:color="auto" w:fill="FFFFFF"/>
        </w:rPr>
        <w:t>的条件是什么？</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ascii="Times New Roman" w:hAnsi="Times New Roman" w:eastAsia="仿宋_GB2312"/>
          <w:sz w:val="32"/>
          <w:szCs w:val="32"/>
          <w:shd w:val="clear" w:color="auto" w:fill="FFFFFF"/>
        </w:rPr>
        <w:t>全校除外语学院和纽约石溪学院外的任何</w:t>
      </w:r>
      <w:r>
        <w:rPr>
          <w:rFonts w:hint="eastAsia" w:ascii="Times New Roman" w:hAnsi="Times New Roman" w:eastAsia="仿宋_GB2312"/>
          <w:sz w:val="32"/>
          <w:szCs w:val="32"/>
          <w:shd w:val="clear" w:color="auto" w:fill="FFFFFF"/>
        </w:rPr>
        <w:t>1-2</w:t>
      </w:r>
      <w:r>
        <w:rPr>
          <w:rFonts w:ascii="Times New Roman" w:hAnsi="Times New Roman" w:eastAsia="仿宋_GB2312"/>
          <w:sz w:val="32"/>
          <w:szCs w:val="32"/>
          <w:shd w:val="clear" w:color="auto" w:fill="FFFFFF"/>
        </w:rPr>
        <w:t>年级学生，托福机考总分达到</w:t>
      </w:r>
      <w:r>
        <w:rPr>
          <w:rFonts w:hint="eastAsia" w:ascii="Times New Roman" w:hAnsi="Times New Roman" w:eastAsia="仿宋_GB2312"/>
          <w:sz w:val="32"/>
          <w:szCs w:val="32"/>
          <w:shd w:val="clear" w:color="auto" w:fill="FFFFFF"/>
        </w:rPr>
        <w:t>70</w:t>
      </w:r>
      <w:r>
        <w:rPr>
          <w:rFonts w:ascii="Times New Roman" w:hAnsi="Times New Roman" w:eastAsia="仿宋_GB2312"/>
          <w:sz w:val="32"/>
          <w:szCs w:val="32"/>
          <w:shd w:val="clear" w:color="auto" w:fill="FFFFFF"/>
        </w:rPr>
        <w:t>分（满分</w:t>
      </w:r>
      <w:r>
        <w:rPr>
          <w:rFonts w:hint="eastAsia" w:ascii="Times New Roman" w:hAnsi="Times New Roman" w:eastAsia="仿宋_GB2312"/>
          <w:sz w:val="32"/>
          <w:szCs w:val="32"/>
          <w:shd w:val="clear" w:color="auto" w:fill="FFFFFF"/>
        </w:rPr>
        <w:t>120</w:t>
      </w:r>
      <w:r>
        <w:rPr>
          <w:rFonts w:ascii="Times New Roman" w:hAnsi="Times New Roman" w:eastAsia="仿宋_GB2312"/>
          <w:sz w:val="32"/>
          <w:szCs w:val="32"/>
          <w:shd w:val="clear" w:color="auto" w:fill="FFFFFF"/>
        </w:rPr>
        <w:t>分）及以上、雅思总分达到</w:t>
      </w:r>
      <w:r>
        <w:rPr>
          <w:rFonts w:hint="eastAsia" w:ascii="Times New Roman" w:hAnsi="Times New Roman" w:eastAsia="仿宋_GB2312"/>
          <w:sz w:val="32"/>
          <w:szCs w:val="32"/>
          <w:shd w:val="clear" w:color="auto" w:fill="FFFFFF"/>
        </w:rPr>
        <w:t>5.5</w:t>
      </w:r>
      <w:r>
        <w:rPr>
          <w:rFonts w:ascii="Times New Roman" w:hAnsi="Times New Roman" w:eastAsia="仿宋_GB2312"/>
          <w:sz w:val="32"/>
          <w:szCs w:val="32"/>
          <w:shd w:val="clear" w:color="auto" w:fill="FFFFFF"/>
        </w:rPr>
        <w:t>分（满分</w:t>
      </w:r>
      <w:r>
        <w:rPr>
          <w:rFonts w:hint="eastAsia" w:ascii="Times New Roman" w:hAnsi="Times New Roman" w:eastAsia="仿宋_GB2312"/>
          <w:sz w:val="32"/>
          <w:szCs w:val="32"/>
          <w:shd w:val="clear" w:color="auto" w:fill="FFFFFF"/>
        </w:rPr>
        <w:t>9</w:t>
      </w:r>
      <w:r>
        <w:rPr>
          <w:rFonts w:ascii="Times New Roman" w:hAnsi="Times New Roman" w:eastAsia="仿宋_GB2312"/>
          <w:sz w:val="32"/>
          <w:szCs w:val="32"/>
          <w:shd w:val="clear" w:color="auto" w:fill="FFFFFF"/>
        </w:rPr>
        <w:t>分）及以上、六级</w:t>
      </w:r>
      <w:r>
        <w:rPr>
          <w:rFonts w:hint="eastAsia" w:ascii="Times New Roman" w:hAnsi="Times New Roman" w:eastAsia="仿宋_GB2312"/>
          <w:sz w:val="32"/>
          <w:szCs w:val="32"/>
          <w:shd w:val="clear" w:color="auto" w:fill="FFFFFF"/>
        </w:rPr>
        <w:t>考试达到480</w:t>
      </w:r>
      <w:r>
        <w:rPr>
          <w:rFonts w:ascii="Times New Roman" w:hAnsi="Times New Roman" w:eastAsia="仿宋_GB2312"/>
          <w:sz w:val="32"/>
          <w:szCs w:val="32"/>
          <w:shd w:val="clear" w:color="auto" w:fill="FFFFFF"/>
        </w:rPr>
        <w:t>分</w:t>
      </w:r>
      <w:r>
        <w:rPr>
          <w:rFonts w:hint="eastAsia" w:ascii="Times New Roman" w:hAnsi="Times New Roman" w:eastAsia="仿宋_GB2312"/>
          <w:sz w:val="32"/>
          <w:szCs w:val="32"/>
          <w:shd w:val="clear" w:color="auto" w:fill="FFFFFF"/>
        </w:rPr>
        <w:t>（满分710分）</w:t>
      </w:r>
      <w:r>
        <w:rPr>
          <w:rFonts w:ascii="Times New Roman" w:hAnsi="Times New Roman" w:eastAsia="仿宋_GB2312"/>
          <w:sz w:val="32"/>
          <w:szCs w:val="32"/>
          <w:shd w:val="clear" w:color="auto" w:fill="FFFFFF"/>
        </w:rPr>
        <w:t>及以上（</w:t>
      </w:r>
      <w:r>
        <w:rPr>
          <w:rFonts w:hint="eastAsia" w:ascii="Times New Roman" w:hAnsi="Times New Roman" w:eastAsia="仿宋_GB2312"/>
          <w:sz w:val="32"/>
          <w:szCs w:val="32"/>
          <w:shd w:val="clear" w:color="auto" w:fill="FFFFFF"/>
        </w:rPr>
        <w:t>见《安徽大学大学外语分层分类个性化教学改革方案（试行）》</w:t>
      </w:r>
      <w:r>
        <w:rPr>
          <w:rFonts w:ascii="Times New Roman" w:hAnsi="Times New Roman" w:eastAsia="仿宋_GB2312"/>
          <w:sz w:val="32"/>
          <w:szCs w:val="32"/>
          <w:shd w:val="clear" w:color="auto" w:fill="FFFFFF"/>
        </w:rPr>
        <w:t>表</w:t>
      </w:r>
      <w:r>
        <w:rPr>
          <w:rFonts w:hint="eastAsia" w:ascii="Times New Roman" w:hAnsi="Times New Roman" w:eastAsia="仿宋_GB2312"/>
          <w:sz w:val="32"/>
          <w:szCs w:val="32"/>
          <w:shd w:val="clear" w:color="auto" w:fill="FFFFFF"/>
        </w:rPr>
        <w:t>3</w:t>
      </w:r>
      <w:r>
        <w:rPr>
          <w:rFonts w:ascii="Times New Roman" w:hAnsi="Times New Roman" w:eastAsia="仿宋_GB2312"/>
          <w:sz w:val="32"/>
          <w:szCs w:val="32"/>
          <w:shd w:val="clear" w:color="auto" w:fill="FFFFFF"/>
        </w:rPr>
        <w:t>），且参加托福、雅思、六级考试的时间距申请学分认定时间不超过</w:t>
      </w:r>
      <w:r>
        <w:rPr>
          <w:rFonts w:hint="eastAsia" w:ascii="Times New Roman" w:hAnsi="Times New Roman" w:eastAsia="仿宋_GB2312"/>
          <w:sz w:val="32"/>
          <w:szCs w:val="32"/>
          <w:shd w:val="clear" w:color="auto" w:fill="FFFFFF"/>
        </w:rPr>
        <w:t>2</w:t>
      </w:r>
      <w:r>
        <w:rPr>
          <w:rFonts w:ascii="Times New Roman" w:hAnsi="Times New Roman" w:eastAsia="仿宋_GB2312"/>
          <w:sz w:val="32"/>
          <w:szCs w:val="32"/>
          <w:shd w:val="clear" w:color="auto" w:fill="FFFFFF"/>
        </w:rPr>
        <w:t>年。</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学校会在什么时候发布以托福、雅思和六级成绩兑换学分的通知？</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每年会有两次凭借相关考试成绩单申请大学英语免修的机会，上半年安排在4月份，下半年安排在10月份，具体请密切留意教务处网站。</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凭借这些成绩单，可认定的学分和课程包括哪些？</w:t>
      </w:r>
    </w:p>
    <w:p>
      <w:pPr>
        <w:spacing w:line="560" w:lineRule="exact"/>
        <w:ind w:firstLine="643" w:firstLineChars="200"/>
        <w:rPr>
          <w:rFonts w:ascii="Times New Roman" w:hAnsi="Times New Roman" w:eastAsia="仿宋_GB2312"/>
          <w:sz w:val="32"/>
          <w:szCs w:val="32"/>
          <w:shd w:val="clear" w:color="auto" w:fill="FFFFFF"/>
        </w:rPr>
      </w:pPr>
      <w:bookmarkStart w:id="0" w:name="_Hlk89096755"/>
      <w:bookmarkEnd w:id="0"/>
      <w:r>
        <w:rPr>
          <w:rFonts w:hint="eastAsia" w:ascii="Times New Roman" w:hAnsi="Times New Roman" w:eastAsia="仿宋_GB2312"/>
          <w:b/>
          <w:bCs/>
          <w:sz w:val="32"/>
          <w:szCs w:val="32"/>
          <w:shd w:val="clear" w:color="auto" w:fill="FFFFFF"/>
        </w:rPr>
        <w:t>答：</w:t>
      </w:r>
      <w:r>
        <w:rPr>
          <w:rFonts w:ascii="Times New Roman" w:hAnsi="Times New Roman" w:eastAsia="仿宋_GB2312"/>
          <w:sz w:val="32"/>
          <w:szCs w:val="32"/>
          <w:shd w:val="clear" w:color="auto" w:fill="FFFFFF"/>
        </w:rPr>
        <w:t>一次托福/雅思/六级成绩可以统一认定学生所在学期至第四学期的大学英语课程学分。只限学生入学后的第一或第二学年申请一次，认定不追溯以往学期。认定学分只能一次认定，不可反复认定。一旦完成认定，后续大学英语课程不再修读，可根据个人需要自愿旁听第二外语</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高阶英语课程，但不再获得第二外语/高阶英语课程的学分和成绩。</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成绩兑换标准是什么？</w:t>
      </w:r>
    </w:p>
    <w:p>
      <w:pPr>
        <w:spacing w:line="560" w:lineRule="exact"/>
        <w:ind w:firstLine="640" w:firstLineChars="200"/>
        <w:rPr>
          <w:rFonts w:ascii="Times New Roman" w:hAnsi="Times New Roman" w:eastAsia="仿宋_GB2312"/>
          <w:sz w:val="32"/>
          <w:szCs w:val="32"/>
          <w:shd w:val="clear" w:color="auto" w:fill="FFFFFF"/>
        </w:rPr>
      </w:pPr>
      <w:r>
        <w:rPr>
          <w:rFonts w:hint="eastAsia" w:ascii="Times New Roman" w:hAnsi="Times New Roman" w:eastAsia="仿宋_GB2312"/>
          <w:sz w:val="32"/>
          <w:szCs w:val="32"/>
          <w:shd w:val="clear" w:color="auto" w:fill="FFFFFF"/>
        </w:rPr>
        <w:t>答：请查阅</w:t>
      </w:r>
      <w:bookmarkStart w:id="1" w:name="OLE_LINK1"/>
      <w:r>
        <w:rPr>
          <w:rFonts w:hint="eastAsia" w:ascii="Times New Roman" w:hAnsi="Times New Roman" w:eastAsia="仿宋_GB2312"/>
          <w:sz w:val="32"/>
          <w:szCs w:val="32"/>
          <w:shd w:val="clear" w:color="auto" w:fill="FFFFFF"/>
        </w:rPr>
        <w:t>《安徽大学大学外语分层分类个性化教学改革方案（试行）》（校政〔2025〕28号</w:t>
      </w:r>
      <w:bookmarkEnd w:id="1"/>
      <w:r>
        <w:rPr>
          <w:rFonts w:hint="eastAsia" w:ascii="Times New Roman" w:hAnsi="Times New Roman" w:eastAsia="仿宋_GB2312"/>
          <w:sz w:val="32"/>
          <w:szCs w:val="32"/>
          <w:shd w:val="clear" w:color="auto" w:fill="FFFFFF"/>
        </w:rPr>
        <w:t>），其中有详细的成绩类别和可认定的大学英语课程分数。</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免修通过还需要参加期中和期末考试吗？</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答：</w:t>
      </w:r>
      <w:r>
        <w:rPr>
          <w:rFonts w:hint="eastAsia" w:ascii="Times New Roman" w:hAnsi="Times New Roman" w:eastAsia="仿宋_GB2312"/>
          <w:sz w:val="32"/>
          <w:szCs w:val="32"/>
          <w:shd w:val="clear" w:color="auto" w:fill="FFFFFF"/>
        </w:rPr>
        <w:t>免修名单发布后，学生不需要再参加期中和期末考试。兑换的成绩即为大学英语课程的总评成绩。</w:t>
      </w:r>
    </w:p>
    <w:p>
      <w:pPr>
        <w:spacing w:line="560" w:lineRule="exact"/>
        <w:ind w:firstLine="643" w:firstLineChars="200"/>
        <w:rPr>
          <w:rFonts w:ascii="Times New Roman" w:hAnsi="Times New Roman" w:eastAsia="仿宋_GB2312"/>
          <w:sz w:val="32"/>
          <w:szCs w:val="32"/>
          <w:shd w:val="clear" w:color="auto" w:fill="FFFFFF"/>
        </w:rPr>
      </w:pPr>
      <w:r>
        <w:rPr>
          <w:rFonts w:hint="eastAsia" w:ascii="Times New Roman" w:hAnsi="Times New Roman" w:eastAsia="仿宋_GB2312"/>
          <w:b/>
          <w:bCs/>
          <w:sz w:val="32"/>
          <w:szCs w:val="32"/>
          <w:shd w:val="clear" w:color="auto" w:fill="FFFFFF"/>
        </w:rPr>
        <w:t>问：</w:t>
      </w:r>
      <w:r>
        <w:rPr>
          <w:rFonts w:hint="eastAsia" w:ascii="Times New Roman" w:hAnsi="Times New Roman" w:eastAsia="仿宋_GB2312"/>
          <w:sz w:val="32"/>
          <w:szCs w:val="32"/>
          <w:shd w:val="clear" w:color="auto" w:fill="FFFFFF"/>
        </w:rPr>
        <w:t>成绩兑换还有哪些特别需要注意的地方吗？</w:t>
      </w:r>
    </w:p>
    <w:p>
      <w:pPr>
        <w:spacing w:line="560" w:lineRule="exact"/>
        <w:ind w:firstLine="643" w:firstLineChars="200"/>
        <w:rPr>
          <w:rFonts w:hint="eastAsia" w:ascii="Times New Roman" w:hAnsi="Times New Roman" w:eastAsia="仿宋_GB2312"/>
          <w:sz w:val="32"/>
          <w:szCs w:val="32"/>
          <w:shd w:val="clear" w:color="auto" w:fill="FFFFFF"/>
          <w:lang w:val="en-US" w:eastAsia="zh-CN"/>
        </w:rPr>
      </w:pPr>
      <w:r>
        <w:rPr>
          <w:rFonts w:hint="eastAsia" w:ascii="Times New Roman" w:hAnsi="Times New Roman" w:eastAsia="仿宋_GB2312"/>
          <w:b/>
          <w:bCs/>
          <w:sz w:val="32"/>
          <w:szCs w:val="32"/>
          <w:shd w:val="clear" w:color="auto" w:fill="FFFFFF"/>
        </w:rPr>
        <w:t>答：</w:t>
      </w:r>
      <w:r>
        <w:rPr>
          <w:rFonts w:ascii="Times New Roman" w:hAnsi="Times New Roman" w:eastAsia="仿宋_GB2312"/>
          <w:sz w:val="32"/>
          <w:szCs w:val="32"/>
          <w:shd w:val="clear" w:color="auto" w:fill="FFFFFF"/>
        </w:rPr>
        <w:t>根据《安徽大学学生海外交流学习资助管理办法（修订）》（校政〔2021〕62号），学校对在校生参加出国类外语水平考试进行资助，凡语言成绩达到雅思6.5分或托福89分者（雅思单项不低于6.0分）的非英语专业学生，可凭成绩单原件和票据报销一次考试费用。</w:t>
      </w:r>
      <w:r>
        <w:rPr>
          <w:rFonts w:hint="eastAsia" w:ascii="Times New Roman" w:hAnsi="Times New Roman" w:eastAsia="仿宋_GB2312"/>
          <w:sz w:val="32"/>
          <w:szCs w:val="32"/>
          <w:shd w:val="clear" w:color="auto" w:fill="FFFFFF"/>
        </w:rPr>
        <w:t>特别提醒，学生在提交免修申请材料时需注意成绩单的真实有效性，大外中心有专人对每位同学的成绩单</w:t>
      </w:r>
      <w:bookmarkStart w:id="2" w:name="_GoBack"/>
      <w:bookmarkEnd w:id="2"/>
      <w:r>
        <w:rPr>
          <w:rFonts w:hint="eastAsia" w:ascii="Times New Roman" w:hAnsi="Times New Roman" w:eastAsia="仿宋_GB2312"/>
          <w:sz w:val="32"/>
          <w:szCs w:val="32"/>
          <w:shd w:val="clear" w:color="auto" w:fill="FFFFFF"/>
        </w:rPr>
        <w:t>进行核查，一旦发现成绩单造假，将视为学业不诚信行为严肃处理。</w:t>
      </w:r>
      <w:r>
        <w:rPr>
          <w:rFonts w:hint="eastAsia" w:ascii="Times New Roman" w:hAnsi="Times New Roman" w:eastAsia="仿宋_GB2312"/>
          <w:sz w:val="32"/>
          <w:szCs w:val="32"/>
          <w:shd w:val="clear" w:color="auto" w:fill="FFFFFF"/>
          <w:lang w:val="en-US" w:eastAsia="zh-CN"/>
        </w:rPr>
        <w:t>联系人：丁老师；联系电话：63861192。</w:t>
      </w:r>
    </w:p>
    <w:p>
      <w:pPr>
        <w:spacing w:line="560" w:lineRule="exact"/>
        <w:ind w:firstLine="640" w:firstLineChars="200"/>
        <w:jc w:val="right"/>
        <w:rPr>
          <w:rFonts w:ascii="Times New Roman" w:hAnsi="Times New Roman" w:eastAsia="仿宋_GB2312"/>
          <w:sz w:val="32"/>
          <w:szCs w:val="32"/>
          <w:shd w:val="clear" w:color="auto" w:fill="FFFFFF"/>
        </w:rPr>
      </w:pPr>
    </w:p>
    <w:p>
      <w:pPr>
        <w:spacing w:line="560" w:lineRule="exact"/>
        <w:ind w:firstLine="640" w:firstLineChars="200"/>
        <w:jc w:val="right"/>
        <w:rPr>
          <w:rFonts w:ascii="Times New Roman" w:hAnsi="Times New Roman" w:eastAsia="仿宋_GB2312"/>
          <w:sz w:val="32"/>
          <w:szCs w:val="32"/>
          <w:shd w:val="clear" w:color="auto" w:fill="FFFFFF"/>
        </w:rPr>
      </w:pPr>
      <w:r>
        <w:rPr>
          <w:rFonts w:hint="eastAsia" w:ascii="Times New Roman" w:hAnsi="Times New Roman" w:eastAsia="仿宋_GB2312"/>
          <w:sz w:val="32"/>
          <w:szCs w:val="32"/>
          <w:shd w:val="clear" w:color="auto" w:fill="FFFFFF"/>
        </w:rPr>
        <w:t>安徽大学大学外语教学中心</w:t>
      </w:r>
    </w:p>
    <w:p>
      <w:pPr>
        <w:spacing w:line="560" w:lineRule="exact"/>
        <w:ind w:firstLine="640" w:firstLineChars="200"/>
        <w:jc w:val="right"/>
        <w:rPr>
          <w:rFonts w:ascii="Times New Roman" w:hAnsi="Times New Roman" w:eastAsia="仿宋_GB2312"/>
          <w:sz w:val="32"/>
          <w:szCs w:val="32"/>
          <w:shd w:val="clear" w:color="auto" w:fill="FFFFFF"/>
        </w:rPr>
      </w:pPr>
      <w:r>
        <w:rPr>
          <w:rFonts w:hint="eastAsia" w:ascii="Times New Roman" w:hAnsi="Times New Roman" w:eastAsia="仿宋_GB2312"/>
          <w:sz w:val="32"/>
          <w:szCs w:val="32"/>
          <w:shd w:val="clear" w:color="auto" w:fill="FFFFFF"/>
        </w:rPr>
        <w:t>2025年9月1日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614E8E"/>
    <w:multiLevelType w:val="singleLevel"/>
    <w:tmpl w:val="27614E8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EzNGM4NmFiM2U3ODc3YjVkYjFjYTU5NjYzY2ZlYjQifQ=="/>
  </w:docVars>
  <w:rsids>
    <w:rsidRoot w:val="5A37A1D2"/>
    <w:rsid w:val="00062671"/>
    <w:rsid w:val="00064765"/>
    <w:rsid w:val="000B16B5"/>
    <w:rsid w:val="00106A02"/>
    <w:rsid w:val="0018193A"/>
    <w:rsid w:val="001E49B3"/>
    <w:rsid w:val="00324EFE"/>
    <w:rsid w:val="00383D21"/>
    <w:rsid w:val="0046679F"/>
    <w:rsid w:val="004E6E96"/>
    <w:rsid w:val="00533DE3"/>
    <w:rsid w:val="00552A16"/>
    <w:rsid w:val="005C5A1C"/>
    <w:rsid w:val="006261AE"/>
    <w:rsid w:val="006A1F37"/>
    <w:rsid w:val="006C1FA4"/>
    <w:rsid w:val="006C4B35"/>
    <w:rsid w:val="0074298F"/>
    <w:rsid w:val="007A63E1"/>
    <w:rsid w:val="00895035"/>
    <w:rsid w:val="00907115"/>
    <w:rsid w:val="00A1090F"/>
    <w:rsid w:val="00A54F7C"/>
    <w:rsid w:val="00AE420A"/>
    <w:rsid w:val="00C87413"/>
    <w:rsid w:val="00CD563C"/>
    <w:rsid w:val="00DB5C87"/>
    <w:rsid w:val="00DF3350"/>
    <w:rsid w:val="00E70230"/>
    <w:rsid w:val="00EA026B"/>
    <w:rsid w:val="00EE5CCE"/>
    <w:rsid w:val="00F87238"/>
    <w:rsid w:val="00FA690C"/>
    <w:rsid w:val="00FD6E0C"/>
    <w:rsid w:val="0F5C4C9E"/>
    <w:rsid w:val="4C505D4D"/>
    <w:rsid w:val="51EE1752"/>
    <w:rsid w:val="5A37A1D2"/>
    <w:rsid w:val="5AC16827"/>
    <w:rsid w:val="5F0B2B78"/>
    <w:rsid w:val="EFBD81A2"/>
    <w:rsid w:val="FE6FF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mallCaps/>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iPriority w:val="0"/>
    <w:pPr>
      <w:jc w:val="left"/>
    </w:pPr>
  </w:style>
  <w:style w:type="paragraph" w:styleId="3">
    <w:name w:val="footer"/>
    <w:basedOn w:val="1"/>
    <w:link w:val="12"/>
    <w:qFormat/>
    <w:uiPriority w:val="0"/>
    <w:pPr>
      <w:tabs>
        <w:tab w:val="center" w:pos="4153"/>
        <w:tab w:val="right" w:pos="8306"/>
      </w:tabs>
      <w:snapToGrid w:val="0"/>
      <w:jc w:val="left"/>
    </w:pPr>
    <w:rPr>
      <w:sz w:val="18"/>
      <w:szCs w:val="18"/>
    </w:rPr>
  </w:style>
  <w:style w:type="paragraph" w:styleId="4">
    <w:name w:val="header"/>
    <w:basedOn w:val="1"/>
    <w:link w:val="11"/>
    <w:uiPriority w:val="0"/>
    <w:pPr>
      <w:tabs>
        <w:tab w:val="center" w:pos="4153"/>
        <w:tab w:val="right" w:pos="8306"/>
      </w:tabs>
      <w:snapToGrid w:val="0"/>
      <w:jc w:val="center"/>
    </w:pPr>
    <w:rPr>
      <w:sz w:val="18"/>
      <w:szCs w:val="18"/>
    </w:rPr>
  </w:style>
  <w:style w:type="paragraph" w:styleId="5">
    <w:name w:val="annotation subject"/>
    <w:basedOn w:val="2"/>
    <w:next w:val="2"/>
    <w:link w:val="14"/>
    <w:autoRedefine/>
    <w:qFormat/>
    <w:uiPriority w:val="0"/>
    <w:rPr>
      <w:b/>
      <w:bCs/>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qFormat/>
    <w:uiPriority w:val="0"/>
    <w:rPr>
      <w:sz w:val="21"/>
      <w:szCs w:val="21"/>
    </w:rPr>
  </w:style>
  <w:style w:type="paragraph" w:styleId="10">
    <w:name w:val="List Paragraph"/>
    <w:basedOn w:val="1"/>
    <w:qFormat/>
    <w:uiPriority w:val="34"/>
    <w:pPr>
      <w:ind w:firstLine="420" w:firstLineChars="200"/>
    </w:pPr>
    <w:rPr>
      <w:rFonts w:ascii="Calibri" w:hAnsi="Calibri" w:eastAsia="宋体" w:cs="Times New Roman"/>
      <w:szCs w:val="22"/>
    </w:rPr>
  </w:style>
  <w:style w:type="character" w:customStyle="1" w:styleId="11">
    <w:name w:val="页眉 字符"/>
    <w:basedOn w:val="8"/>
    <w:link w:val="4"/>
    <w:autoRedefine/>
    <w:qFormat/>
    <w:uiPriority w:val="0"/>
    <w:rPr>
      <w:rFonts w:asciiTheme="minorHAnsi" w:hAnsiTheme="minorHAnsi" w:eastAsiaTheme="minorEastAsia" w:cstheme="minorBidi"/>
      <w:smallCaps/>
      <w:kern w:val="2"/>
      <w:sz w:val="18"/>
      <w:szCs w:val="18"/>
    </w:rPr>
  </w:style>
  <w:style w:type="character" w:customStyle="1" w:styleId="12">
    <w:name w:val="页脚 字符"/>
    <w:basedOn w:val="8"/>
    <w:link w:val="3"/>
    <w:autoRedefine/>
    <w:qFormat/>
    <w:uiPriority w:val="0"/>
    <w:rPr>
      <w:rFonts w:asciiTheme="minorHAnsi" w:hAnsiTheme="minorHAnsi" w:eastAsiaTheme="minorEastAsia" w:cstheme="minorBidi"/>
      <w:smallCaps/>
      <w:kern w:val="2"/>
      <w:sz w:val="18"/>
      <w:szCs w:val="18"/>
    </w:rPr>
  </w:style>
  <w:style w:type="character" w:customStyle="1" w:styleId="13">
    <w:name w:val="批注文字 字符"/>
    <w:basedOn w:val="8"/>
    <w:link w:val="2"/>
    <w:autoRedefine/>
    <w:qFormat/>
    <w:uiPriority w:val="0"/>
    <w:rPr>
      <w:rFonts w:asciiTheme="minorHAnsi" w:hAnsiTheme="minorHAnsi" w:eastAsiaTheme="minorEastAsia" w:cstheme="minorBidi"/>
      <w:smallCaps/>
      <w:kern w:val="2"/>
      <w:sz w:val="21"/>
      <w:szCs w:val="24"/>
    </w:rPr>
  </w:style>
  <w:style w:type="character" w:customStyle="1" w:styleId="14">
    <w:name w:val="批注主题 字符"/>
    <w:basedOn w:val="13"/>
    <w:link w:val="5"/>
    <w:autoRedefine/>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1296</Words>
  <Characters>1323</Characters>
  <Lines>63</Lines>
  <Paragraphs>41</Paragraphs>
  <TotalTime>65</TotalTime>
  <ScaleCrop>false</ScaleCrop>
  <LinksUpToDate>false</LinksUpToDate>
  <CharactersWithSpaces>2578</CharactersWithSpaces>
  <Application>WPS Office_12.1.0.16704_F1E327BC-269C-435d-A152-05C5408002CA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2025-09-01T21:37:00Z</dcterms:created>
  <dc:creator>Ruan</dc:creator>
  <cp:lastModifiedBy>栀子花开</cp:lastModifiedBy>
  <dcterms:modified xsi:type="dcterms:W3CDTF">2025-09-02T03:36:18Z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2052-12.1.0.16704</vt:lpwstr>
  </property>
  <property fmtid="{D5CDD505-2E9C-101B-9397-08002B2CF9AE}" pid="3" name="ICV">
    <vt:lpwstr>8DC70472564F3957E45CB668E7917DE9_43</vt:lpwstr>
  </property>
  <property fmtid="{D5CDD505-2E9C-101B-9397-08002B2CF9AE}" pid="4" name="KSOTemplateDocerSaveRecord">
    <vt:lpwstr>eyJoZGlkIjoiNTNiNTI2NDViNDNhY2U3MmFmMmM4MjUwMWFlNDY2OTUiLCJ1c2VySWQiOiIyNDExMjcxMDQifQ==</vt:lpwstr>
  </property>
</Properties>
</file>