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both"/>
        <w:rPr>
          <w:rFonts w:cs="Times New Roman"/>
          <w:b/>
          <w:bCs/>
          <w:sz w:val="30"/>
          <w:szCs w:val="30"/>
        </w:rPr>
      </w:pPr>
      <w:bookmarkStart w:id="0" w:name="_Toc4091"/>
    </w:p>
    <w:p>
      <w:pPr>
        <w:spacing w:line="240" w:lineRule="auto"/>
        <w:ind w:firstLine="0" w:firstLineChars="0"/>
        <w:jc w:val="center"/>
        <w:rPr>
          <w:rFonts w:ascii="华文新魏" w:eastAsia="华文新魏" w:cs="Times New Roman"/>
          <w:b/>
          <w:sz w:val="72"/>
          <w:szCs w:val="72"/>
        </w:rPr>
      </w:pPr>
      <w:r>
        <w:rPr>
          <w:rFonts w:hint="eastAsia" w:ascii="华文新魏" w:eastAsia="华文新魏" w:cs="Times New Roman"/>
          <w:b/>
          <w:sz w:val="72"/>
          <w:szCs w:val="72"/>
        </w:rPr>
        <w:t>西南财经大学天府学院</w:t>
      </w:r>
    </w:p>
    <w:p>
      <w:pPr>
        <w:spacing w:line="240" w:lineRule="auto"/>
        <w:ind w:firstLine="0" w:firstLineChars="0"/>
        <w:jc w:val="center"/>
        <w:rPr>
          <w:rFonts w:cs="Times New Roman"/>
          <w:sz w:val="20"/>
          <w:szCs w:val="20"/>
        </w:rPr>
      </w:pPr>
    </w:p>
    <w:p>
      <w:pPr>
        <w:spacing w:line="240" w:lineRule="auto"/>
        <w:ind w:firstLine="0" w:firstLineChars="0"/>
        <w:jc w:val="center"/>
        <w:rPr>
          <w:rFonts w:cs="Times New Roman"/>
          <w:sz w:val="20"/>
          <w:szCs w:val="20"/>
        </w:rPr>
      </w:pPr>
      <w:r>
        <w:rPr>
          <w:rFonts w:hint="eastAsia" w:cs="Times New Roman"/>
          <w:sz w:val="21"/>
        </w:rPr>
        <w:drawing>
          <wp:inline distT="0" distB="0" distL="114300" distR="114300">
            <wp:extent cx="1556385" cy="1576705"/>
            <wp:effectExtent l="0" t="0" r="18415" b="23495"/>
            <wp:docPr id="19" name="图片 1"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logo02"/>
                    <pic:cNvPicPr>
                      <a:picLocks noChangeAspect="1"/>
                    </pic:cNvPicPr>
                  </pic:nvPicPr>
                  <pic:blipFill>
                    <a:blip r:embed="rId15"/>
                    <a:stretch>
                      <a:fillRect/>
                    </a:stretch>
                  </pic:blipFill>
                  <pic:spPr>
                    <a:xfrm>
                      <a:off x="0" y="0"/>
                      <a:ext cx="1556385" cy="1576705"/>
                    </a:xfrm>
                    <a:prstGeom prst="rect">
                      <a:avLst/>
                    </a:prstGeom>
                    <a:noFill/>
                    <a:ln w="9525">
                      <a:noFill/>
                    </a:ln>
                  </pic:spPr>
                </pic:pic>
              </a:graphicData>
            </a:graphic>
          </wp:inline>
        </w:drawing>
      </w:r>
    </w:p>
    <w:p>
      <w:pPr>
        <w:spacing w:line="240" w:lineRule="auto"/>
        <w:ind w:firstLine="0" w:firstLineChars="0"/>
        <w:jc w:val="center"/>
        <w:rPr>
          <w:rFonts w:ascii="黑体" w:eastAsia="黑体" w:cs="Times New Roman"/>
          <w:b/>
          <w:sz w:val="72"/>
          <w:szCs w:val="72"/>
        </w:rPr>
      </w:pPr>
      <w:r>
        <w:rPr>
          <w:rFonts w:hint="eastAsia" w:ascii="黑体" w:eastAsia="黑体" w:cs="Times New Roman"/>
          <w:b/>
          <w:sz w:val="72"/>
          <w:szCs w:val="72"/>
        </w:rPr>
        <w:t>2023届</w:t>
      </w:r>
    </w:p>
    <w:p>
      <w:pPr>
        <w:spacing w:line="240" w:lineRule="auto"/>
        <w:ind w:firstLine="0" w:firstLineChars="0"/>
        <w:jc w:val="center"/>
        <w:rPr>
          <w:rFonts w:ascii="黑体" w:eastAsia="黑体" w:cs="Times New Roman"/>
          <w:b/>
          <w:sz w:val="84"/>
          <w:szCs w:val="84"/>
        </w:rPr>
      </w:pPr>
      <w:r>
        <w:rPr>
          <w:rFonts w:hint="eastAsia" w:ascii="黑体" w:eastAsia="黑体" w:cs="Times New Roman"/>
          <w:b/>
          <w:sz w:val="84"/>
          <w:szCs w:val="84"/>
        </w:rPr>
        <w:t>本科毕业论文（设计）</w:t>
      </w:r>
    </w:p>
    <w:p>
      <w:pPr>
        <w:spacing w:line="240" w:lineRule="auto"/>
        <w:ind w:firstLine="0" w:firstLineChars="0"/>
        <w:jc w:val="both"/>
        <w:rPr>
          <w:rFonts w:ascii="黑体" w:eastAsia="黑体" w:cs="Times New Roman"/>
          <w:b/>
          <w:sz w:val="32"/>
          <w:szCs w:val="32"/>
        </w:rPr>
      </w:pPr>
    </w:p>
    <w:p>
      <w:pPr>
        <w:spacing w:line="240" w:lineRule="auto"/>
        <w:ind w:firstLine="1430" w:firstLineChars="445"/>
        <w:jc w:val="both"/>
        <w:rPr>
          <w:rFonts w:ascii="仿宋_GB2312" w:hAnsi="华文仿宋" w:eastAsia="仿宋_GB2312" w:cs="Times New Roman"/>
          <w:b/>
          <w:bCs/>
          <w:sz w:val="32"/>
          <w:u w:val="single"/>
        </w:rPr>
      </w:pPr>
      <w:r>
        <w:rPr>
          <w:rFonts w:hint="eastAsia" w:ascii="仿宋_GB2312" w:hAnsi="华文仿宋" w:eastAsia="仿宋_GB2312" w:cs="Times New Roman"/>
          <w:b/>
          <w:bCs/>
          <w:sz w:val="32"/>
        </w:rPr>
        <w:t>论文题目：</w:t>
      </w:r>
      <w:r>
        <w:rPr>
          <w:rFonts w:ascii="仿宋_GB2312" w:hAnsi="华文仿宋" w:eastAsia="仿宋_GB2312" w:cs="Times New Roman"/>
          <w:b/>
          <w:bCs/>
          <w:sz w:val="32"/>
          <w:u w:val="single"/>
        </w:rPr>
        <w:t xml:space="preserve"> </w:t>
      </w:r>
      <w:r>
        <w:rPr>
          <w:rFonts w:hint="eastAsia" w:ascii="仿宋_GB2312" w:hAnsi="华文仿宋" w:eastAsia="仿宋_GB2312" w:cs="Times New Roman"/>
          <w:b/>
          <w:bCs/>
          <w:sz w:val="32"/>
          <w:u w:val="single"/>
        </w:rPr>
        <w:t xml:space="preserve">（三号，仿宋，下划线） </w:t>
      </w:r>
      <w:r>
        <w:rPr>
          <w:rFonts w:hint="eastAsia" w:ascii="仿宋_GB2312" w:hAnsi="华文仿宋" w:eastAsia="仿宋_GB2312" w:cs="Times New Roman"/>
          <w:b/>
          <w:bCs/>
          <w:sz w:val="32"/>
        </w:rPr>
        <w:t xml:space="preserve">         </w:t>
      </w:r>
    </w:p>
    <w:p>
      <w:pPr>
        <w:spacing w:line="600" w:lineRule="auto"/>
        <w:ind w:firstLine="1430" w:firstLineChars="445"/>
        <w:jc w:val="both"/>
        <w:rPr>
          <w:rFonts w:ascii="仿宋_GB2312" w:hAnsi="华文仿宋" w:eastAsia="仿宋_GB2312" w:cs="Times New Roman"/>
          <w:b/>
          <w:bCs/>
          <w:sz w:val="32"/>
        </w:rPr>
      </w:pPr>
      <w:r>
        <w:rPr>
          <w:rFonts w:hint="eastAsia" w:ascii="仿宋_GB2312" w:hAnsi="华文仿宋" w:eastAsia="仿宋_GB2312" w:cs="Times New Roman"/>
          <w:b/>
          <w:bCs/>
          <w:sz w:val="32"/>
        </w:rPr>
        <w:t>学生姓名：</w:t>
      </w:r>
      <w:r>
        <w:rPr>
          <w:rFonts w:hint="eastAsia" w:ascii="仿宋_GB2312" w:hAnsi="华文仿宋" w:eastAsia="仿宋_GB2312" w:cs="Times New Roman"/>
          <w:b/>
          <w:bCs/>
          <w:sz w:val="32"/>
          <w:u w:val="single"/>
        </w:rPr>
        <w:t xml:space="preserve"> </w:t>
      </w:r>
      <w:bookmarkStart w:id="1" w:name="_Hlk105572915"/>
      <w:r>
        <w:rPr>
          <w:rFonts w:hint="eastAsia" w:ascii="仿宋_GB2312" w:hAnsi="华文仿宋" w:eastAsia="仿宋_GB2312" w:cs="Times New Roman"/>
          <w:b/>
          <w:bCs/>
          <w:sz w:val="32"/>
          <w:u w:val="single"/>
        </w:rPr>
        <w:t>（三号，仿宋，下划线）</w:t>
      </w:r>
      <w:bookmarkEnd w:id="1"/>
      <w:r>
        <w:rPr>
          <w:rFonts w:hint="eastAsia" w:ascii="仿宋_GB2312" w:hAnsi="华文仿宋" w:eastAsia="仿宋_GB2312" w:cs="Times New Roman"/>
          <w:b/>
          <w:bCs/>
          <w:sz w:val="32"/>
          <w:u w:val="single"/>
        </w:rPr>
        <w:t xml:space="preserve"> </w:t>
      </w:r>
    </w:p>
    <w:p>
      <w:pPr>
        <w:spacing w:line="600" w:lineRule="auto"/>
        <w:ind w:firstLine="1430" w:firstLineChars="445"/>
        <w:jc w:val="both"/>
        <w:rPr>
          <w:rFonts w:ascii="仿宋_GB2312" w:hAnsi="华文仿宋" w:eastAsia="仿宋_GB2312" w:cs="Times New Roman"/>
          <w:b/>
          <w:bCs/>
          <w:sz w:val="32"/>
        </w:rPr>
      </w:pPr>
      <w:r>
        <w:rPr>
          <w:rFonts w:hint="eastAsia" w:ascii="仿宋_GB2312" w:hAnsi="华文仿宋" w:eastAsia="仿宋_GB2312" w:cs="Times New Roman"/>
          <w:b/>
          <w:bCs/>
          <w:sz w:val="32"/>
        </w:rPr>
        <w:t>所在学院：</w:t>
      </w:r>
      <w:r>
        <w:rPr>
          <w:rFonts w:hint="eastAsia" w:ascii="仿宋_GB2312" w:hAnsi="华文仿宋" w:eastAsia="仿宋_GB2312" w:cs="Times New Roman"/>
          <w:b/>
          <w:bCs/>
          <w:sz w:val="32"/>
          <w:u w:val="single"/>
        </w:rPr>
        <w:t xml:space="preserve"> （三号，仿宋，下划线） </w:t>
      </w:r>
    </w:p>
    <w:p>
      <w:pPr>
        <w:spacing w:line="600" w:lineRule="auto"/>
        <w:ind w:firstLine="1430" w:firstLineChars="445"/>
        <w:jc w:val="both"/>
        <w:rPr>
          <w:rFonts w:ascii="仿宋_GB2312" w:hAnsi="华文仿宋" w:eastAsia="仿宋_GB2312" w:cs="Times New Roman"/>
          <w:b/>
          <w:bCs/>
          <w:sz w:val="32"/>
          <w:u w:val="single"/>
        </w:rPr>
      </w:pPr>
      <w:r>
        <w:rPr>
          <w:rFonts w:hint="eastAsia" w:ascii="仿宋_GB2312" w:hAnsi="华文仿宋" w:eastAsia="仿宋_GB2312" w:cs="Times New Roman"/>
          <w:b/>
          <w:bCs/>
          <w:sz w:val="32"/>
        </w:rPr>
        <w:t>专    业：</w:t>
      </w:r>
      <w:r>
        <w:rPr>
          <w:rFonts w:hint="eastAsia" w:ascii="仿宋_GB2312" w:hAnsi="华文仿宋" w:eastAsia="仿宋_GB2312" w:cs="Times New Roman"/>
          <w:b/>
          <w:bCs/>
          <w:sz w:val="32"/>
          <w:u w:val="single"/>
        </w:rPr>
        <w:t xml:space="preserve"> （三号，仿宋，下划线） </w:t>
      </w:r>
    </w:p>
    <w:p>
      <w:pPr>
        <w:spacing w:line="600" w:lineRule="auto"/>
        <w:ind w:firstLine="1430" w:firstLineChars="445"/>
        <w:jc w:val="both"/>
        <w:rPr>
          <w:rFonts w:ascii="仿宋_GB2312" w:hAnsi="华文仿宋" w:eastAsia="仿宋_GB2312" w:cs="Times New Roman"/>
          <w:b/>
          <w:bCs/>
          <w:sz w:val="32"/>
          <w:u w:val="single"/>
        </w:rPr>
      </w:pPr>
      <w:r>
        <w:rPr>
          <w:rFonts w:hint="eastAsia" w:ascii="仿宋_GB2312" w:hAnsi="华文仿宋" w:eastAsia="仿宋_GB2312" w:cs="Times New Roman"/>
          <w:b/>
          <w:bCs/>
          <w:sz w:val="32"/>
        </w:rPr>
        <w:t>学    号：</w:t>
      </w:r>
      <w:r>
        <w:rPr>
          <w:rFonts w:hint="eastAsia" w:ascii="仿宋_GB2312" w:hAnsi="华文仿宋" w:eastAsia="仿宋_GB2312" w:cs="Times New Roman"/>
          <w:b/>
          <w:bCs/>
          <w:sz w:val="32"/>
          <w:szCs w:val="32"/>
          <w:u w:val="single"/>
        </w:rPr>
        <w:t>（阿拉伯数字，三号，仿宋，下划线</w:t>
      </w:r>
      <w:r>
        <w:rPr>
          <w:rFonts w:hint="eastAsia" w:ascii="仿宋_GB2312" w:hAnsi="华文仿宋" w:eastAsia="仿宋_GB2312" w:cs="Times New Roman"/>
          <w:b/>
          <w:bCs/>
          <w:sz w:val="24"/>
          <w:u w:val="single"/>
        </w:rPr>
        <w:t>）</w:t>
      </w:r>
    </w:p>
    <w:p>
      <w:pPr>
        <w:spacing w:line="600" w:lineRule="auto"/>
        <w:ind w:firstLine="1430" w:firstLineChars="445"/>
        <w:jc w:val="both"/>
        <w:rPr>
          <w:rFonts w:ascii="仿宋_GB2312" w:hAnsi="华文仿宋" w:eastAsia="仿宋_GB2312" w:cs="Times New Roman"/>
          <w:b/>
          <w:bCs/>
          <w:sz w:val="32"/>
          <w:u w:val="single"/>
        </w:rPr>
      </w:pPr>
      <w:r>
        <w:rPr>
          <w:rFonts w:hint="eastAsia" w:ascii="仿宋_GB2312" w:hAnsi="华文仿宋" w:eastAsia="仿宋_GB2312" w:cs="Times New Roman"/>
          <w:b/>
          <w:bCs/>
          <w:sz w:val="32"/>
        </w:rPr>
        <w:t>指导教师：</w:t>
      </w:r>
      <w:r>
        <w:rPr>
          <w:rFonts w:hint="eastAsia" w:ascii="仿宋_GB2312" w:hAnsi="华文仿宋" w:eastAsia="仿宋_GB2312" w:cs="Times New Roman"/>
          <w:b/>
          <w:bCs/>
          <w:sz w:val="32"/>
          <w:u w:val="single"/>
        </w:rPr>
        <w:t xml:space="preserve">                      </w:t>
      </w:r>
    </w:p>
    <w:p>
      <w:pPr>
        <w:spacing w:line="600" w:lineRule="auto"/>
        <w:ind w:firstLine="1430" w:firstLineChars="445"/>
        <w:jc w:val="both"/>
        <w:rPr>
          <w:rFonts w:ascii="仿宋_GB2312" w:hAnsi="华文仿宋" w:eastAsia="仿宋_GB2312" w:cs="Times New Roman"/>
          <w:b/>
          <w:bCs/>
          <w:sz w:val="32"/>
          <w:u w:val="single"/>
        </w:rPr>
      </w:pPr>
      <w:r>
        <w:rPr>
          <w:rFonts w:hint="eastAsia" w:ascii="仿宋_GB2312" w:hAnsi="华文仿宋" w:eastAsia="仿宋_GB2312" w:cs="Times New Roman"/>
          <w:b/>
          <w:bCs/>
          <w:sz w:val="32"/>
        </w:rPr>
        <w:t>导师职称：</w:t>
      </w:r>
      <w:r>
        <w:rPr>
          <w:rFonts w:hint="eastAsia" w:ascii="仿宋_GB2312" w:hAnsi="华文仿宋" w:eastAsia="仿宋_GB2312" w:cs="Times New Roman"/>
          <w:b/>
          <w:bCs/>
          <w:sz w:val="32"/>
          <w:u w:val="single"/>
        </w:rPr>
        <w:t xml:space="preserve">                      </w:t>
      </w:r>
    </w:p>
    <w:p>
      <w:pPr>
        <w:jc w:val="center"/>
        <w:rPr>
          <w:rFonts w:ascii="华文仿宋" w:hAnsi="华文仿宋" w:eastAsia="华文仿宋"/>
          <w:b/>
          <w:sz w:val="32"/>
        </w:rPr>
        <w:sectPr>
          <w:headerReference r:id="rId6" w:type="first"/>
          <w:headerReference r:id="rId5" w:type="default"/>
          <w:footerReference r:id="rId7" w:type="default"/>
          <w:pgSz w:w="11906" w:h="16838"/>
          <w:pgMar w:top="1418" w:right="1418" w:bottom="1418" w:left="1701" w:header="851" w:footer="992" w:gutter="0"/>
          <w:pgNumType w:start="1"/>
          <w:cols w:space="720" w:num="1"/>
          <w:titlePg/>
          <w:docGrid w:type="lines" w:linePitch="317" w:charSpace="609"/>
        </w:sectPr>
      </w:pPr>
      <w:r>
        <w:rPr>
          <w:rFonts w:hint="eastAsia" w:ascii="华文仿宋" w:hAnsi="华文仿宋" w:eastAsia="华文仿宋" w:cs="Times New Roman"/>
          <w:b/>
          <w:sz w:val="32"/>
        </w:rPr>
        <w:t>年   月</w:t>
      </w:r>
    </w:p>
    <w:p>
      <w:pPr>
        <w:spacing w:line="240" w:lineRule="auto"/>
        <w:ind w:firstLine="0" w:firstLineChars="0"/>
        <w:jc w:val="center"/>
        <w:rPr>
          <w:rFonts w:ascii="华文中宋" w:hAnsi="华文中宋" w:eastAsia="华文中宋" w:cs="Times New Roman"/>
          <w:b/>
          <w:sz w:val="32"/>
        </w:rPr>
      </w:pPr>
      <w:r>
        <w:rPr>
          <w:rFonts w:hint="eastAsia" w:ascii="华文中宋" w:hAnsi="华文中宋" w:eastAsia="华文中宋" w:cs="Times New Roman"/>
          <w:b/>
          <w:sz w:val="32"/>
        </w:rPr>
        <w:drawing>
          <wp:anchor distT="0" distB="0" distL="114300" distR="114300" simplePos="0" relativeHeight="251660288" behindDoc="0" locked="0" layoutInCell="1" allowOverlap="1">
            <wp:simplePos x="0" y="0"/>
            <wp:positionH relativeFrom="margin">
              <wp:posOffset>171450</wp:posOffset>
            </wp:positionH>
            <wp:positionV relativeFrom="margin">
              <wp:posOffset>-76200</wp:posOffset>
            </wp:positionV>
            <wp:extent cx="809625" cy="809625"/>
            <wp:effectExtent l="0" t="0" r="13335" b="13335"/>
            <wp:wrapNone/>
            <wp:docPr id="1" name="图片 2" descr="天府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天府学院logo"/>
                    <pic:cNvPicPr>
                      <a:picLocks noChangeAspect="1"/>
                    </pic:cNvPicPr>
                  </pic:nvPicPr>
                  <pic:blipFill>
                    <a:blip r:embed="rId16" cstate="print"/>
                    <a:stretch>
                      <a:fillRect/>
                    </a:stretch>
                  </pic:blipFill>
                  <pic:spPr>
                    <a:xfrm>
                      <a:off x="0" y="0"/>
                      <a:ext cx="809625" cy="809625"/>
                    </a:xfrm>
                    <a:prstGeom prst="rect">
                      <a:avLst/>
                    </a:prstGeom>
                    <a:noFill/>
                    <a:ln w="9525">
                      <a:noFill/>
                    </a:ln>
                  </pic:spPr>
                </pic:pic>
              </a:graphicData>
            </a:graphic>
          </wp:anchor>
        </w:drawing>
      </w:r>
      <w:r>
        <w:rPr>
          <w:rFonts w:hint="eastAsia" w:ascii="华文中宋" w:hAnsi="华文中宋" w:eastAsia="华文中宋" w:cs="Times New Roman"/>
          <w:b/>
          <w:sz w:val="32"/>
        </w:rPr>
        <w:t xml:space="preserve">  西南财经大学天府学院</w:t>
      </w:r>
    </w:p>
    <w:p>
      <w:pPr>
        <w:spacing w:line="240" w:lineRule="auto"/>
        <w:ind w:firstLine="0" w:firstLineChars="0"/>
        <w:jc w:val="center"/>
        <w:rPr>
          <w:rFonts w:ascii="华文中宋" w:hAnsi="华文中宋" w:eastAsia="华文中宋" w:cs="Times New Roman"/>
          <w:b/>
          <w:sz w:val="32"/>
        </w:rPr>
      </w:pPr>
      <w:r>
        <w:rPr>
          <w:rFonts w:hint="eastAsia" w:ascii="华文中宋" w:hAnsi="华文中宋" w:eastAsia="华文中宋" w:cs="Times New Roman"/>
          <w:b/>
          <w:sz w:val="32"/>
        </w:rPr>
        <w:t xml:space="preserve">   本科毕业论文（设计）答辩修改记录</w:t>
      </w:r>
    </w:p>
    <w:p>
      <w:pPr>
        <w:spacing w:line="240" w:lineRule="auto"/>
        <w:ind w:firstLine="0" w:firstLineChars="0"/>
        <w:jc w:val="center"/>
        <w:rPr>
          <w:rFonts w:ascii="华文中宋" w:hAnsi="华文中宋" w:eastAsia="华文中宋" w:cs="Times New Roman"/>
          <w:b/>
          <w:sz w:val="21"/>
          <w:szCs w:val="21"/>
        </w:rPr>
      </w:pPr>
      <w:r>
        <w:rPr>
          <w:rFonts w:hint="eastAsia" w:ascii="华文中宋" w:hAnsi="华文中宋" w:eastAsia="华文中宋" w:cs="Times New Roman"/>
          <w:b/>
          <w:sz w:val="21"/>
          <w:szCs w:val="21"/>
        </w:rPr>
        <w:t xml:space="preserve">  （装订在封2）</w:t>
      </w:r>
    </w:p>
    <w:tbl>
      <w:tblPr>
        <w:tblStyle w:val="20"/>
        <w:tblW w:w="9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3"/>
        <w:gridCol w:w="1720"/>
        <w:gridCol w:w="1397"/>
        <w:gridCol w:w="1638"/>
        <w:gridCol w:w="1122"/>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6" w:hRule="atLeast"/>
        </w:trPr>
        <w:tc>
          <w:tcPr>
            <w:tcW w:w="1543"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论文（设计）名  称</w:t>
            </w:r>
          </w:p>
        </w:tc>
        <w:tc>
          <w:tcPr>
            <w:tcW w:w="8216" w:type="dxa"/>
            <w:gridSpan w:val="5"/>
            <w:vAlign w:val="center"/>
          </w:tcPr>
          <w:p>
            <w:pPr>
              <w:spacing w:line="240" w:lineRule="auto"/>
              <w:ind w:firstLine="0" w:firstLineChars="0"/>
              <w:jc w:val="center"/>
              <w:rPr>
                <w:rFonts w:ascii="宋体" w:cs="Times New Roman"/>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543"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学生姓名</w:t>
            </w:r>
          </w:p>
        </w:tc>
        <w:tc>
          <w:tcPr>
            <w:tcW w:w="1720" w:type="dxa"/>
            <w:vAlign w:val="center"/>
          </w:tcPr>
          <w:p>
            <w:pPr>
              <w:spacing w:line="240" w:lineRule="auto"/>
              <w:ind w:firstLine="0" w:firstLineChars="0"/>
              <w:jc w:val="center"/>
              <w:rPr>
                <w:rFonts w:ascii="宋体" w:cs="Times New Roman"/>
                <w:b/>
                <w:sz w:val="21"/>
                <w:szCs w:val="21"/>
              </w:rPr>
            </w:pPr>
          </w:p>
        </w:tc>
        <w:tc>
          <w:tcPr>
            <w:tcW w:w="1397"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学 号</w:t>
            </w:r>
          </w:p>
        </w:tc>
        <w:tc>
          <w:tcPr>
            <w:tcW w:w="1638" w:type="dxa"/>
            <w:vAlign w:val="center"/>
          </w:tcPr>
          <w:p>
            <w:pPr>
              <w:spacing w:line="240" w:lineRule="auto"/>
              <w:ind w:firstLine="0" w:firstLineChars="0"/>
              <w:jc w:val="center"/>
              <w:rPr>
                <w:rFonts w:ascii="宋体" w:cs="Times New Roman"/>
                <w:b/>
                <w:sz w:val="21"/>
                <w:szCs w:val="21"/>
              </w:rPr>
            </w:pPr>
          </w:p>
        </w:tc>
        <w:tc>
          <w:tcPr>
            <w:tcW w:w="1122"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专 业</w:t>
            </w:r>
          </w:p>
        </w:tc>
        <w:tc>
          <w:tcPr>
            <w:tcW w:w="2339" w:type="dxa"/>
            <w:vAlign w:val="center"/>
          </w:tcPr>
          <w:p>
            <w:pPr>
              <w:spacing w:line="240" w:lineRule="auto"/>
              <w:ind w:firstLine="0" w:firstLineChars="0"/>
              <w:jc w:val="center"/>
              <w:rPr>
                <w:rFonts w:ascii="宋体" w:cs="Times New Roman"/>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4" w:hRule="atLeast"/>
        </w:trPr>
        <w:tc>
          <w:tcPr>
            <w:tcW w:w="1543"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答辩时间</w:t>
            </w:r>
          </w:p>
        </w:tc>
        <w:tc>
          <w:tcPr>
            <w:tcW w:w="1720" w:type="dxa"/>
            <w:vAlign w:val="center"/>
          </w:tcPr>
          <w:p>
            <w:pPr>
              <w:spacing w:line="240" w:lineRule="auto"/>
              <w:ind w:firstLine="0" w:firstLineChars="0"/>
              <w:jc w:val="center"/>
              <w:rPr>
                <w:rFonts w:ascii="宋体" w:cs="Times New Roman"/>
                <w:b/>
                <w:sz w:val="21"/>
                <w:szCs w:val="21"/>
              </w:rPr>
            </w:pPr>
          </w:p>
        </w:tc>
        <w:tc>
          <w:tcPr>
            <w:tcW w:w="1397"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答辩教室</w:t>
            </w:r>
          </w:p>
        </w:tc>
        <w:tc>
          <w:tcPr>
            <w:tcW w:w="1638" w:type="dxa"/>
            <w:vAlign w:val="center"/>
          </w:tcPr>
          <w:p>
            <w:pPr>
              <w:spacing w:line="240" w:lineRule="auto"/>
              <w:ind w:firstLine="0" w:firstLineChars="0"/>
              <w:jc w:val="center"/>
              <w:rPr>
                <w:rFonts w:ascii="宋体" w:cs="Times New Roman"/>
                <w:b/>
                <w:sz w:val="21"/>
                <w:szCs w:val="21"/>
              </w:rPr>
            </w:pPr>
          </w:p>
        </w:tc>
        <w:tc>
          <w:tcPr>
            <w:tcW w:w="1122" w:type="dxa"/>
            <w:vAlign w:val="center"/>
          </w:tcPr>
          <w:p>
            <w:pPr>
              <w:spacing w:line="240" w:lineRule="auto"/>
              <w:ind w:firstLine="0" w:firstLineChars="0"/>
              <w:jc w:val="center"/>
              <w:rPr>
                <w:rFonts w:ascii="宋体" w:cs="Times New Roman"/>
                <w:b/>
                <w:sz w:val="21"/>
                <w:szCs w:val="21"/>
              </w:rPr>
            </w:pPr>
            <w:r>
              <w:rPr>
                <w:rFonts w:hint="eastAsia" w:ascii="宋体" w:cs="Times New Roman"/>
                <w:b/>
                <w:sz w:val="21"/>
                <w:szCs w:val="21"/>
              </w:rPr>
              <w:t>答辩结论</w:t>
            </w:r>
          </w:p>
        </w:tc>
        <w:tc>
          <w:tcPr>
            <w:tcW w:w="2339" w:type="dxa"/>
            <w:vAlign w:val="center"/>
          </w:tcPr>
          <w:p>
            <w:pPr>
              <w:spacing w:line="240" w:lineRule="auto"/>
              <w:ind w:firstLine="0" w:firstLineChars="0"/>
              <w:jc w:val="center"/>
              <w:rPr>
                <w:rFonts w:ascii="宋体" w:cs="Times New Roman"/>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6" w:hRule="atLeast"/>
        </w:trPr>
        <w:tc>
          <w:tcPr>
            <w:tcW w:w="9759" w:type="dxa"/>
            <w:gridSpan w:val="6"/>
          </w:tcPr>
          <w:p>
            <w:pPr>
              <w:spacing w:line="240" w:lineRule="auto"/>
              <w:ind w:firstLine="0" w:firstLineChars="0"/>
              <w:jc w:val="both"/>
              <w:rPr>
                <w:rFonts w:ascii="宋体" w:cs="Times New Roman"/>
                <w:b/>
                <w:sz w:val="10"/>
                <w:szCs w:val="10"/>
              </w:rPr>
            </w:pPr>
          </w:p>
          <w:p>
            <w:pPr>
              <w:spacing w:line="240" w:lineRule="auto"/>
              <w:ind w:firstLine="0" w:firstLineChars="0"/>
              <w:jc w:val="both"/>
              <w:rPr>
                <w:rFonts w:ascii="宋体" w:cs="Times New Roman"/>
                <w:sz w:val="28"/>
                <w:szCs w:val="28"/>
              </w:rPr>
            </w:pPr>
            <w:r>
              <w:rPr>
                <w:rFonts w:hint="eastAsia" w:ascii="宋体" w:cs="Times New Roman"/>
                <w:b/>
                <w:sz w:val="21"/>
                <w:szCs w:val="21"/>
              </w:rPr>
              <w:t>1、答辩时，老师提出的修改意见：（学生答辩现场自行记录，答辩后整理记录文字）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9" w:hRule="atLeast"/>
        </w:trPr>
        <w:tc>
          <w:tcPr>
            <w:tcW w:w="9759" w:type="dxa"/>
            <w:gridSpan w:val="6"/>
          </w:tcPr>
          <w:p>
            <w:pPr>
              <w:spacing w:line="240" w:lineRule="auto"/>
              <w:ind w:firstLine="0" w:firstLineChars="0"/>
              <w:jc w:val="left"/>
              <w:rPr>
                <w:rFonts w:asci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9" w:hRule="atLeast"/>
        </w:trPr>
        <w:tc>
          <w:tcPr>
            <w:tcW w:w="9759" w:type="dxa"/>
            <w:gridSpan w:val="6"/>
          </w:tcPr>
          <w:p>
            <w:pPr>
              <w:spacing w:line="240" w:lineRule="auto"/>
              <w:ind w:firstLine="0" w:firstLineChars="0"/>
              <w:jc w:val="left"/>
              <w:rPr>
                <w:rFonts w:asci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9" w:hRule="atLeast"/>
        </w:trPr>
        <w:tc>
          <w:tcPr>
            <w:tcW w:w="9759" w:type="dxa"/>
            <w:gridSpan w:val="6"/>
          </w:tcPr>
          <w:p>
            <w:pPr>
              <w:spacing w:line="240" w:lineRule="auto"/>
              <w:ind w:firstLine="0" w:firstLineChars="0"/>
              <w:jc w:val="left"/>
              <w:rPr>
                <w:rFonts w:asci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9" w:hRule="atLeast"/>
        </w:trPr>
        <w:tc>
          <w:tcPr>
            <w:tcW w:w="9759" w:type="dxa"/>
            <w:gridSpan w:val="6"/>
          </w:tcPr>
          <w:p>
            <w:pPr>
              <w:spacing w:line="240" w:lineRule="auto"/>
              <w:ind w:firstLine="0" w:firstLineChars="0"/>
              <w:jc w:val="left"/>
              <w:rPr>
                <w:rFonts w:ascii="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33" w:hRule="atLeast"/>
        </w:trPr>
        <w:tc>
          <w:tcPr>
            <w:tcW w:w="9759" w:type="dxa"/>
            <w:gridSpan w:val="6"/>
          </w:tcPr>
          <w:p>
            <w:pPr>
              <w:spacing w:line="240" w:lineRule="auto"/>
              <w:ind w:firstLine="0" w:firstLineChars="0"/>
              <w:jc w:val="left"/>
              <w:rPr>
                <w:rFonts w:ascii="宋体" w:cs="Times New Roman"/>
                <w:b/>
                <w:sz w:val="21"/>
                <w:szCs w:val="21"/>
              </w:rPr>
            </w:pPr>
            <w:r>
              <w:rPr>
                <w:rFonts w:hint="eastAsia" w:ascii="宋体" w:cs="Times New Roman"/>
                <w:b/>
                <w:sz w:val="21"/>
                <w:szCs w:val="21"/>
              </w:rPr>
              <w:t>2、修改措施和修改内容总结：（学生答辩后进行论文修改，填写相关内容）</w:t>
            </w: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p>
          <w:p>
            <w:pPr>
              <w:spacing w:line="240" w:lineRule="auto"/>
              <w:ind w:firstLine="0" w:firstLineChars="0"/>
              <w:jc w:val="both"/>
              <w:rPr>
                <w:rFonts w:ascii="宋体" w:cs="Times New Roman"/>
                <w:b/>
                <w:sz w:val="21"/>
                <w:szCs w:val="21"/>
              </w:rPr>
            </w:pPr>
            <w:r>
              <w:rPr>
                <w:rFonts w:hint="eastAsia" w:ascii="宋体" w:cs="Times New Roman"/>
                <w:b/>
                <w:sz w:val="21"/>
                <w:szCs w:val="21"/>
              </w:rPr>
              <w:t>（注）：答辩直接通过同学，可以直接记录“无”。</w:t>
            </w:r>
          </w:p>
          <w:p>
            <w:pPr>
              <w:spacing w:line="240" w:lineRule="auto"/>
              <w:ind w:firstLine="0" w:firstLineChars="0"/>
              <w:jc w:val="both"/>
              <w:rPr>
                <w:rFonts w:ascii="宋体" w:cs="Times New Roman"/>
                <w:b/>
                <w:sz w:val="21"/>
                <w:szCs w:val="21"/>
              </w:rPr>
            </w:pPr>
          </w:p>
          <w:p>
            <w:pPr>
              <w:spacing w:line="240" w:lineRule="auto"/>
              <w:ind w:firstLine="0" w:firstLineChars="0"/>
              <w:jc w:val="center"/>
              <w:rPr>
                <w:rFonts w:ascii="宋体" w:cs="Times New Roman"/>
                <w:b/>
                <w:sz w:val="21"/>
                <w:szCs w:val="21"/>
              </w:rPr>
            </w:pPr>
            <w:r>
              <w:rPr>
                <w:rFonts w:hint="eastAsia" w:ascii="宋体" w:cs="Times New Roman"/>
                <w:b/>
                <w:sz w:val="21"/>
                <w:szCs w:val="21"/>
              </w:rPr>
              <w:t>修改后答辩老师签字：</w:t>
            </w:r>
          </w:p>
          <w:p>
            <w:pPr>
              <w:spacing w:line="240" w:lineRule="auto"/>
              <w:ind w:firstLine="0" w:firstLineChars="0"/>
              <w:jc w:val="center"/>
              <w:rPr>
                <w:rFonts w:ascii="宋体" w:cs="Times New Roman"/>
                <w:b/>
                <w:sz w:val="21"/>
                <w:szCs w:val="21"/>
              </w:rPr>
            </w:pPr>
            <w:r>
              <w:rPr>
                <w:rFonts w:hint="eastAsia" w:ascii="宋体" w:cs="Times New Roman"/>
                <w:b/>
                <w:sz w:val="21"/>
                <w:szCs w:val="21"/>
              </w:rPr>
              <w:t>时     间：</w:t>
            </w:r>
          </w:p>
        </w:tc>
      </w:tr>
    </w:tbl>
    <w:p>
      <w:pPr>
        <w:spacing w:line="360" w:lineRule="auto"/>
        <w:ind w:firstLine="0" w:firstLineChars="0"/>
        <w:jc w:val="both"/>
        <w:rPr>
          <w:rFonts w:eastAsia="黑体" w:cs="Times New Roman"/>
          <w:sz w:val="32"/>
        </w:rPr>
      </w:pPr>
      <w:r>
        <w:rPr>
          <w:rFonts w:hint="eastAsia" w:eastAsia="黑体" w:cs="Times New Roman"/>
          <w:sz w:val="32"/>
        </w:rPr>
        <w:br w:type="page"/>
      </w:r>
    </w:p>
    <w:p>
      <w:pPr>
        <w:spacing w:line="360" w:lineRule="auto"/>
        <w:ind w:firstLine="0" w:firstLineChars="0"/>
        <w:jc w:val="both"/>
        <w:rPr>
          <w:rFonts w:eastAsia="黑体" w:cs="Times New Roman"/>
          <w:sz w:val="32"/>
        </w:rPr>
        <w:sectPr>
          <w:headerReference r:id="rId8" w:type="default"/>
          <w:footerReference r:id="rId9" w:type="default"/>
          <w:endnotePr>
            <w:numFmt w:val="decimal"/>
          </w:endnotePr>
          <w:pgSz w:w="11906" w:h="16838"/>
          <w:pgMar w:top="1417" w:right="1417" w:bottom="1417" w:left="1701" w:header="851" w:footer="992" w:gutter="0"/>
          <w:cols w:space="0" w:num="1"/>
          <w:rtlGutter w:val="0"/>
          <w:docGrid w:type="lines" w:linePitch="389" w:charSpace="0"/>
        </w:sectPr>
      </w:pPr>
    </w:p>
    <w:p>
      <w:pPr>
        <w:spacing w:line="360" w:lineRule="auto"/>
        <w:ind w:firstLine="0" w:firstLineChars="0"/>
        <w:jc w:val="both"/>
        <w:rPr>
          <w:rFonts w:eastAsia="黑体" w:cs="Times New Roman"/>
          <w:sz w:val="32"/>
        </w:rPr>
      </w:pPr>
    </w:p>
    <w:p>
      <w:pPr>
        <w:spacing w:line="360" w:lineRule="auto"/>
        <w:ind w:firstLine="0" w:firstLineChars="0"/>
        <w:jc w:val="center"/>
        <w:rPr>
          <w:rFonts w:eastAsia="黑体" w:cs="Times New Roman"/>
          <w:sz w:val="32"/>
        </w:rPr>
      </w:pPr>
      <w:r>
        <w:rPr>
          <w:rFonts w:hint="eastAsia" w:eastAsia="黑体" w:cs="Times New Roman"/>
          <w:sz w:val="32"/>
        </w:rPr>
        <w:t>西南财经大学天府学院</w:t>
      </w:r>
    </w:p>
    <w:p>
      <w:pPr>
        <w:spacing w:line="360" w:lineRule="auto"/>
        <w:ind w:firstLine="0" w:firstLineChars="0"/>
        <w:jc w:val="center"/>
        <w:rPr>
          <w:rFonts w:eastAsia="黑体" w:cs="Times New Roman"/>
          <w:sz w:val="44"/>
        </w:rPr>
      </w:pPr>
      <w:r>
        <w:rPr>
          <w:rFonts w:hint="eastAsia" w:eastAsia="黑体" w:cs="Times New Roman"/>
          <w:sz w:val="32"/>
        </w:rPr>
        <w:t>本科毕业论文（设计）原创性及知识产权声明</w:t>
      </w:r>
    </w:p>
    <w:p>
      <w:pPr>
        <w:pStyle w:val="18"/>
        <w:spacing w:line="240" w:lineRule="auto"/>
        <w:ind w:firstLine="0" w:firstLineChars="0"/>
        <w:jc w:val="center"/>
        <w:rPr>
          <w:rFonts w:hint="default"/>
          <w:sz w:val="28"/>
          <w:szCs w:val="28"/>
        </w:rPr>
      </w:pPr>
    </w:p>
    <w:p>
      <w:pPr>
        <w:spacing w:line="480" w:lineRule="auto"/>
        <w:ind w:firstLine="560" w:firstLineChars="200"/>
        <w:jc w:val="both"/>
        <w:rPr>
          <w:rFonts w:cs="Times New Roman"/>
          <w:sz w:val="28"/>
          <w:szCs w:val="28"/>
        </w:rPr>
      </w:pPr>
      <w:r>
        <w:rPr>
          <w:rFonts w:hint="eastAsia" w:cs="Times New Roman"/>
          <w:sz w:val="28"/>
          <w:szCs w:val="28"/>
        </w:rPr>
        <w:t>本人郑重声明：所呈交的毕业论文（设计）是本人在导师的指导下取得的成果。对本论文（设计）的研究做出重要贡献的个人和集体，均已在文中以明确方式标明。因本毕业论文（设计）引起的法律结果完全由本人承担。</w:t>
      </w:r>
    </w:p>
    <w:p>
      <w:pPr>
        <w:spacing w:line="480" w:lineRule="auto"/>
        <w:ind w:firstLine="560" w:firstLineChars="200"/>
        <w:jc w:val="both"/>
        <w:rPr>
          <w:rFonts w:ascii="宋体" w:hAnsi="宋体" w:cs="Times New Roman"/>
          <w:sz w:val="28"/>
          <w:szCs w:val="28"/>
        </w:rPr>
      </w:pPr>
      <w:r>
        <w:rPr>
          <w:rFonts w:hint="eastAsia" w:ascii="宋体" w:hAnsi="宋体" w:cs="Times New Roman"/>
          <w:sz w:val="28"/>
          <w:szCs w:val="28"/>
        </w:rPr>
        <w:t>本毕业论文（设计）成果归西南财经大学天府学院所有。</w:t>
      </w:r>
    </w:p>
    <w:p>
      <w:pPr>
        <w:spacing w:line="480" w:lineRule="auto"/>
        <w:ind w:firstLine="0" w:firstLineChars="0"/>
        <w:jc w:val="both"/>
        <w:rPr>
          <w:rFonts w:ascii="宋体" w:hAnsi="宋体" w:cs="Times New Roman"/>
          <w:sz w:val="28"/>
          <w:szCs w:val="28"/>
        </w:rPr>
      </w:pPr>
    </w:p>
    <w:p>
      <w:pPr>
        <w:spacing w:line="480" w:lineRule="auto"/>
        <w:ind w:firstLine="560" w:firstLineChars="200"/>
        <w:jc w:val="both"/>
        <w:rPr>
          <w:rFonts w:ascii="宋体" w:hAnsi="宋体" w:cs="Times New Roman"/>
          <w:sz w:val="28"/>
          <w:szCs w:val="28"/>
        </w:rPr>
      </w:pPr>
      <w:r>
        <w:rPr>
          <w:rFonts w:hint="eastAsia" w:ascii="宋体" w:hAnsi="宋体" w:cs="Times New Roman"/>
          <w:sz w:val="28"/>
          <w:szCs w:val="28"/>
        </w:rPr>
        <w:t>特此声明。</w:t>
      </w:r>
    </w:p>
    <w:p>
      <w:pPr>
        <w:spacing w:line="480" w:lineRule="auto"/>
        <w:ind w:firstLine="0" w:firstLineChars="0"/>
        <w:jc w:val="both"/>
        <w:rPr>
          <w:rFonts w:cs="Times New Roman"/>
          <w:sz w:val="28"/>
          <w:szCs w:val="28"/>
        </w:rPr>
      </w:pPr>
    </w:p>
    <w:p>
      <w:pPr>
        <w:spacing w:line="480" w:lineRule="auto"/>
        <w:ind w:firstLine="0" w:firstLineChars="0"/>
        <w:jc w:val="both"/>
        <w:rPr>
          <w:rFonts w:cs="Times New Roman"/>
          <w:sz w:val="28"/>
          <w:szCs w:val="28"/>
        </w:rPr>
      </w:pPr>
    </w:p>
    <w:p>
      <w:pPr>
        <w:spacing w:line="480" w:lineRule="auto"/>
        <w:ind w:firstLine="0" w:firstLineChars="0"/>
        <w:jc w:val="both"/>
        <w:rPr>
          <w:rFonts w:cs="Times New Roman"/>
          <w:sz w:val="28"/>
          <w:szCs w:val="28"/>
        </w:rPr>
      </w:pPr>
    </w:p>
    <w:p>
      <w:pPr>
        <w:spacing w:line="480" w:lineRule="auto"/>
        <w:ind w:firstLine="3640" w:firstLineChars="1300"/>
        <w:jc w:val="both"/>
        <w:rPr>
          <w:rFonts w:ascii="宋体" w:hAnsi="宋体" w:cs="Times New Roman"/>
          <w:color w:val="C0504D"/>
          <w:sz w:val="21"/>
          <w:szCs w:val="21"/>
        </w:rPr>
      </w:pPr>
      <w:r>
        <w:rPr>
          <w:rFonts w:hint="eastAsia" w:cs="Times New Roman"/>
          <w:sz w:val="28"/>
          <w:szCs w:val="28"/>
        </w:rPr>
        <w:t>毕业论文（设计）作者签名：</w:t>
      </w:r>
    </w:p>
    <w:p>
      <w:pPr>
        <w:spacing w:line="480" w:lineRule="auto"/>
        <w:ind w:firstLine="3640" w:firstLineChars="1300"/>
        <w:jc w:val="both"/>
        <w:rPr>
          <w:rFonts w:cs="Times New Roman"/>
          <w:sz w:val="28"/>
          <w:szCs w:val="28"/>
        </w:rPr>
      </w:pPr>
      <w:r>
        <w:rPr>
          <w:rFonts w:hint="eastAsia" w:cs="Times New Roman"/>
          <w:sz w:val="28"/>
          <w:szCs w:val="28"/>
        </w:rPr>
        <w:t>作者专业：</w:t>
      </w:r>
    </w:p>
    <w:p>
      <w:pPr>
        <w:spacing w:line="480" w:lineRule="auto"/>
        <w:ind w:firstLine="3640" w:firstLineChars="1300"/>
        <w:jc w:val="both"/>
        <w:rPr>
          <w:rFonts w:cs="Times New Roman"/>
          <w:sz w:val="28"/>
          <w:szCs w:val="28"/>
        </w:rPr>
      </w:pPr>
      <w:r>
        <w:rPr>
          <w:rFonts w:hint="eastAsia" w:cs="Times New Roman"/>
          <w:sz w:val="28"/>
          <w:szCs w:val="28"/>
        </w:rPr>
        <w:t>作者学号：</w:t>
      </w:r>
    </w:p>
    <w:p>
      <w:pPr>
        <w:spacing w:line="240" w:lineRule="auto"/>
        <w:ind w:firstLine="3640" w:firstLineChars="1300"/>
        <w:jc w:val="both"/>
        <w:rPr>
          <w:rFonts w:cs="Times New Roman"/>
          <w:sz w:val="28"/>
          <w:szCs w:val="28"/>
        </w:rPr>
      </w:pPr>
      <w:r>
        <w:rPr>
          <w:rFonts w:hint="eastAsia" w:cs="Times New Roman"/>
          <w:sz w:val="28"/>
          <w:szCs w:val="28"/>
        </w:rPr>
        <w:t>________年____月____日</w:t>
      </w:r>
    </w:p>
    <w:p>
      <w:pPr>
        <w:spacing w:line="240" w:lineRule="auto"/>
        <w:ind w:firstLine="0" w:firstLineChars="0"/>
        <w:jc w:val="both"/>
        <w:rPr>
          <w:rFonts w:cs="Times New Roman"/>
          <w:sz w:val="24"/>
        </w:rPr>
      </w:pPr>
      <w:r>
        <w:rPr>
          <w:rFonts w:cs="Times New Roman"/>
          <w:sz w:val="24"/>
        </w:rPr>
        <w:br w:type="page"/>
      </w:r>
    </w:p>
    <w:p>
      <w:pPr>
        <w:ind w:left="0" w:leftChars="0" w:firstLine="0" w:firstLineChars="0"/>
        <w:jc w:val="both"/>
        <w:outlineLvl w:val="0"/>
        <w:rPr>
          <w:rFonts w:hint="eastAsia"/>
          <w:b/>
          <w:bCs/>
          <w:sz w:val="44"/>
          <w:szCs w:val="44"/>
          <w:lang w:val="en-US" w:eastAsia="zh-CN"/>
        </w:rPr>
        <w:sectPr>
          <w:headerReference r:id="rId10" w:type="default"/>
          <w:endnotePr>
            <w:numFmt w:val="decimal"/>
          </w:endnotePr>
          <w:pgSz w:w="11906" w:h="16838"/>
          <w:pgMar w:top="1417" w:right="1417" w:bottom="1417" w:left="1701" w:header="851" w:footer="992" w:gutter="0"/>
          <w:cols w:space="0" w:num="1"/>
          <w:rtlGutter w:val="0"/>
          <w:docGrid w:type="lines" w:linePitch="389" w:charSpace="0"/>
        </w:sectPr>
      </w:pPr>
    </w:p>
    <w:p>
      <w:pPr>
        <w:jc w:val="center"/>
        <w:outlineLvl w:val="0"/>
        <w:rPr>
          <w:rFonts w:hint="eastAsia"/>
          <w:b/>
          <w:bCs/>
          <w:sz w:val="44"/>
          <w:szCs w:val="44"/>
          <w:lang w:val="en-US" w:eastAsia="zh-CN"/>
        </w:rPr>
      </w:pPr>
      <w:r>
        <w:rPr>
          <w:rFonts w:hint="eastAsia"/>
          <w:b/>
          <w:bCs/>
          <w:sz w:val="44"/>
          <w:szCs w:val="44"/>
          <w:lang w:val="en-US" w:eastAsia="zh-CN"/>
        </w:rPr>
        <w:t>摘要</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b/>
          <w:bCs/>
          <w:color w:val="auto"/>
          <w:sz w:val="28"/>
          <w:szCs w:val="28"/>
          <w:lang w:val="en-US" w:eastAsia="zh-CN"/>
        </w:rPr>
      </w:pPr>
      <w:r>
        <w:rPr>
          <w:rFonts w:hint="eastAsia" w:ascii="宋体" w:hAnsi="宋体" w:eastAsia="宋体" w:cs="宋体"/>
          <w:color w:val="auto"/>
          <w:sz w:val="28"/>
          <w:szCs w:val="28"/>
          <w:lang w:val="en-US" w:eastAsia="zh-CN"/>
        </w:rPr>
        <w:t>目的：研究</w:t>
      </w:r>
      <w:r>
        <w:rPr>
          <w:rFonts w:ascii="宋体" w:hAnsi="宋体" w:eastAsia="宋体" w:cs="宋体"/>
          <w:color w:val="auto"/>
          <w:sz w:val="28"/>
          <w:szCs w:val="28"/>
        </w:rPr>
        <w:t>一例绒癌化疗患者毒副反应防治的护理</w:t>
      </w:r>
      <w:r>
        <w:rPr>
          <w:rFonts w:hint="eastAsia" w:ascii="宋体" w:hAnsi="宋体" w:eastAsia="宋体" w:cs="宋体"/>
          <w:color w:val="auto"/>
          <w:sz w:val="28"/>
          <w:szCs w:val="28"/>
          <w:lang w:val="en-US" w:eastAsia="zh-CN"/>
        </w:rPr>
        <w:t>效果。方法：以</w:t>
      </w:r>
      <w:r>
        <w:rPr>
          <w:rFonts w:ascii="宋体" w:hAnsi="宋体" w:eastAsia="宋体" w:cs="宋体"/>
          <w:color w:val="auto"/>
          <w:sz w:val="28"/>
          <w:szCs w:val="28"/>
        </w:rPr>
        <w:t>一例绒癌化疗患者毒副反应防治的护理</w:t>
      </w:r>
      <w:r>
        <w:rPr>
          <w:rFonts w:hint="eastAsia" w:ascii="宋体" w:hAnsi="宋体" w:eastAsia="宋体" w:cs="宋体"/>
          <w:color w:val="auto"/>
          <w:sz w:val="28"/>
          <w:szCs w:val="28"/>
          <w:lang w:val="en-US" w:eastAsia="zh-CN"/>
        </w:rPr>
        <w:t>体会为例，对化疗后可能出现的毒副作用进行预防性防治并针对化疗后已经出现的毒副反应进行对症处理，通过对实施护理措施后的结果进行多角度观察，总结护理效果。结果：通过进行护理措施干预后，患者毒副有所减轻，生命体征稳定，情绪相对于实施护理措施前更加稳定。结论：通过对绒癌化疗患者进行护理措施干预，能够有效防治、减轻绒癌化疗患者毒副反应。</w:t>
      </w:r>
    </w:p>
    <w:p>
      <w:pPr>
        <w:jc w:val="both"/>
        <w:rPr>
          <w:rFonts w:hint="eastAsia" w:ascii="宋体" w:hAnsi="宋体" w:cs="宋体"/>
          <w:sz w:val="24"/>
          <w:szCs w:val="24"/>
          <w:lang w:val="en-US" w:eastAsia="zh-CN"/>
        </w:rPr>
        <w:sectPr>
          <w:headerReference r:id="rId11" w:type="default"/>
          <w:footerReference r:id="rId12" w:type="default"/>
          <w:endnotePr>
            <w:numFmt w:val="decimal"/>
          </w:endnotePr>
          <w:pgSz w:w="11906" w:h="16838"/>
          <w:pgMar w:top="1417" w:right="1417" w:bottom="1417" w:left="1701" w:header="851" w:footer="992" w:gutter="0"/>
          <w:cols w:space="0" w:num="1"/>
          <w:rtlGutter w:val="0"/>
          <w:docGrid w:type="lines" w:linePitch="389" w:charSpace="0"/>
        </w:sectPr>
      </w:pPr>
      <w:r>
        <w:rPr>
          <w:rFonts w:hint="eastAsia" w:eastAsia="宋体"/>
          <w:b/>
          <w:bCs/>
          <w:color w:val="auto"/>
          <w:sz w:val="28"/>
          <w:szCs w:val="28"/>
          <w:lang w:val="en-US" w:eastAsia="zh-CN"/>
        </w:rPr>
        <w:t xml:space="preserve">关键字：  </w:t>
      </w:r>
      <w:r>
        <w:rPr>
          <w:rFonts w:ascii="宋体" w:hAnsi="宋体" w:eastAsia="宋体" w:cs="宋体"/>
          <w:sz w:val="24"/>
          <w:szCs w:val="24"/>
        </w:rPr>
        <w:t>绒癌</w:t>
      </w:r>
      <w:r>
        <w:rPr>
          <w:rFonts w:hint="eastAsia" w:ascii="宋体" w:hAnsi="宋体" w:eastAsia="宋体" w:cs="宋体"/>
          <w:sz w:val="24"/>
          <w:szCs w:val="24"/>
          <w:lang w:val="en-US" w:eastAsia="zh-CN"/>
        </w:rPr>
        <w:t xml:space="preserve">  护理体会  化疗患者  毒副反应防</w:t>
      </w:r>
      <w:r>
        <w:rPr>
          <w:rFonts w:hint="eastAsia" w:ascii="宋体" w:hAnsi="宋体" w:cs="宋体"/>
          <w:sz w:val="24"/>
          <w:szCs w:val="24"/>
          <w:lang w:val="en-US" w:eastAsia="zh-CN"/>
        </w:rPr>
        <w:t>治</w:t>
      </w:r>
    </w:p>
    <w:p>
      <w:pPr>
        <w:jc w:val="center"/>
        <w:rPr>
          <w:rFonts w:hint="default" w:ascii="Times New Roman" w:hAnsi="Times New Roman" w:cs="Times New Roman"/>
          <w:b/>
          <w:bCs/>
          <w:sz w:val="44"/>
          <w:szCs w:val="44"/>
          <w:lang w:val="en-US" w:eastAsia="zh-CN"/>
        </w:rPr>
      </w:pPr>
      <w:r>
        <w:rPr>
          <w:rFonts w:hint="default" w:ascii="Times New Roman" w:hAnsi="Times New Roman" w:cs="Times New Roman"/>
          <w:b/>
          <w:bCs/>
          <w:sz w:val="44"/>
          <w:szCs w:val="44"/>
          <w:lang w:val="en-US" w:eastAsia="zh-CN"/>
        </w:rPr>
        <w:t>Abstract</w:t>
      </w:r>
    </w:p>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Objective: To study the nursing effect of toxic treatment in a patient with chemotherapy. Methods: Taking the nursing experience of the toxicity and side effects of a case of choriocarcinoma chemotherapy patient as an example, the preventive prevention and treatment of the possible side effects after chemotherapy and the symptomatic treatment of the toxic and side effects after chemotherapy, and the nursing effect was summarized through the observation of the results of the nursing measures. Results: After the intervention of nursing measures, the patient was reduced, the vital signs were stable, and the mood was more stable than before the implementation of nursing measures. Conclusion: The intervention of patients with choriocarcinoma chemotherapy can effectively prevent and reduce the toxic effects of patients.</w:t>
      </w:r>
    </w:p>
    <w:p>
      <w:pPr>
        <w:spacing w:line="360" w:lineRule="auto"/>
        <w:jc w:val="both"/>
        <w:rPr>
          <w:rFonts w:hint="default" w:ascii="Times New Roman" w:hAnsi="Times New Roman" w:cs="Times New Roman"/>
          <w:sz w:val="28"/>
          <w:szCs w:val="28"/>
          <w:lang w:val="en-US" w:eastAsia="zh-CN"/>
        </w:rPr>
      </w:pPr>
    </w:p>
    <w:p>
      <w:pPr>
        <w:spacing w:line="360" w:lineRule="auto"/>
        <w:jc w:val="both"/>
        <w:rPr>
          <w:rFonts w:hint="default" w:ascii="Times New Roman" w:hAnsi="Times New Roman" w:cs="Times New Roman"/>
          <w:b w:val="0"/>
          <w:bCs w:val="0"/>
          <w:sz w:val="28"/>
          <w:szCs w:val="28"/>
          <w:lang w:val="en-US" w:eastAsia="zh-CN"/>
        </w:rPr>
        <w:sectPr>
          <w:endnotePr>
            <w:numFmt w:val="decimal"/>
          </w:endnotePr>
          <w:pgSz w:w="11906" w:h="16838"/>
          <w:pgMar w:top="1417" w:right="1417" w:bottom="1417" w:left="1701" w:header="851" w:footer="992" w:gutter="0"/>
          <w:cols w:space="0" w:num="1"/>
          <w:rtlGutter w:val="0"/>
          <w:docGrid w:type="lines" w:linePitch="389" w:charSpace="0"/>
        </w:sectPr>
      </w:pPr>
      <w:r>
        <w:rPr>
          <w:rFonts w:hint="eastAsia" w:cs="Times New Roman"/>
          <w:b/>
          <w:bCs/>
          <w:sz w:val="28"/>
          <w:szCs w:val="28"/>
          <w:lang w:val="en-US" w:eastAsia="zh-CN"/>
        </w:rPr>
        <w:t>Keywords: C</w:t>
      </w:r>
      <w:r>
        <w:rPr>
          <w:rFonts w:hint="eastAsia" w:cs="Times New Roman"/>
          <w:b w:val="0"/>
          <w:bCs w:val="0"/>
          <w:sz w:val="28"/>
          <w:szCs w:val="28"/>
          <w:lang w:val="en-US" w:eastAsia="zh-CN"/>
        </w:rPr>
        <w:t>horioepithelioma   Nursing experience  Chemotherapy patients  Toxic side reaction prevention and control</w:t>
      </w:r>
    </w:p>
    <w:sdt>
      <w:sdtPr>
        <w:rPr>
          <w:rFonts w:hint="eastAsia" w:ascii="宋体" w:hAnsi="宋体" w:eastAsia="宋体" w:cs="宋体"/>
          <w:b/>
          <w:bCs/>
          <w:kern w:val="2"/>
          <w:sz w:val="44"/>
          <w:szCs w:val="44"/>
          <w:lang w:val="en-US" w:eastAsia="zh-CN" w:bidi="ar-SA"/>
        </w:rPr>
        <w:id w:val="147459442"/>
        <w15:color w:val="DBDBDB"/>
        <w:docPartObj>
          <w:docPartGallery w:val="Table of Contents"/>
          <w:docPartUnique/>
        </w:docPartObj>
      </w:sdtPr>
      <w:sdtEndPr>
        <w:rPr>
          <w:rFonts w:hint="eastAsia" w:ascii="宋体" w:hAnsi="宋体" w:eastAsia="宋体" w:cs="宋体"/>
          <w:b/>
          <w:bCs/>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1"/>
              <w:szCs w:val="21"/>
            </w:rPr>
          </w:pPr>
          <w:bookmarkStart w:id="23" w:name="_GoBack"/>
          <w:bookmarkEnd w:id="23"/>
          <w:r>
            <w:rPr>
              <w:rFonts w:hint="eastAsia" w:ascii="宋体" w:hAnsi="宋体" w:eastAsia="宋体" w:cs="宋体"/>
              <w:b/>
              <w:bCs/>
              <w:sz w:val="44"/>
              <w:szCs w:val="44"/>
            </w:rPr>
            <w:t>目</w:t>
          </w:r>
          <w:r>
            <w:rPr>
              <w:rFonts w:hint="eastAsia" w:ascii="宋体" w:hAnsi="宋体" w:cs="宋体"/>
              <w:b/>
              <w:bCs/>
              <w:sz w:val="44"/>
              <w:szCs w:val="44"/>
              <w:lang w:val="en-US" w:eastAsia="zh-CN"/>
            </w:rPr>
            <w:t xml:space="preserve">  </w:t>
          </w:r>
          <w:r>
            <w:rPr>
              <w:rFonts w:hint="eastAsia" w:ascii="宋体" w:hAnsi="宋体" w:eastAsia="宋体" w:cs="宋体"/>
              <w:b/>
              <w:bCs/>
              <w:sz w:val="44"/>
              <w:szCs w:val="44"/>
            </w:rPr>
            <w:t>录</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"1-3" \h \u </w:instrText>
          </w:r>
          <w:r>
            <w:rPr>
              <w:rFonts w:hint="eastAsia" w:ascii="宋体" w:hAnsi="宋体" w:eastAsia="宋体" w:cs="宋体"/>
              <w:sz w:val="21"/>
              <w:szCs w:val="21"/>
            </w:rPr>
            <w:fldChar w:fldCharType="separate"/>
          </w:r>
        </w:p>
        <w:p>
          <w:pPr>
            <w:pStyle w:val="15"/>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_Toc31898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1. 前言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_Toc31898 \h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5"/>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_Toc15243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2. 案例介绍</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_Toc15243 \h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_Toc15034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2.1. 临床资料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_Toc15034 \h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_Toc27098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2.1.1. 一般资料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_Toc27098 \h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_Toc29790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2.1.2. 病情变化</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_Toc29790 \h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_Toc29528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2.2. 检查资料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_Toc29528 \h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5"/>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_Toc10314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 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_Toc10314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_Toc2943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3.1. 护理评估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_Toc2943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_Toc21684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3.1.1. 身体评估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_Toc21684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_Toc30153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3.1.2. 心理护理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_Toc30153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_Toc23771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3.1.3. 社会评估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_Toc23771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7"/>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_Toc18277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3.2. 护理措施</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_Toc18277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_Toc27766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3.2.1. 用药护理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_Toc27766 \h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_Toc17252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3.2.2. 管路护理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_Toc17252 \h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_Toc20389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3.2.3. 对症护理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_Toc20389 \h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_Toc3445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3.2.4. 心理护理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_Toc3445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_Toc11069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3.2.5. 饮食护理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_Toc11069 \h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_Toc3950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3.2.6. 健康教育</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_Toc3950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5"/>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_Toc8364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4. 讨论</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_Toc8364 \h </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5"/>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_Toc4147 </w:instrText>
          </w:r>
          <w:r>
            <w:rPr>
              <w:rFonts w:hint="eastAsia" w:ascii="宋体" w:hAnsi="宋体" w:eastAsia="宋体" w:cs="宋体"/>
              <w:sz w:val="21"/>
              <w:szCs w:val="21"/>
            </w:rPr>
            <w:fldChar w:fldCharType="separate"/>
          </w:r>
          <w:r>
            <w:rPr>
              <w:rFonts w:hint="eastAsia" w:ascii="宋体" w:hAnsi="宋体" w:eastAsia="宋体" w:cs="宋体"/>
              <w:sz w:val="21"/>
              <w:szCs w:val="21"/>
              <w:lang w:val="en-US" w:eastAsia="zh-CN"/>
            </w:rPr>
            <w:t>5. 小结</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_Toc4147 \h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5"/>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_Toc456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参考文献</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_Toc456 \h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rPr>
              <w:rFonts w:hint="eastAsia" w:ascii="宋体" w:hAnsi="宋体" w:eastAsia="宋体" w:cs="宋体"/>
              <w:sz w:val="21"/>
              <w:szCs w:val="21"/>
            </w:rPr>
          </w:pPr>
          <w:r>
            <w:rPr>
              <w:rFonts w:hint="eastAsia" w:ascii="宋体" w:hAnsi="宋体" w:eastAsia="宋体" w:cs="宋体"/>
              <w:sz w:val="21"/>
              <w:szCs w:val="21"/>
            </w:rPr>
            <w:fldChar w:fldCharType="end"/>
          </w:r>
        </w:p>
      </w:sdtContent>
    </w:sdt>
    <w:p>
      <w:pPr>
        <w:pStyle w:val="2"/>
        <w:bidi w:val="0"/>
        <w:rPr>
          <w:rFonts w:hint="eastAsia"/>
          <w:lang w:val="en-US" w:eastAsia="zh-CN"/>
        </w:rPr>
        <w:sectPr>
          <w:endnotePr>
            <w:numFmt w:val="decimal"/>
          </w:endnotePr>
          <w:pgSz w:w="11906" w:h="16838"/>
          <w:pgMar w:top="1417" w:right="1417" w:bottom="1417" w:left="1701" w:header="851" w:footer="992" w:gutter="0"/>
          <w:cols w:space="0" w:num="1"/>
          <w:rtlGutter w:val="0"/>
          <w:docGrid w:type="lines" w:linePitch="389" w:charSpace="0"/>
        </w:sectPr>
      </w:pPr>
      <w:bookmarkStart w:id="2" w:name="_Toc31898"/>
    </w:p>
    <w:p>
      <w:pPr>
        <w:pStyle w:val="2"/>
        <w:bidi w:val="0"/>
        <w:rPr>
          <w:rFonts w:hint="eastAsia"/>
          <w:lang w:val="en-US" w:eastAsia="zh-CN"/>
        </w:rPr>
      </w:pPr>
      <w:r>
        <w:rPr>
          <w:rFonts w:hint="eastAsia"/>
          <w:lang w:val="en-US" w:eastAsia="zh-CN"/>
        </w:rPr>
        <w:t>前言</w:t>
      </w:r>
      <w:bookmarkEnd w:id="2"/>
    </w:p>
    <w:p>
      <w:pPr>
        <w:bidi w:val="0"/>
        <w:rPr>
          <w:rFonts w:hint="default"/>
          <w:lang w:val="en-US" w:eastAsia="zh-CN"/>
        </w:rPr>
      </w:pPr>
      <w:r>
        <w:rPr>
          <w:rFonts w:hint="eastAsia"/>
          <w:lang w:val="en-US" w:eastAsia="zh-CN"/>
        </w:rPr>
        <w:t>绒癌是绒毛膜癌的简称，又可称为滋养细胞恶性肿瘤，是绒毛滋养层细胞恶性病变，多与妊娠有直接关系，是一种可以经血行转移的能够发展为全身性疾病的高度恶性妇科肿瘤</w:t>
      </w:r>
      <w:r>
        <w:rPr>
          <w:rStyle w:val="22"/>
          <w:rFonts w:hint="eastAsia"/>
          <w:lang w:val="en-US" w:eastAsia="zh-CN"/>
        </w:rPr>
        <w:t>[</w:t>
      </w:r>
      <w:r>
        <w:rPr>
          <w:rStyle w:val="22"/>
          <w:rFonts w:hint="eastAsia"/>
          <w:lang w:val="en-US" w:eastAsia="zh-CN"/>
        </w:rPr>
        <w:endnoteReference w:id="0"/>
      </w:r>
      <w:r>
        <w:rPr>
          <w:rStyle w:val="22"/>
          <w:rFonts w:hint="eastAsia"/>
          <w:lang w:val="en-US" w:eastAsia="zh-CN"/>
        </w:rPr>
        <w:t>]</w:t>
      </w:r>
      <w:r>
        <w:rPr>
          <w:rFonts w:hint="eastAsia"/>
          <w:lang w:val="en-US" w:eastAsia="zh-CN"/>
        </w:rPr>
        <w:t>。绒癌与侵蚀性葡萄胎相比较均出现HCG增高、浸润深度可达肌层、可发生转移滋养细胞都重度增生，且多成团等相似情况，应注意区分。在医学发展早期，由于对于绒毛膜癌这个疾病的认识不足，或因为医学检验技术的不成熟而导致延误诊断，这导致当诊断时多数已经发生转移，发展为全身性疾病，而且由此得来的全身性疾病，预后往往较差。现在医疗技术较前更加成熟，对绒癌此疾病的认识也更加清晰，治疗手段也有了更进一步的发展，因此绒癌的治愈率已较之前大大提高，</w:t>
      </w:r>
      <w:r>
        <w:rPr>
          <w:rFonts w:hint="default"/>
          <w:lang w:val="en-US" w:eastAsia="zh-CN"/>
        </w:rPr>
        <w:t>在</w:t>
      </w:r>
      <w:r>
        <w:rPr>
          <w:rFonts w:hint="default"/>
          <w:lang w:val="en-US" w:eastAsia="zh-CN"/>
        </w:rPr>
        <w:fldChar w:fldCharType="begin"/>
      </w:r>
      <w:r>
        <w:rPr>
          <w:rFonts w:hint="default"/>
          <w:lang w:val="en-US" w:eastAsia="zh-CN"/>
        </w:rPr>
        <w:instrText xml:space="preserve"> HYPERLINK "https://baike.baidu.com/item/%E5%A5%B3%E6%80%A7%E7%94%9F%E6%AE%96%E7%B3%BB%E7%BB%9F?fromModule=lemma_inlink" \t "https://baike.baidu.com/item/%E7%BB%92%E7%99%8C/_blank" </w:instrText>
      </w:r>
      <w:r>
        <w:rPr>
          <w:rFonts w:hint="default"/>
          <w:lang w:val="en-US" w:eastAsia="zh-CN"/>
        </w:rPr>
        <w:fldChar w:fldCharType="separate"/>
      </w:r>
      <w:r>
        <w:rPr>
          <w:rFonts w:hint="default"/>
          <w:lang w:val="en-US" w:eastAsia="zh-CN"/>
        </w:rPr>
        <w:t>女性生殖系统</w:t>
      </w:r>
      <w:r>
        <w:rPr>
          <w:rFonts w:hint="default"/>
          <w:lang w:val="en-US" w:eastAsia="zh-CN"/>
        </w:rPr>
        <w:fldChar w:fldCharType="end"/>
      </w:r>
      <w:r>
        <w:rPr>
          <w:rFonts w:hint="default"/>
          <w:lang w:val="en-US" w:eastAsia="zh-CN"/>
        </w:rPr>
        <w:t>恶性肿瘤中，治愈率属比较高的，预后</w:t>
      </w:r>
      <w:r>
        <w:rPr>
          <w:rFonts w:hint="eastAsia"/>
          <w:lang w:val="en-US" w:eastAsia="zh-CN"/>
        </w:rPr>
        <w:t>与</w:t>
      </w:r>
      <w:r>
        <w:rPr>
          <w:rFonts w:hint="default"/>
          <w:lang w:val="en-US" w:eastAsia="zh-CN"/>
        </w:rPr>
        <w:t>是否正规治疗有关</w:t>
      </w:r>
      <w:r>
        <w:rPr>
          <w:rStyle w:val="22"/>
          <w:rFonts w:hint="default"/>
          <w:lang w:val="en-US" w:eastAsia="zh-CN"/>
        </w:rPr>
        <w:t>[</w:t>
      </w:r>
      <w:r>
        <w:rPr>
          <w:rStyle w:val="22"/>
          <w:rFonts w:hint="default"/>
          <w:lang w:val="en-US" w:eastAsia="zh-CN"/>
        </w:rPr>
        <w:endnoteReference w:id="1"/>
      </w:r>
      <w:r>
        <w:rPr>
          <w:rStyle w:val="22"/>
          <w:rFonts w:hint="default"/>
          <w:lang w:val="en-US" w:eastAsia="zh-CN"/>
        </w:rPr>
        <w:t>]</w:t>
      </w:r>
      <w:r>
        <w:rPr>
          <w:rFonts w:hint="default"/>
          <w:lang w:val="en-US" w:eastAsia="zh-CN"/>
        </w:rPr>
        <w:t>。</w:t>
      </w:r>
    </w:p>
    <w:p>
      <w:pPr>
        <w:bidi w:val="0"/>
        <w:rPr>
          <w:rFonts w:hint="default"/>
          <w:lang w:val="en-US" w:eastAsia="zh-CN"/>
        </w:rPr>
      </w:pPr>
      <w:r>
        <w:rPr>
          <w:rFonts w:hint="eastAsia"/>
          <w:lang w:val="en-US" w:eastAsia="zh-CN"/>
        </w:rPr>
        <w:t>绒癌的</w:t>
      </w:r>
      <w:r>
        <w:rPr>
          <w:rFonts w:hint="default"/>
          <w:lang w:val="en-US" w:eastAsia="zh-CN"/>
        </w:rPr>
        <w:t>治疗</w:t>
      </w:r>
      <w:r>
        <w:rPr>
          <w:rFonts w:hint="eastAsia"/>
          <w:lang w:val="en-US" w:eastAsia="zh-CN"/>
        </w:rPr>
        <w:t>常</w:t>
      </w:r>
      <w:r>
        <w:rPr>
          <w:rFonts w:hint="default"/>
          <w:lang w:val="en-US" w:eastAsia="zh-CN"/>
        </w:rPr>
        <w:t>以化疗或</w:t>
      </w:r>
      <w:r>
        <w:rPr>
          <w:rFonts w:hint="eastAsia"/>
          <w:lang w:val="en-US" w:eastAsia="zh-CN"/>
        </w:rPr>
        <w:t>化疗</w:t>
      </w:r>
      <w:r>
        <w:rPr>
          <w:rFonts w:hint="default"/>
          <w:lang w:val="en-US" w:eastAsia="zh-CN"/>
        </w:rPr>
        <w:t>加手术治疗为主，</w:t>
      </w:r>
      <w:r>
        <w:rPr>
          <w:rFonts w:hint="eastAsia"/>
          <w:lang w:val="en-US" w:eastAsia="zh-CN"/>
        </w:rPr>
        <w:t>常见的化疗方案有FP方案（顺铂加氟尿嘧啶）、TP方案（紫杉醇加顺铂）、</w:t>
      </w:r>
      <w:r>
        <w:t>EP方案（依托泊昔＋顺铂）</w:t>
      </w:r>
      <w:r>
        <w:rPr>
          <w:rFonts w:hint="eastAsia"/>
          <w:lang w:eastAsia="zh-CN"/>
        </w:rPr>
        <w:t>、</w:t>
      </w:r>
      <w:r>
        <w:t>甲氨蝶岭与亚叶酸钙</w:t>
      </w:r>
      <w:r>
        <w:rPr>
          <w:rFonts w:hint="eastAsia"/>
          <w:lang w:eastAsia="zh-CN"/>
        </w:rPr>
        <w:t>、</w:t>
      </w:r>
      <w:r>
        <w:t>DCF方案（多西他赛＋顺铂＋氟尿喀绽）</w:t>
      </w:r>
      <w:r>
        <w:rPr>
          <w:rFonts w:hint="eastAsia"/>
          <w:lang w:eastAsia="zh-CN"/>
        </w:rPr>
        <w:t>、</w:t>
      </w:r>
      <w:r>
        <w:rPr>
          <w:rFonts w:hint="eastAsia"/>
          <w:lang w:val="en-US" w:eastAsia="zh-CN"/>
        </w:rPr>
        <w:t>VCM</w:t>
      </w:r>
      <w:r>
        <w:t>方案（长春新碱＋卡铂＋甲氨蝶</w:t>
      </w:r>
      <w:r>
        <w:rPr>
          <w:rFonts w:hint="eastAsia"/>
          <w:lang w:val="en-US" w:eastAsia="zh-CN"/>
        </w:rPr>
        <w:t>呤）</w:t>
      </w:r>
      <w:r>
        <w:rPr>
          <w:rStyle w:val="22"/>
          <w:rFonts w:hint="eastAsia"/>
          <w:lang w:val="en-US" w:eastAsia="zh-CN"/>
        </w:rPr>
        <w:t>[</w:t>
      </w:r>
      <w:r>
        <w:rPr>
          <w:rStyle w:val="22"/>
          <w:rFonts w:hint="eastAsia"/>
          <w:lang w:val="en-US" w:eastAsia="zh-CN"/>
        </w:rPr>
        <w:endnoteReference w:id="2"/>
      </w:r>
      <w:r>
        <w:rPr>
          <w:rStyle w:val="22"/>
          <w:rFonts w:hint="eastAsia"/>
          <w:lang w:val="en-US" w:eastAsia="zh-CN"/>
        </w:rPr>
        <w:t>][</w:t>
      </w:r>
      <w:r>
        <w:rPr>
          <w:rStyle w:val="22"/>
          <w:rFonts w:hint="eastAsia"/>
          <w:lang w:val="en-US" w:eastAsia="zh-CN"/>
        </w:rPr>
        <w:endnoteReference w:id="3"/>
      </w:r>
      <w:r>
        <w:rPr>
          <w:rStyle w:val="22"/>
          <w:rFonts w:hint="eastAsia"/>
          <w:lang w:val="en-US" w:eastAsia="zh-CN"/>
        </w:rPr>
        <w:t>]</w:t>
      </w:r>
      <w:r>
        <w:rPr>
          <w:rFonts w:hint="eastAsia"/>
          <w:lang w:val="en-US" w:eastAsia="zh-CN"/>
        </w:rPr>
        <w:t>。化疗药的</w:t>
      </w:r>
      <w:r>
        <w:t>用药原则：</w:t>
      </w:r>
      <w:r>
        <w:rPr>
          <w:rFonts w:hint="eastAsia"/>
          <w:lang w:val="en-US" w:eastAsia="zh-CN"/>
        </w:rPr>
        <w:t>用药原则：I期一般单用一种药物治疗，II-III期采用两种或多种药物联合化疗，IV期或耐药病例采用EMA-CO方案治疗。化疗后会出现血小板减少，出血风险增加，出现骨髓抑制的症状。</w:t>
      </w:r>
      <w:r>
        <w:rPr>
          <w:rFonts w:hint="eastAsia"/>
        </w:rPr>
        <w:t>骨髓抑制是指骨髓中血细胞前体的活性降低</w:t>
      </w:r>
      <w:r>
        <w:rPr>
          <w:rFonts w:hint="eastAsia"/>
          <w:lang w:eastAsia="zh-CN"/>
        </w:rPr>
        <w:t>，</w:t>
      </w:r>
      <w:r>
        <w:rPr>
          <w:rFonts w:hint="eastAsia"/>
        </w:rPr>
        <w:t>骨髓抑制分级诊断：按WHO骨髓抑制程度分为0～Ⅳ级</w:t>
      </w:r>
      <w:r>
        <w:rPr>
          <w:rStyle w:val="22"/>
          <w:rFonts w:hint="default"/>
        </w:rPr>
        <w:t>[</w:t>
      </w:r>
      <w:r>
        <w:rPr>
          <w:rStyle w:val="22"/>
          <w:rFonts w:hint="default"/>
        </w:rPr>
        <w:endnoteReference w:id="4"/>
      </w:r>
      <w:r>
        <w:rPr>
          <w:rStyle w:val="22"/>
          <w:rFonts w:hint="default"/>
        </w:rPr>
        <w:t>]</w:t>
      </w:r>
      <w:r>
        <w:rPr>
          <w:rFonts w:hint="eastAsia"/>
          <w:lang w:eastAsia="zh-CN"/>
        </w:rPr>
        <w:t>。骨髓抑制分级中的血小板</w:t>
      </w:r>
      <w:r>
        <w:rPr>
          <w:rFonts w:hint="eastAsia"/>
          <w:lang w:val="en-US" w:eastAsia="zh-CN"/>
        </w:rPr>
        <w:t>数目，与</w:t>
      </w:r>
      <w:r>
        <w:rPr>
          <w:rFonts w:hint="eastAsia"/>
          <w:lang w:eastAsia="zh-CN"/>
        </w:rPr>
        <w:t>血小板减少分级相同。血小板减少分级分为</w:t>
      </w:r>
      <w:r>
        <w:rPr>
          <w:rFonts w:hint="eastAsia"/>
          <w:lang w:val="en-US" w:eastAsia="zh-CN"/>
        </w:rPr>
        <w:t>5级：0级时出血风险几乎没有；1级时受伤后的出血风险有所增加；2级时不受伤时也有出血风险；3级时不受伤时出血风险大大增加；4级时可能会出现自发性出血，常常有黏膜反复出血，严重者会导致颅内出血</w:t>
      </w:r>
      <w:r>
        <w:rPr>
          <w:rStyle w:val="22"/>
          <w:rFonts w:hint="eastAsia"/>
          <w:lang w:val="en-US" w:eastAsia="zh-CN"/>
        </w:rPr>
        <w:t>[</w:t>
      </w:r>
      <w:r>
        <w:rPr>
          <w:rStyle w:val="22"/>
          <w:rFonts w:hint="eastAsia"/>
          <w:lang w:val="en-US" w:eastAsia="zh-CN"/>
        </w:rPr>
        <w:endnoteReference w:id="5"/>
      </w:r>
      <w:r>
        <w:rPr>
          <w:rStyle w:val="22"/>
          <w:rFonts w:hint="eastAsia"/>
          <w:lang w:val="en-US" w:eastAsia="zh-CN"/>
        </w:rPr>
        <w:t>]</w:t>
      </w:r>
      <w:r>
        <w:rPr>
          <w:rFonts w:hint="eastAsia"/>
          <w:lang w:val="en-US" w:eastAsia="zh-CN"/>
        </w:rPr>
        <w:t>。</w:t>
      </w:r>
    </w:p>
    <w:p>
      <w:pPr>
        <w:bidi w:val="0"/>
        <w:rPr>
          <w:rFonts w:hint="eastAsia"/>
          <w:lang w:val="en-US" w:eastAsia="zh-CN"/>
        </w:rPr>
      </w:pPr>
      <w:r>
        <w:rPr>
          <w:rFonts w:hint="eastAsia"/>
          <w:lang w:val="en-US" w:eastAsia="zh-CN"/>
        </w:rPr>
        <w:t>大多数绒毛膜癌与妊娠有关，因此绒毛膜癌分为继发性绒毛膜癌和原发性绒毛膜癌。继发性绒毛膜癌可由多胎妊娠引起，例如葡萄胎、流产、异位妊娠或分娩。后来有时在未婚女性的卵巢中，称为原发性绒毛膜癌</w:t>
      </w:r>
      <w:r>
        <w:rPr>
          <w:rStyle w:val="22"/>
          <w:rFonts w:hint="default"/>
          <w:lang w:val="en-US" w:eastAsia="zh-CN"/>
        </w:rPr>
        <w:t>[</w:t>
      </w:r>
      <w:r>
        <w:rPr>
          <w:rStyle w:val="22"/>
          <w:rFonts w:hint="default"/>
          <w:lang w:val="en-US" w:eastAsia="zh-CN"/>
        </w:rPr>
        <w:endnoteReference w:id="6"/>
      </w:r>
      <w:r>
        <w:rPr>
          <w:rStyle w:val="22"/>
          <w:rFonts w:hint="default"/>
          <w:lang w:val="en-US" w:eastAsia="zh-CN"/>
        </w:rPr>
        <w:t>]</w:t>
      </w:r>
      <w:r>
        <w:rPr>
          <w:rFonts w:hint="eastAsia"/>
          <w:lang w:val="en-US" w:eastAsia="zh-CN"/>
        </w:rPr>
        <w:t>。现在绒癌在临床分期上共分为4期：</w:t>
      </w:r>
      <w:r>
        <w:rPr>
          <w:rFonts w:hint="default"/>
          <w:lang w:val="en-US" w:eastAsia="zh-CN"/>
        </w:rPr>
        <w:t>Ⅰ期</w:t>
      </w:r>
      <w:r>
        <w:rPr>
          <w:rFonts w:hint="eastAsia"/>
          <w:lang w:val="en-US" w:eastAsia="zh-CN"/>
        </w:rPr>
        <w:t>：病变部位只存在于子宫内。</w:t>
      </w:r>
      <w:r>
        <w:rPr>
          <w:rFonts w:hint="default"/>
          <w:lang w:val="en-US" w:eastAsia="zh-CN"/>
        </w:rPr>
        <w:t>Ⅱ期</w:t>
      </w:r>
      <w:r>
        <w:rPr>
          <w:rFonts w:hint="eastAsia"/>
          <w:lang w:val="en-US" w:eastAsia="zh-CN"/>
        </w:rPr>
        <w:t>：病变部位逐渐向外扩散，但是仍然局限于生殖器，即：扩散部位局限于阴道，韧带等。</w:t>
      </w:r>
      <w:r>
        <w:rPr>
          <w:rFonts w:hint="default"/>
          <w:lang w:val="en-US" w:eastAsia="zh-CN"/>
        </w:rPr>
        <w:t>Ⅲ期</w:t>
      </w:r>
      <w:r>
        <w:rPr>
          <w:rFonts w:hint="eastAsia"/>
          <w:lang w:val="en-US" w:eastAsia="zh-CN"/>
        </w:rPr>
        <w:t>：病变部位向外扩散，转移至肺部，此期以病变部位转移至肺部为标志点，不论是否发生生殖系统病变。</w:t>
      </w:r>
      <w:r>
        <w:rPr>
          <w:rFonts w:hint="default"/>
          <w:lang w:val="en-US" w:eastAsia="zh-CN"/>
        </w:rPr>
        <w:t>Ⅳ期</w:t>
      </w:r>
      <w:r>
        <w:rPr>
          <w:rFonts w:hint="eastAsia"/>
          <w:lang w:val="en-US" w:eastAsia="zh-CN"/>
        </w:rPr>
        <w:t>：病变部位向全身扩散，即出现除生殖器、肺部以外的</w:t>
      </w:r>
      <w:r>
        <w:rPr>
          <w:rFonts w:hint="default"/>
          <w:lang w:val="en-US" w:eastAsia="zh-CN"/>
        </w:rPr>
        <w:t>其他转移</w:t>
      </w:r>
      <w:r>
        <w:rPr>
          <w:rFonts w:hint="eastAsia"/>
          <w:lang w:val="en-US" w:eastAsia="zh-CN"/>
        </w:rPr>
        <w:t>。</w:t>
      </w:r>
    </w:p>
    <w:p>
      <w:pPr>
        <w:bidi w:val="0"/>
        <w:rPr>
          <w:rFonts w:hint="eastAsia"/>
          <w:lang w:val="en-US" w:eastAsia="zh-CN"/>
        </w:rPr>
      </w:pPr>
      <w:r>
        <w:rPr>
          <w:rFonts w:hint="eastAsia"/>
          <w:lang w:val="en-US" w:eastAsia="zh-CN"/>
        </w:rPr>
        <w:t>绒癌的临床表现常有4点：1.</w:t>
      </w:r>
      <w:r>
        <w:rPr>
          <w:rFonts w:hint="default"/>
          <w:lang w:val="en-US" w:eastAsia="zh-CN"/>
        </w:rPr>
        <w:t>在</w:t>
      </w:r>
      <w:r>
        <w:rPr>
          <w:rFonts w:hint="eastAsia"/>
          <w:lang w:val="en-US" w:eastAsia="zh-CN"/>
        </w:rPr>
        <w:t>妊娠过后或者</w:t>
      </w:r>
      <w:r>
        <w:rPr>
          <w:rFonts w:hint="default"/>
          <w:lang w:val="en-US" w:eastAsia="zh-CN"/>
        </w:rPr>
        <w:t>清宫、流产、流产、宫外孕后出现不规则阴道流血等</w:t>
      </w:r>
      <w:r>
        <w:rPr>
          <w:rFonts w:hint="eastAsia"/>
          <w:lang w:val="en-US" w:eastAsia="zh-CN"/>
        </w:rPr>
        <w:t>症状；2.有盆腔内肿块、</w:t>
      </w:r>
      <w:r>
        <w:rPr>
          <w:rFonts w:hint="default"/>
          <w:lang w:val="en-US" w:eastAsia="zh-CN"/>
        </w:rPr>
        <w:fldChar w:fldCharType="begin"/>
      </w:r>
      <w:r>
        <w:rPr>
          <w:rFonts w:hint="default"/>
          <w:lang w:val="en-US" w:eastAsia="zh-CN"/>
        </w:rPr>
        <w:instrText xml:space="preserve"> HYPERLINK "https://baike.baidu.com/item/%E5%AD%90%E5%AE%AB?fromModule=lemma_inlink" \t "https://baike.baidu.com/item/%E7%BB%92%E7%99%8C/_blank" </w:instrText>
      </w:r>
      <w:r>
        <w:rPr>
          <w:rFonts w:hint="default"/>
          <w:lang w:val="en-US" w:eastAsia="zh-CN"/>
        </w:rPr>
        <w:fldChar w:fldCharType="separate"/>
      </w:r>
      <w:r>
        <w:rPr>
          <w:rFonts w:hint="default"/>
          <w:lang w:val="en-US" w:eastAsia="zh-CN"/>
        </w:rPr>
        <w:t>子宫</w:t>
      </w:r>
      <w:r>
        <w:rPr>
          <w:rFonts w:hint="default"/>
          <w:lang w:val="en-US" w:eastAsia="zh-CN"/>
        </w:rPr>
        <w:fldChar w:fldCharType="end"/>
      </w:r>
      <w:r>
        <w:rPr>
          <w:rFonts w:hint="default"/>
          <w:lang w:val="en-US" w:eastAsia="zh-CN"/>
        </w:rPr>
        <w:t>增大、宫旁肿块，卵巢</w:t>
      </w:r>
      <w:r>
        <w:rPr>
          <w:rFonts w:hint="default"/>
          <w:lang w:val="en-US" w:eastAsia="zh-CN"/>
        </w:rPr>
        <w:fldChar w:fldCharType="begin"/>
      </w:r>
      <w:r>
        <w:rPr>
          <w:rFonts w:hint="default"/>
          <w:lang w:val="en-US" w:eastAsia="zh-CN"/>
        </w:rPr>
        <w:instrText xml:space="preserve"> HYPERLINK "https://baike.baidu.com/item/%E9%BB%84%E7%B4%A0%E5%9B%8A%E8%82%BF?fromModule=lemma_inlink" \t "https://baike.baidu.com/item/%E7%BB%92%E7%99%8C/_blank" </w:instrText>
      </w:r>
      <w:r>
        <w:rPr>
          <w:rFonts w:hint="default"/>
          <w:lang w:val="en-US" w:eastAsia="zh-CN"/>
        </w:rPr>
        <w:fldChar w:fldCharType="separate"/>
      </w:r>
      <w:r>
        <w:rPr>
          <w:rFonts w:hint="default"/>
          <w:lang w:val="en-US" w:eastAsia="zh-CN"/>
        </w:rPr>
        <w:t>黄素囊肿</w:t>
      </w:r>
      <w:r>
        <w:rPr>
          <w:rFonts w:hint="default"/>
          <w:lang w:val="en-US" w:eastAsia="zh-CN"/>
        </w:rPr>
        <w:fldChar w:fldCharType="end"/>
      </w:r>
      <w:r>
        <w:rPr>
          <w:rFonts w:hint="eastAsia"/>
          <w:lang w:val="en-US" w:eastAsia="zh-CN"/>
        </w:rPr>
        <w:t>等现象，且妇科检查时能够触及包块；3.有</w:t>
      </w:r>
      <w:r>
        <w:rPr>
          <w:rFonts w:hint="default"/>
          <w:lang w:val="en-US" w:eastAsia="zh-CN"/>
        </w:rPr>
        <w:t>急腹症</w:t>
      </w:r>
      <w:r>
        <w:rPr>
          <w:rFonts w:hint="eastAsia"/>
          <w:lang w:val="en-US" w:eastAsia="zh-CN"/>
        </w:rPr>
        <w:t>表现，有</w:t>
      </w:r>
      <w:r>
        <w:rPr>
          <w:rFonts w:hint="default"/>
          <w:lang w:val="en-US" w:eastAsia="zh-CN"/>
        </w:rPr>
        <w:fldChar w:fldCharType="begin"/>
      </w:r>
      <w:r>
        <w:rPr>
          <w:rFonts w:hint="default"/>
          <w:lang w:val="en-US" w:eastAsia="zh-CN"/>
        </w:rPr>
        <w:instrText xml:space="preserve"> HYPERLINK "https://baike.baidu.com/item/%E8%85%B9%E8%85%94?fromModule=lemma_inlink" \t "https://baike.baidu.com/item/%E7%BB%92%E7%99%8C/_blank" </w:instrText>
      </w:r>
      <w:r>
        <w:rPr>
          <w:rFonts w:hint="default"/>
          <w:lang w:val="en-US" w:eastAsia="zh-CN"/>
        </w:rPr>
        <w:fldChar w:fldCharType="separate"/>
      </w:r>
      <w:r>
        <w:rPr>
          <w:rFonts w:hint="default"/>
          <w:lang w:val="en-US" w:eastAsia="zh-CN"/>
        </w:rPr>
        <w:t>腹腔</w:t>
      </w:r>
      <w:r>
        <w:rPr>
          <w:rFonts w:hint="default"/>
          <w:lang w:val="en-US" w:eastAsia="zh-CN"/>
        </w:rPr>
        <w:fldChar w:fldCharType="end"/>
      </w:r>
      <w:r>
        <w:rPr>
          <w:rFonts w:hint="default"/>
          <w:lang w:val="en-US" w:eastAsia="zh-CN"/>
        </w:rPr>
        <w:t>内出血</w:t>
      </w:r>
      <w:r>
        <w:rPr>
          <w:rFonts w:hint="eastAsia"/>
          <w:lang w:val="en-US" w:eastAsia="zh-CN"/>
        </w:rPr>
        <w:t>的指</w:t>
      </w:r>
      <w:r>
        <w:rPr>
          <w:rFonts w:hint="default"/>
          <w:lang w:val="en-US" w:eastAsia="zh-CN"/>
        </w:rPr>
        <w:t>征，</w:t>
      </w:r>
      <w:r>
        <w:rPr>
          <w:rFonts w:hint="eastAsia"/>
          <w:lang w:val="en-US" w:eastAsia="zh-CN"/>
        </w:rPr>
        <w:t>腹部呈现板状腹特征；4.出现转移后会出现转移部位临床表现</w:t>
      </w:r>
      <w:r>
        <w:rPr>
          <w:rStyle w:val="22"/>
          <w:rFonts w:hint="eastAsia"/>
          <w:lang w:val="en-US" w:eastAsia="zh-CN"/>
        </w:rPr>
        <w:t>[</w:t>
      </w:r>
      <w:r>
        <w:rPr>
          <w:rStyle w:val="22"/>
          <w:rFonts w:hint="eastAsia"/>
          <w:lang w:val="en-US" w:eastAsia="zh-CN"/>
        </w:rPr>
        <w:endnoteReference w:id="7"/>
      </w:r>
      <w:r>
        <w:rPr>
          <w:rStyle w:val="22"/>
          <w:rFonts w:hint="eastAsia"/>
          <w:lang w:val="en-US" w:eastAsia="zh-CN"/>
        </w:rPr>
        <w:t>]</w:t>
      </w:r>
      <w:r>
        <w:rPr>
          <w:rFonts w:hint="eastAsia"/>
          <w:lang w:val="en-US" w:eastAsia="zh-CN"/>
        </w:rPr>
        <w:t>。临床诊断时可从多角度求证，其中 HCG测定是诊断绒癌的最重要手段。</w:t>
      </w:r>
    </w:p>
    <w:p>
      <w:pPr>
        <w:bidi w:val="0"/>
        <w:rPr>
          <w:rFonts w:hint="eastAsia"/>
          <w:lang w:val="en-US" w:eastAsia="zh-CN"/>
        </w:rPr>
      </w:pPr>
      <w:r>
        <w:rPr>
          <w:rFonts w:hint="eastAsia"/>
          <w:lang w:val="en-US" w:eastAsia="zh-CN"/>
        </w:rPr>
        <w:t>本文以</w:t>
      </w:r>
      <w:r>
        <w:t>一例绒癌化疗患者毒副反应防治的</w:t>
      </w:r>
      <w:r>
        <w:rPr>
          <w:rFonts w:hint="eastAsia"/>
          <w:lang w:val="en-US" w:eastAsia="zh-CN"/>
        </w:rPr>
        <w:t>护理为例，经过精心的准备及护理取得了较为满意的效果，现将护理过程总结如下。</w:t>
      </w:r>
    </w:p>
    <w:p>
      <w:pPr>
        <w:pStyle w:val="2"/>
        <w:bidi w:val="0"/>
        <w:ind w:left="432" w:leftChars="0" w:hanging="432" w:firstLineChars="0"/>
        <w:rPr>
          <w:rFonts w:hint="eastAsia"/>
          <w:lang w:val="en-US" w:eastAsia="zh-CN"/>
        </w:rPr>
      </w:pPr>
      <w:bookmarkStart w:id="3" w:name="_Toc15243"/>
      <w:r>
        <w:rPr>
          <w:rFonts w:hint="eastAsia"/>
          <w:lang w:val="en-US" w:eastAsia="zh-CN"/>
        </w:rPr>
        <w:t>案例介绍</w:t>
      </w:r>
      <w:bookmarkEnd w:id="3"/>
    </w:p>
    <w:p>
      <w:pPr>
        <w:pStyle w:val="3"/>
        <w:bidi w:val="0"/>
        <w:ind w:left="0" w:leftChars="0" w:firstLine="0" w:firstLineChars="0"/>
        <w:rPr>
          <w:rFonts w:hint="eastAsia"/>
          <w:lang w:val="en-US" w:eastAsia="zh-CN"/>
        </w:rPr>
      </w:pPr>
      <w:bookmarkStart w:id="4" w:name="_Toc15034"/>
      <w:r>
        <w:rPr>
          <w:rFonts w:hint="eastAsia"/>
          <w:lang w:val="en-US" w:eastAsia="zh-CN"/>
        </w:rPr>
        <w:t>临床资料</w:t>
      </w:r>
      <w:bookmarkEnd w:id="4"/>
    </w:p>
    <w:p>
      <w:pPr>
        <w:pStyle w:val="4"/>
        <w:bidi w:val="0"/>
        <w:rPr>
          <w:rFonts w:hint="eastAsia"/>
          <w:lang w:val="en-US" w:eastAsia="zh-CN"/>
        </w:rPr>
      </w:pPr>
      <w:bookmarkStart w:id="5" w:name="_Toc27098"/>
      <w:r>
        <w:rPr>
          <w:rFonts w:hint="eastAsia"/>
          <w:lang w:val="en-US" w:eastAsia="zh-CN"/>
        </w:rPr>
        <w:t>一般资料</w:t>
      </w:r>
      <w:bookmarkEnd w:id="5"/>
    </w:p>
    <w:p>
      <w:pPr>
        <w:bidi w:val="0"/>
        <w:rPr>
          <w:rFonts w:hint="eastAsia"/>
          <w:lang w:val="en-US" w:eastAsia="zh-CN"/>
        </w:rPr>
      </w:pPr>
      <w:r>
        <w:rPr>
          <w:rFonts w:hint="eastAsia"/>
          <w:lang w:val="en-US" w:eastAsia="zh-CN"/>
        </w:rPr>
        <w:t>患者，女，18岁。以</w:t>
      </w:r>
      <w:r>
        <w:t>绒癌第一次化疗后，要求第二次化疗</w:t>
      </w:r>
      <w:r>
        <w:rPr>
          <w:rFonts w:hint="eastAsia"/>
          <w:lang w:val="en-US" w:eastAsia="zh-CN"/>
        </w:rPr>
        <w:t>为主诉由门诊入院。患者于2021年10月行清宫术治疗，2022年2月19日到医院就诊，行彩超检查提示宫内泡状暗区，子宫偏右侧管状无声区。</w:t>
      </w:r>
      <w:r>
        <w:t>查血 HCG:36631mIu/m1</w:t>
      </w:r>
      <w:r>
        <w:rPr>
          <w:rFonts w:hint="eastAsia"/>
          <w:lang w:eastAsia="zh-CN"/>
        </w:rPr>
        <w:t>。</w:t>
      </w:r>
      <w:r>
        <w:t>患者</w:t>
      </w:r>
      <w:r>
        <w:rPr>
          <w:rFonts w:hint="eastAsia"/>
          <w:lang w:val="en-US" w:eastAsia="zh-CN"/>
        </w:rPr>
        <w:t>为求二次化疗</w:t>
      </w:r>
      <w:r>
        <w:t>于</w:t>
      </w:r>
      <w:r>
        <w:rPr>
          <w:rFonts w:hint="eastAsia"/>
          <w:lang w:val="en-US" w:eastAsia="zh-CN"/>
        </w:rPr>
        <w:t>2022年4月8日入我科室治疗。入院时诊断明确，诉求清楚，后病情发展迅速、复杂危重，转入重症一次，抢救一次，经过全身系统治疗和实施护理干预后患者病情有所好转，患者要求出院。</w:t>
      </w:r>
    </w:p>
    <w:p>
      <w:pPr>
        <w:pStyle w:val="4"/>
        <w:bidi w:val="0"/>
        <w:rPr>
          <w:rFonts w:hint="eastAsia"/>
          <w:lang w:val="en-US" w:eastAsia="zh-CN"/>
        </w:rPr>
      </w:pPr>
      <w:r>
        <w:rPr>
          <w:rFonts w:hint="eastAsia"/>
          <w:lang w:val="en-US" w:eastAsia="zh-CN"/>
        </w:rPr>
        <w:t xml:space="preserve"> </w:t>
      </w:r>
      <w:bookmarkStart w:id="6" w:name="_Toc29790"/>
      <w:r>
        <w:rPr>
          <w:rFonts w:hint="eastAsia"/>
          <w:lang w:val="en-US" w:eastAsia="zh-CN"/>
        </w:rPr>
        <w:t>病情变化</w:t>
      </w:r>
      <w:bookmarkEnd w:id="6"/>
    </w:p>
    <w:p>
      <w:pPr>
        <w:bidi w:val="0"/>
        <w:rPr>
          <w:rFonts w:hint="eastAsia"/>
          <w:lang w:eastAsia="zh-CN"/>
        </w:rPr>
      </w:pPr>
      <w:r>
        <w:t>入院后查血常规（五分类）（全血）：白细胞计数</w:t>
      </w:r>
      <w:r>
        <w:rPr>
          <w:rFonts w:hint="eastAsia"/>
          <w:lang w:eastAsia="zh-CN"/>
        </w:rPr>
        <w:t>、中性粒细胞</w:t>
      </w:r>
      <w:r>
        <w:t>数</w:t>
      </w:r>
      <w:r>
        <w:rPr>
          <w:rFonts w:hint="eastAsia"/>
          <w:lang w:eastAsia="zh-CN"/>
        </w:rPr>
        <w:t>、</w:t>
      </w:r>
      <w:r>
        <w:t>血红蛋白、血小板计数</w:t>
      </w:r>
      <w:r>
        <w:rPr>
          <w:rFonts w:hint="eastAsia"/>
          <w:lang w:val="en-US" w:eastAsia="zh-CN"/>
        </w:rPr>
        <w:t>均下降，遵医嘱给予</w:t>
      </w:r>
      <w:r>
        <w:t>升白及升血小板对症处理。</w:t>
      </w:r>
      <w:r>
        <w:rPr>
          <w:rFonts w:hint="eastAsia"/>
          <w:lang w:val="en-US" w:eastAsia="zh-CN"/>
        </w:rPr>
        <w:t>2022年4月12日。</w:t>
      </w:r>
      <w:r>
        <w:t>复查血常规（五分类）（全血），白细胞计数</w:t>
      </w:r>
      <w:r>
        <w:rPr>
          <w:rFonts w:hint="eastAsia"/>
          <w:lang w:val="en-US" w:eastAsia="zh-CN"/>
        </w:rPr>
        <w:t>正常，中性粒细胞</w:t>
      </w:r>
      <w:r>
        <w:t>数</w:t>
      </w:r>
      <w:r>
        <w:rPr>
          <w:rFonts w:hint="eastAsia"/>
          <w:lang w:val="en-US" w:eastAsia="zh-CN"/>
        </w:rPr>
        <w:t>升高，</w:t>
      </w:r>
      <w:r>
        <w:t>血红蛋白</w:t>
      </w:r>
      <w:r>
        <w:rPr>
          <w:rFonts w:hint="eastAsia"/>
          <w:lang w:val="en-US" w:eastAsia="zh-CN"/>
        </w:rPr>
        <w:t>正常</w:t>
      </w:r>
      <w:r>
        <w:t>，血小板计数：</w:t>
      </w:r>
      <w:r>
        <w:rPr>
          <w:rFonts w:hint="eastAsia"/>
          <w:lang w:val="en-US" w:eastAsia="zh-CN"/>
        </w:rPr>
        <w:t>下降。</w:t>
      </w:r>
      <w:r>
        <w:t>于</w:t>
      </w:r>
      <w:r>
        <w:rPr>
          <w:rFonts w:hint="eastAsia"/>
          <w:lang w:val="en-US" w:eastAsia="zh-CN"/>
        </w:rPr>
        <w:t>2022年4月13日至2022年4月17日</w:t>
      </w:r>
      <w:r>
        <w:t>予以</w:t>
      </w:r>
      <w:r>
        <w:rPr>
          <w:rFonts w:hint="eastAsia"/>
          <w:lang w:val="en-US" w:eastAsia="zh-CN"/>
        </w:rPr>
        <w:t>依托伯苷加顺铂进行</w:t>
      </w:r>
      <w:r>
        <w:t>化疗，化疗期间予以监测血常规、肝肾功、止吐、护胃、保肝等处理。</w:t>
      </w:r>
      <w:r>
        <w:rPr>
          <w:rFonts w:hint="eastAsia"/>
          <w:lang w:val="en-US" w:eastAsia="zh-CN"/>
        </w:rPr>
        <w:t>2022年4月18日。</w:t>
      </w:r>
      <w:r>
        <w:t>血常规（五分类）（全血）：</w:t>
      </w:r>
      <w:r>
        <w:rPr>
          <w:rFonts w:hint="eastAsia"/>
          <w:lang w:val="en-US" w:eastAsia="zh-CN"/>
        </w:rPr>
        <w:t>白</w:t>
      </w:r>
      <w:r>
        <w:t>细胞计数</w:t>
      </w:r>
      <w:r>
        <w:rPr>
          <w:rFonts w:hint="eastAsia"/>
          <w:lang w:eastAsia="zh-CN"/>
        </w:rPr>
        <w:t>、中性粒细胞</w:t>
      </w:r>
      <w:r>
        <w:t>数</w:t>
      </w:r>
      <w:r>
        <w:rPr>
          <w:rFonts w:hint="eastAsia"/>
          <w:lang w:val="en-US" w:eastAsia="zh-CN"/>
        </w:rPr>
        <w:t>正常，</w:t>
      </w:r>
      <w:r>
        <w:t>血红蛋白、血小板计数</w:t>
      </w:r>
      <w:r>
        <w:rPr>
          <w:rFonts w:hint="eastAsia"/>
          <w:lang w:val="en-US" w:eastAsia="zh-CN"/>
        </w:rPr>
        <w:t>下降，</w:t>
      </w:r>
      <w:r>
        <w:t>于</w:t>
      </w:r>
      <w:r>
        <w:rPr>
          <w:rFonts w:hint="eastAsia"/>
          <w:lang w:val="en-US" w:eastAsia="zh-CN"/>
        </w:rPr>
        <w:t>2022年4月19日</w:t>
      </w:r>
      <w:r>
        <w:t>查房时发现患者双侧结膜出血，予以总查血常规（五分类）（全血），白细胞计数</w:t>
      </w:r>
      <w:r>
        <w:rPr>
          <w:rFonts w:hint="eastAsia"/>
          <w:lang w:eastAsia="zh-CN"/>
        </w:rPr>
        <w:t>、中性粒细胞</w:t>
      </w:r>
      <w:r>
        <w:t>数</w:t>
      </w:r>
      <w:r>
        <w:rPr>
          <w:rFonts w:hint="eastAsia"/>
          <w:lang w:eastAsia="zh-CN"/>
        </w:rPr>
        <w:t>、</w:t>
      </w:r>
      <w:r>
        <w:t>血红蛋白</w:t>
      </w:r>
      <w:r>
        <w:rPr>
          <w:rFonts w:hint="eastAsia"/>
          <w:lang w:eastAsia="zh-CN"/>
        </w:rPr>
        <w:t>、</w:t>
      </w:r>
      <w:r>
        <w:t>血小板计数</w:t>
      </w:r>
      <w:r>
        <w:rPr>
          <w:rFonts w:hint="eastAsia"/>
          <w:lang w:val="en-US" w:eastAsia="zh-CN"/>
        </w:rPr>
        <w:t>均出现低于正常值。对于双侧结膜出现情况</w:t>
      </w:r>
      <w:r>
        <w:t>请</w:t>
      </w:r>
      <w:r>
        <w:rPr>
          <w:rFonts w:hint="eastAsia"/>
          <w:lang w:eastAsia="zh-CN"/>
        </w:rPr>
        <w:t>眼科</w:t>
      </w:r>
      <w:r>
        <w:t>会诊予以对症处理</w:t>
      </w:r>
      <w:r>
        <w:rPr>
          <w:rFonts w:hint="eastAsia"/>
          <w:lang w:eastAsia="zh-CN"/>
        </w:rPr>
        <w:t>。</w:t>
      </w:r>
    </w:p>
    <w:p>
      <w:pPr>
        <w:bidi w:val="0"/>
        <w:rPr>
          <w:rFonts w:hint="default"/>
          <w:lang w:val="en-US" w:eastAsia="zh-CN"/>
        </w:rPr>
      </w:pPr>
      <w:r>
        <w:rPr>
          <w:rFonts w:hint="eastAsia"/>
          <w:lang w:val="en-US" w:eastAsia="zh-CN"/>
        </w:rPr>
        <w:t>截止于2022年4月19日</w:t>
      </w:r>
      <w:r>
        <w:t>患者</w:t>
      </w:r>
      <w:r>
        <w:rPr>
          <w:rFonts w:hint="eastAsia"/>
          <w:lang w:val="en-US" w:eastAsia="zh-CN"/>
        </w:rPr>
        <w:t>处于</w:t>
      </w:r>
      <w:r>
        <w:t>化疗后骨髓抑制III度，病情重，予以一级护理，下病重，禁食、维持内环境稳定。请肿瘤科急会诊，</w:t>
      </w:r>
      <w:r>
        <w:rPr>
          <w:rFonts w:hint="eastAsia"/>
          <w:lang w:val="en-US" w:eastAsia="zh-CN"/>
        </w:rPr>
        <w:t>予</w:t>
      </w:r>
      <w:r>
        <w:t>以地塞米松5m</w:t>
      </w:r>
      <w:r>
        <w:rPr>
          <w:rFonts w:hint="eastAsia"/>
          <w:lang w:val="en-US" w:eastAsia="zh-CN"/>
        </w:rPr>
        <w:t>g</w:t>
      </w:r>
      <w:r>
        <w:t>静脉滴注，</w:t>
      </w:r>
      <w:r>
        <w:rPr>
          <w:rFonts w:hint="eastAsia"/>
          <w:lang w:val="en-US" w:eastAsia="zh-CN"/>
        </w:rPr>
        <w:t>予</w:t>
      </w:r>
      <w:r>
        <w:t>以卡溶磺钠预防出血，</w:t>
      </w:r>
      <w:r>
        <w:rPr>
          <w:rFonts w:hint="eastAsia"/>
          <w:lang w:val="en-US" w:eastAsia="zh-CN"/>
        </w:rPr>
        <w:t>泮托拉唑</w:t>
      </w:r>
      <w:r>
        <w:t>护胃，予以聚乙二醇重组人粒细胞刺激因子升白治疗。予以促红素升血红蛋白。积极联系血库备血小板。监测血常规、凝血。请药学部会诊，根据会诊结果</w:t>
      </w:r>
      <w:r>
        <w:rPr>
          <w:rFonts w:hint="eastAsia"/>
          <w:lang w:val="en-US" w:eastAsia="zh-CN"/>
        </w:rPr>
        <w:t>予</w:t>
      </w:r>
      <w:r>
        <w:t>以预防性使用抗生素及时调整治疗方案，密观观结膜出血及有无内脏出血等情况。</w:t>
      </w:r>
    </w:p>
    <w:p>
      <w:pPr>
        <w:bidi w:val="0"/>
      </w:pPr>
      <w:r>
        <w:rPr>
          <w:rFonts w:hint="eastAsia"/>
          <w:lang w:val="en-US" w:eastAsia="zh-CN"/>
        </w:rPr>
        <w:t>2022年4月20日。</w:t>
      </w:r>
      <w:r>
        <w:t>复查血规（五分类）（全血），</w:t>
      </w:r>
      <w:r>
        <w:rPr>
          <w:rFonts w:hint="eastAsia"/>
          <w:lang w:val="en-US" w:eastAsia="zh-CN"/>
        </w:rPr>
        <w:t>白</w:t>
      </w:r>
      <w:r>
        <w:t>细胞计数</w:t>
      </w:r>
      <w:r>
        <w:rPr>
          <w:rFonts w:hint="eastAsia"/>
          <w:lang w:eastAsia="zh-CN"/>
        </w:rPr>
        <w:t>、中性粒细胞</w:t>
      </w:r>
      <w:r>
        <w:t>数</w:t>
      </w:r>
      <w:r>
        <w:rPr>
          <w:rFonts w:hint="eastAsia"/>
          <w:lang w:val="en-US" w:eastAsia="zh-CN"/>
        </w:rPr>
        <w:t>正常，</w:t>
      </w:r>
      <w:r>
        <w:t>血红蛋白、血小板计数</w:t>
      </w:r>
      <w:r>
        <w:rPr>
          <w:rFonts w:hint="eastAsia"/>
          <w:lang w:val="en-US" w:eastAsia="zh-CN"/>
        </w:rPr>
        <w:t>低于正常值。</w:t>
      </w:r>
      <w:r>
        <w:t>凝血四项（血浆）</w:t>
      </w:r>
      <w:r>
        <w:rPr>
          <w:rFonts w:hint="eastAsia"/>
          <w:lang w:eastAsia="zh-CN"/>
        </w:rPr>
        <w:t>，</w:t>
      </w:r>
      <w:r>
        <w:rPr>
          <w:rFonts w:hint="eastAsia"/>
          <w:lang w:val="en-US" w:eastAsia="zh-CN"/>
        </w:rPr>
        <w:t>凝血酶原</w:t>
      </w:r>
      <w:r>
        <w:t>时间（凝固法）</w:t>
      </w:r>
      <w:r>
        <w:rPr>
          <w:rFonts w:hint="eastAsia"/>
          <w:lang w:val="en-US" w:eastAsia="zh-CN"/>
        </w:rPr>
        <w:t>、</w:t>
      </w:r>
      <w:r>
        <w:t>纤维蛋白原含量</w:t>
      </w:r>
      <w:r>
        <w:rPr>
          <w:rFonts w:hint="eastAsia"/>
          <w:lang w:val="en-US" w:eastAsia="zh-CN"/>
        </w:rPr>
        <w:t>均高于正常值，</w:t>
      </w:r>
      <w:r>
        <w:t>继续予以预防出血、护胃、升血小板治疗，予以新鲜冰冻血浆300m1纠正凝血、1个治疗量血小板纠正血小板低下。</w:t>
      </w:r>
      <w:r>
        <w:rPr>
          <w:rFonts w:hint="eastAsia"/>
          <w:lang w:val="en-US" w:eastAsia="zh-CN"/>
        </w:rPr>
        <w:t>2022年4月21日。</w:t>
      </w:r>
      <w:r>
        <w:t>复查血常规（五分类</w:t>
      </w:r>
      <w:r>
        <w:rPr>
          <w:rFonts w:hint="eastAsia"/>
          <w:lang w:eastAsia="zh-CN"/>
        </w:rPr>
        <w:t>）</w:t>
      </w:r>
      <w:r>
        <w:t>（全血）：白细胞计数</w:t>
      </w:r>
      <w:r>
        <w:rPr>
          <w:rFonts w:hint="eastAsia"/>
          <w:lang w:eastAsia="zh-CN"/>
        </w:rPr>
        <w:t>、</w:t>
      </w:r>
      <w:r>
        <w:t>血红蛋</w:t>
      </w:r>
      <w:r>
        <w:rPr>
          <w:rFonts w:hint="eastAsia"/>
          <w:lang w:val="en-US" w:eastAsia="zh-CN"/>
        </w:rPr>
        <w:t>白</w:t>
      </w:r>
      <w:r>
        <w:t>、血小板计数</w:t>
      </w:r>
      <w:r>
        <w:rPr>
          <w:rFonts w:hint="eastAsia"/>
          <w:lang w:val="en-US" w:eastAsia="zh-CN"/>
        </w:rPr>
        <w:t>均低于正常值，中性粒细胞</w:t>
      </w:r>
      <w:r>
        <w:t>数</w:t>
      </w:r>
      <w:r>
        <w:rPr>
          <w:rFonts w:hint="eastAsia"/>
          <w:lang w:val="en-US" w:eastAsia="zh-CN"/>
        </w:rPr>
        <w:t>在正常值内，</w:t>
      </w:r>
      <w:r>
        <w:t>继续予以升白、升血小板治疗，卡洛磺纳预防出血，联系血库积极联系血小板。予以新鲜冰冻血浆正凝血功能等处理。</w:t>
      </w:r>
      <w:r>
        <w:rPr>
          <w:rFonts w:hint="eastAsia"/>
          <w:lang w:val="en-US" w:eastAsia="zh-CN"/>
        </w:rPr>
        <w:t>2022年4月20日下午4点</w:t>
      </w:r>
      <w:r>
        <w:t>复查血常规</w:t>
      </w:r>
      <w:r>
        <w:rPr>
          <w:rFonts w:hint="eastAsia"/>
          <w:lang w:val="en-US" w:eastAsia="zh-CN"/>
        </w:rPr>
        <w:t>后</w:t>
      </w:r>
      <w:r>
        <w:t>再次予以升白、联系血库准备输血小板等处理。现患者眼部出血较前无加重，可见陈</w:t>
      </w:r>
      <w:r>
        <w:rPr>
          <w:rFonts w:hint="eastAsia"/>
          <w:lang w:val="en-US" w:eastAsia="zh-CN"/>
        </w:rPr>
        <w:t>旧</w:t>
      </w:r>
      <w:r>
        <w:t>性出血，无头痛、头晕、视物模糊、</w:t>
      </w:r>
      <w:r>
        <w:rPr>
          <w:rFonts w:hint="eastAsia"/>
          <w:lang w:val="en-US" w:eastAsia="zh-CN"/>
        </w:rPr>
        <w:t>牙龈</w:t>
      </w:r>
      <w:r>
        <w:t>出血、呕血、腹痛、黑便、阴道异常出血等</w:t>
      </w:r>
      <w:r>
        <w:rPr>
          <w:rFonts w:hint="eastAsia"/>
          <w:lang w:val="en-US" w:eastAsia="zh-CN"/>
        </w:rPr>
        <w:t>情况，</w:t>
      </w:r>
      <w:r>
        <w:t>大小便</w:t>
      </w:r>
      <w:r>
        <w:rPr>
          <w:rFonts w:hint="eastAsia"/>
          <w:lang w:val="en-US" w:eastAsia="zh-CN"/>
        </w:rPr>
        <w:t>无</w:t>
      </w:r>
      <w:r>
        <w:t>异常</w:t>
      </w:r>
      <w:r>
        <w:rPr>
          <w:rFonts w:hint="eastAsia"/>
          <w:lang w:val="en-US" w:eastAsia="zh-CN"/>
        </w:rPr>
        <w:t>改变</w:t>
      </w:r>
      <w:r>
        <w:t>，查体：生命体征平稳，神志清醒，自主体位，双侧睡孔等大正圆，对光反射灵。口腔无</w:t>
      </w:r>
      <w:r>
        <w:rPr>
          <w:rFonts w:hint="eastAsia"/>
          <w:lang w:eastAsia="zh-CN"/>
        </w:rPr>
        <w:t>黏膜</w:t>
      </w:r>
      <w:r>
        <w:t>下出血</w:t>
      </w:r>
      <w:r>
        <w:rPr>
          <w:rFonts w:hint="eastAsia"/>
          <w:lang w:eastAsia="zh-CN"/>
        </w:rPr>
        <w:t>，</w:t>
      </w:r>
      <w:r>
        <w:t>心率118次／分，未闻及异常心音。肺部腹部查体阴性。手肘穿刺处可见癌斑，直径2cm．较昨日无加重、无扩大。余全身皮肤无</w:t>
      </w:r>
      <w:r>
        <w:rPr>
          <w:rFonts w:hint="eastAsia"/>
          <w:lang w:val="en-US" w:eastAsia="zh-CN"/>
        </w:rPr>
        <w:t>瘀斑瘀点</w:t>
      </w:r>
      <w:r>
        <w:t>。</w:t>
      </w:r>
      <w:r>
        <w:rPr>
          <w:rFonts w:hint="eastAsia"/>
          <w:lang w:eastAsia="zh-CN"/>
        </w:rPr>
        <w:t>无阻阴道</w:t>
      </w:r>
      <w:r>
        <w:t>出血，有在四技未见明显异常。患者</w:t>
      </w:r>
      <w:r>
        <w:rPr>
          <w:rFonts w:hint="eastAsia"/>
          <w:lang w:val="en-US" w:eastAsia="zh-CN"/>
        </w:rPr>
        <w:t>化</w:t>
      </w:r>
      <w:r>
        <w:t>疗后骨髓抑制IV度，三系低，病情危重，血小板低下可能出现全身脏器出血如</w:t>
      </w:r>
      <w:r>
        <w:rPr>
          <w:rFonts w:hint="eastAsia"/>
          <w:lang w:eastAsia="zh-CN"/>
        </w:rPr>
        <w:t>眼内出血</w:t>
      </w:r>
      <w:r>
        <w:t>、胃出血，</w:t>
      </w:r>
      <w:r>
        <w:rPr>
          <w:rFonts w:hint="eastAsia"/>
          <w:lang w:eastAsia="zh-CN"/>
        </w:rPr>
        <w:t>黏膜</w:t>
      </w:r>
      <w:r>
        <w:t>出血、大出血危及生命、转1CU可能。</w:t>
      </w:r>
    </w:p>
    <w:p>
      <w:pPr>
        <w:bidi w:val="0"/>
      </w:pPr>
      <w:r>
        <w:rPr>
          <w:rFonts w:hint="eastAsia"/>
          <w:lang w:eastAsia="zh-CN"/>
        </w:rPr>
        <w:t>患者于</w:t>
      </w:r>
      <w:r>
        <w:rPr>
          <w:rFonts w:hint="eastAsia"/>
          <w:lang w:val="en-US" w:eastAsia="zh-CN"/>
        </w:rPr>
        <w:t>2022年4月23日转入重症医学科。经治疗后于2022年4月27日转出重症医学科。</w:t>
      </w:r>
      <w:r>
        <w:rPr>
          <w:rFonts w:hint="eastAsia"/>
          <w:lang w:eastAsia="zh-CN"/>
        </w:rPr>
        <w:t>患者于</w:t>
      </w:r>
      <w:r>
        <w:rPr>
          <w:rFonts w:hint="eastAsia"/>
          <w:lang w:val="en-US" w:eastAsia="zh-CN"/>
        </w:rPr>
        <w:t>2022年4月23日，夜间22:34，经历一次抢救，抢救开始时间21:35，抢救结束时间22:10，抢救措施患者入室后立即予以重症监护，下病危吸氧监护血压血糖完善静脉血气分析示：</w:t>
      </w:r>
      <w:r>
        <w:t>PH</w:t>
      </w:r>
      <w:r>
        <w:rPr>
          <w:rFonts w:hint="eastAsia"/>
          <w:lang w:eastAsia="zh-CN"/>
        </w:rPr>
        <w:t>：</w:t>
      </w:r>
      <w:r>
        <w:t>7.38</w:t>
      </w:r>
      <w:r>
        <w:rPr>
          <w:rFonts w:hint="eastAsia"/>
          <w:lang w:eastAsia="zh-CN"/>
        </w:rPr>
        <w:t>，</w:t>
      </w:r>
      <w:r>
        <w:rPr>
          <w:rFonts w:hint="eastAsia"/>
          <w:lang w:val="en-US" w:eastAsia="zh-CN"/>
        </w:rPr>
        <w:t>血二氧化碳分压：</w:t>
      </w:r>
      <w:r>
        <w:t>40mmHg</w:t>
      </w:r>
      <w:r>
        <w:rPr>
          <w:rFonts w:hint="eastAsia"/>
          <w:lang w:eastAsia="zh-CN"/>
        </w:rPr>
        <w:t>，</w:t>
      </w:r>
      <w:r>
        <w:rPr>
          <w:rFonts w:hint="eastAsia"/>
          <w:lang w:val="en-US" w:eastAsia="zh-CN"/>
        </w:rPr>
        <w:t>血氧分压：</w:t>
      </w:r>
      <w:r>
        <w:t>30mmHg,K+</w:t>
      </w:r>
      <w:r>
        <w:rPr>
          <w:rFonts w:hint="eastAsia"/>
          <w:lang w:eastAsia="zh-CN"/>
        </w:rPr>
        <w:t>：</w:t>
      </w:r>
      <w:r>
        <w:t>4.5mmo1/L,Lac1.6mmo1/L,Hb71g／L。予保护性隔离，</w:t>
      </w:r>
      <w:r>
        <w:rPr>
          <w:rFonts w:hint="eastAsia"/>
          <w:lang w:val="en-US" w:eastAsia="zh-CN"/>
        </w:rPr>
        <w:t>用</w:t>
      </w:r>
      <w:r>
        <w:t>美罗培南、万古霉素联合预防感染，</w:t>
      </w:r>
      <w:r>
        <w:rPr>
          <w:rFonts w:hint="eastAsia"/>
          <w:lang w:val="en-US" w:eastAsia="zh-CN"/>
        </w:rPr>
        <w:t>用</w:t>
      </w:r>
      <w:r>
        <w:rPr>
          <w:rFonts w:hint="eastAsia"/>
        </w:rPr>
        <w:t>艾司奥美拉唑镁肠溶片</w:t>
      </w:r>
      <w:r>
        <w:rPr>
          <w:rFonts w:hint="eastAsia"/>
          <w:lang w:val="en-US" w:eastAsia="zh-CN"/>
        </w:rPr>
        <w:t>抑制胃酸分泌</w:t>
      </w:r>
      <w:r>
        <w:t>，</w:t>
      </w:r>
      <w:r>
        <w:rPr>
          <w:rFonts w:hint="eastAsia"/>
          <w:lang w:val="en-US" w:eastAsia="zh-CN"/>
        </w:rPr>
        <w:t>用</w:t>
      </w:r>
      <w:r>
        <w:t>双歧杆菌调节肠道菌群，人粒细胞刺激因子提升白细胞等治疗。</w:t>
      </w:r>
    </w:p>
    <w:p>
      <w:pPr>
        <w:pStyle w:val="3"/>
        <w:bidi w:val="0"/>
        <w:rPr>
          <w:rFonts w:hint="eastAsia"/>
          <w:lang w:val="en-US" w:eastAsia="zh-CN"/>
        </w:rPr>
      </w:pPr>
      <w:bookmarkStart w:id="7" w:name="_Toc29528"/>
      <w:r>
        <w:rPr>
          <w:rFonts w:hint="eastAsia"/>
          <w:lang w:val="en-US" w:eastAsia="zh-CN"/>
        </w:rPr>
        <w:t>检查资料</w:t>
      </w:r>
      <w:bookmarkEnd w:id="7"/>
    </w:p>
    <w:p>
      <w:pPr>
        <w:bidi w:val="0"/>
      </w:pPr>
      <w:r>
        <w:rPr>
          <w:rFonts w:hint="eastAsia"/>
          <w:lang w:val="en-US" w:eastAsia="zh-CN"/>
        </w:rPr>
        <w:t>患者</w:t>
      </w:r>
      <w:r>
        <w:t>行彩超检查示</w:t>
      </w:r>
      <w:r>
        <w:rPr>
          <w:rFonts w:hint="eastAsia"/>
          <w:lang w:eastAsia="zh-CN"/>
        </w:rPr>
        <w:t>：</w:t>
      </w:r>
      <w:r>
        <w:t>子宫呈水平位</w:t>
      </w:r>
      <w:r>
        <w:rPr>
          <w:rFonts w:hint="eastAsia"/>
          <w:lang w:eastAsia="zh-CN"/>
        </w:rPr>
        <w:t>，</w:t>
      </w:r>
      <w:r>
        <w:t>前后径约4.0cm，宫底及右侧肌壁回声不均匀</w:t>
      </w:r>
      <w:r>
        <w:rPr>
          <w:rFonts w:hint="eastAsia"/>
          <w:lang w:eastAsia="zh-CN"/>
        </w:rPr>
        <w:t>，</w:t>
      </w:r>
      <w:r>
        <w:t>内可见多枚无回声</w:t>
      </w:r>
      <w:r>
        <w:rPr>
          <w:rFonts w:hint="eastAsia"/>
          <w:lang w:eastAsia="zh-CN"/>
        </w:rPr>
        <w:t>，</w:t>
      </w:r>
      <w:r>
        <w:t>呈“蜂窝状”改变</w:t>
      </w:r>
      <w:r>
        <w:rPr>
          <w:rFonts w:hint="eastAsia"/>
          <w:lang w:eastAsia="zh-CN"/>
        </w:rPr>
        <w:t>，</w:t>
      </w:r>
      <w:r>
        <w:t>CDFI</w:t>
      </w:r>
      <w:r>
        <w:rPr>
          <w:rFonts w:hint="eastAsia"/>
          <w:lang w:eastAsia="zh-CN"/>
        </w:rPr>
        <w:t>：</w:t>
      </w:r>
      <w:r>
        <w:t>其内充满血流信号，PW</w:t>
      </w:r>
      <w:r>
        <w:rPr>
          <w:rFonts w:hint="eastAsia"/>
          <w:lang w:eastAsia="zh-CN"/>
        </w:rPr>
        <w:t>：</w:t>
      </w:r>
      <w:r>
        <w:t>其内可探及动静脉</w:t>
      </w:r>
      <w:r>
        <w:rPr>
          <w:rFonts w:hint="eastAsia"/>
          <w:lang w:val="en-US" w:eastAsia="zh-CN"/>
        </w:rPr>
        <w:t>瘘</w:t>
      </w:r>
      <w:r>
        <w:t>频谱，RI:0.28</w:t>
      </w:r>
      <w:r>
        <w:rPr>
          <w:rFonts w:hint="eastAsia"/>
          <w:lang w:eastAsia="zh-CN"/>
        </w:rPr>
        <w:t>；</w:t>
      </w:r>
      <w:r>
        <w:t>宫腔内可见一枚囊性回声，大小约 1.6x1.1x1.0cm</w:t>
      </w:r>
      <w:r>
        <w:rPr>
          <w:rFonts w:hint="eastAsia"/>
          <w:lang w:eastAsia="zh-CN"/>
        </w:rPr>
        <w:t>，</w:t>
      </w:r>
      <w:r>
        <w:t>壁偏厚</w:t>
      </w:r>
      <w:r>
        <w:rPr>
          <w:rFonts w:hint="eastAsia"/>
          <w:lang w:eastAsia="zh-CN"/>
        </w:rPr>
        <w:t>，</w:t>
      </w:r>
      <w:r>
        <w:t>其内未探及卵黄囊、胎芽组织及胎心搏动。宫颈管分离约 0.5cm。附件</w:t>
      </w:r>
      <w:r>
        <w:rPr>
          <w:rFonts w:hint="eastAsia"/>
          <w:lang w:eastAsia="zh-CN"/>
        </w:rPr>
        <w:t>：</w:t>
      </w:r>
      <w:r>
        <w:t>右侧卵巢显示欠清</w:t>
      </w:r>
      <w:r>
        <w:rPr>
          <w:rFonts w:hint="eastAsia"/>
          <w:lang w:eastAsia="zh-CN"/>
        </w:rPr>
        <w:t>，</w:t>
      </w:r>
      <w:r>
        <w:t>左侧卵巢大小形态正常</w:t>
      </w:r>
      <w:r>
        <w:rPr>
          <w:rFonts w:hint="eastAsia"/>
          <w:lang w:eastAsia="zh-CN"/>
        </w:rPr>
        <w:t>，</w:t>
      </w:r>
      <w:r>
        <w:t>双侧附件区现未见确切团块回声。提示</w:t>
      </w:r>
      <w:r>
        <w:rPr>
          <w:rFonts w:hint="eastAsia"/>
          <w:lang w:eastAsia="zh-CN"/>
        </w:rPr>
        <w:t>：</w:t>
      </w:r>
      <w:r>
        <w:t>宫内回声改变</w:t>
      </w:r>
      <w:r>
        <w:rPr>
          <w:rFonts w:hint="eastAsia"/>
          <w:lang w:eastAsia="zh-CN"/>
        </w:rPr>
        <w:t>，</w:t>
      </w:r>
      <w:r>
        <w:t>不</w:t>
      </w:r>
      <w:r>
        <w:rPr>
          <w:rFonts w:hint="eastAsia"/>
          <w:lang w:val="en-US" w:eastAsia="zh-CN"/>
        </w:rPr>
        <w:t>能排</w:t>
      </w:r>
      <w:r>
        <w:t>除外滋养细胞疾病</w:t>
      </w:r>
      <w:r>
        <w:rPr>
          <w:rFonts w:hint="eastAsia"/>
          <w:lang w:eastAsia="zh-CN"/>
        </w:rPr>
        <w:t>，</w:t>
      </w:r>
      <w:r>
        <w:t>查血HCG:33798.55IU/L</w:t>
      </w:r>
      <w:r>
        <w:rPr>
          <w:rFonts w:hint="eastAsia"/>
          <w:lang w:eastAsia="zh-CN"/>
        </w:rPr>
        <w:t>，</w:t>
      </w:r>
      <w:r>
        <w:t>甲功未见明确异常。</w:t>
      </w:r>
    </w:p>
    <w:p>
      <w:pPr>
        <w:bidi w:val="0"/>
        <w:rPr>
          <w:rFonts w:hint="default"/>
          <w:lang w:val="en-US" w:eastAsia="zh-CN"/>
        </w:rPr>
      </w:pPr>
      <w:r>
        <w:rPr>
          <w:rFonts w:hint="eastAsia"/>
          <w:lang w:val="en-US" w:eastAsia="zh-CN"/>
        </w:rPr>
        <w:t>患者入院前行清宫术</w:t>
      </w:r>
      <w:r>
        <w:t>术后病检回示</w:t>
      </w:r>
      <w:r>
        <w:rPr>
          <w:rFonts w:hint="eastAsia"/>
          <w:lang w:eastAsia="zh-CN"/>
        </w:rPr>
        <w:t>：</w:t>
      </w:r>
      <w:r>
        <w:t>“宫内组织物”送检组织见黏液及少许破碎的纤维间质、上皮，灶性见少许退变的滋养叶细胞，术后监测患者血HCG:24947.76IU/L</w:t>
      </w:r>
      <w:r>
        <w:rPr>
          <w:rFonts w:hint="eastAsia"/>
          <w:lang w:eastAsia="zh-CN"/>
        </w:rPr>
        <w:t>、</w:t>
      </w:r>
      <w:r>
        <w:t>26208.44IU/L。病理切片会诊</w:t>
      </w:r>
      <w:r>
        <w:rPr>
          <w:rFonts w:hint="eastAsia"/>
          <w:lang w:eastAsia="zh-CN"/>
        </w:rPr>
        <w:t>：</w:t>
      </w:r>
      <w:r>
        <w:t>“宫内”见大量的脱膜组织和少量绒毛，其中部分绒毛水肿。考虑绒癌</w:t>
      </w:r>
      <w:r>
        <w:rPr>
          <w:rFonts w:hint="eastAsia"/>
          <w:lang w:eastAsia="zh-CN"/>
        </w:rPr>
        <w:t>（</w:t>
      </w:r>
      <w:r>
        <w:t>I:4)。患者于2022-4-4于</w:t>
      </w:r>
      <w:r>
        <w:rPr>
          <w:rFonts w:hint="eastAsia"/>
          <w:lang w:val="en-US" w:eastAsia="zh-CN"/>
        </w:rPr>
        <w:t>院外</w:t>
      </w:r>
      <w:r>
        <w:t>查肝肾</w:t>
      </w:r>
      <w:r>
        <w:rPr>
          <w:rFonts w:hint="eastAsia"/>
          <w:lang w:eastAsia="zh-CN"/>
        </w:rPr>
        <w:t>功能</w:t>
      </w:r>
      <w:r>
        <w:t>未见明确异常</w:t>
      </w:r>
      <w:r>
        <w:rPr>
          <w:rFonts w:hint="eastAsia"/>
          <w:lang w:eastAsia="zh-CN"/>
        </w:rPr>
        <w:t>；</w:t>
      </w:r>
      <w:r>
        <w:t>血HCG:9803mIu/m1</w:t>
      </w:r>
      <w:r>
        <w:rPr>
          <w:rFonts w:hint="eastAsia"/>
          <w:lang w:eastAsia="zh-CN"/>
        </w:rPr>
        <w:t>：</w:t>
      </w:r>
      <w:r>
        <w:t>白细胞数目</w:t>
      </w:r>
      <w:r>
        <w:rPr>
          <w:rFonts w:hint="eastAsia"/>
          <w:lang w:eastAsia="zh-CN"/>
        </w:rPr>
        <w:t>、</w:t>
      </w:r>
      <w:r>
        <w:t>中性粒细胞数目、血小板数目</w:t>
      </w:r>
      <w:r>
        <w:rPr>
          <w:rFonts w:hint="eastAsia"/>
          <w:lang w:val="en-US" w:eastAsia="zh-CN"/>
        </w:rPr>
        <w:t>均正常</w:t>
      </w:r>
      <w:r>
        <w:t>，予以鲨肝醇片升白治疗。</w:t>
      </w:r>
    </w:p>
    <w:p>
      <w:pPr>
        <w:numPr>
          <w:ilvl w:val="0"/>
          <w:numId w:val="0"/>
        </w:numPr>
        <w:bidi w:val="0"/>
        <w:ind w:leftChars="200"/>
        <w:rPr>
          <w:rFonts w:hint="default"/>
          <w:lang w:val="en-US" w:eastAsia="zh-CN"/>
        </w:rPr>
      </w:pPr>
    </w:p>
    <w:p>
      <w:pPr>
        <w:pStyle w:val="2"/>
        <w:bidi w:val="0"/>
        <w:ind w:left="432" w:leftChars="0" w:hanging="432" w:firstLineChars="0"/>
        <w:rPr>
          <w:rFonts w:hint="eastAsia"/>
          <w:lang w:val="en-US" w:eastAsia="zh-CN"/>
        </w:rPr>
      </w:pPr>
      <w:bookmarkStart w:id="8" w:name="_Toc10314"/>
      <w:r>
        <w:rPr>
          <w:rFonts w:hint="eastAsia"/>
          <w:lang w:val="en-US" w:eastAsia="zh-CN"/>
        </w:rPr>
        <w:t>护理</w:t>
      </w:r>
      <w:bookmarkEnd w:id="8"/>
    </w:p>
    <w:p>
      <w:pPr>
        <w:pStyle w:val="3"/>
        <w:bidi w:val="0"/>
        <w:rPr>
          <w:rFonts w:hint="eastAsia"/>
          <w:lang w:val="en-US" w:eastAsia="zh-CN"/>
        </w:rPr>
      </w:pPr>
      <w:bookmarkStart w:id="9" w:name="_Toc2943"/>
      <w:r>
        <w:rPr>
          <w:rFonts w:hint="eastAsia"/>
          <w:lang w:val="en-US" w:eastAsia="zh-CN"/>
        </w:rPr>
        <w:t>护理评估</w:t>
      </w:r>
      <w:bookmarkEnd w:id="9"/>
    </w:p>
    <w:p>
      <w:pPr>
        <w:pStyle w:val="4"/>
        <w:bidi w:val="0"/>
        <w:rPr>
          <w:rFonts w:hint="eastAsia"/>
          <w:lang w:val="en-US" w:eastAsia="zh-CN"/>
        </w:rPr>
      </w:pPr>
      <w:bookmarkStart w:id="10" w:name="_Toc21684"/>
      <w:r>
        <w:rPr>
          <w:rFonts w:hint="eastAsia"/>
          <w:lang w:val="en-US" w:eastAsia="zh-CN"/>
        </w:rPr>
        <w:t>身体评估</w:t>
      </w:r>
      <w:bookmarkEnd w:id="10"/>
    </w:p>
    <w:p>
      <w:pPr>
        <w:bidi w:val="0"/>
        <w:rPr>
          <w:rFonts w:hint="eastAsia"/>
          <w:lang w:val="en-US" w:eastAsia="zh-CN"/>
        </w:rPr>
      </w:pPr>
      <w:r>
        <w:rPr>
          <w:rFonts w:hint="eastAsia"/>
          <w:lang w:val="en-US" w:eastAsia="zh-CN"/>
        </w:rPr>
        <w:t>患者</w:t>
      </w:r>
      <w:r>
        <w:t>发育良好，营养中等，神志清醒，自主体位，无特殊面容，</w:t>
      </w:r>
      <w:r>
        <w:rPr>
          <w:rFonts w:hint="eastAsia"/>
          <w:lang w:val="en-US" w:eastAsia="zh-CN"/>
        </w:rPr>
        <w:t>能够配合</w:t>
      </w:r>
      <w:r>
        <w:t>查体合作。</w:t>
      </w:r>
      <w:r>
        <w:rPr>
          <w:rFonts w:hint="eastAsia"/>
        </w:rPr>
        <w:t>T：36．</w:t>
      </w:r>
      <w:r>
        <w:rPr>
          <w:rFonts w:hint="eastAsia"/>
          <w:lang w:val="en-US" w:eastAsia="zh-CN"/>
        </w:rPr>
        <w:t>2</w:t>
      </w:r>
      <w:r>
        <w:rPr>
          <w:rFonts w:hint="eastAsia"/>
        </w:rPr>
        <w:t>℃ ，P：</w:t>
      </w:r>
      <w:r>
        <w:rPr>
          <w:rFonts w:hint="eastAsia"/>
          <w:lang w:val="en-US" w:eastAsia="zh-CN"/>
        </w:rPr>
        <w:t>137</w:t>
      </w:r>
      <w:r>
        <w:rPr>
          <w:rFonts w:hint="eastAsia"/>
        </w:rPr>
        <w:t>次／分，R：</w:t>
      </w:r>
      <w:r>
        <w:rPr>
          <w:rFonts w:hint="eastAsia"/>
          <w:lang w:val="en-US" w:eastAsia="zh-CN"/>
        </w:rPr>
        <w:t>20</w:t>
      </w:r>
      <w:r>
        <w:rPr>
          <w:rFonts w:hint="eastAsia"/>
        </w:rPr>
        <w:t>次／分，Bp：</w:t>
      </w:r>
      <w:r>
        <w:t>103/70</w:t>
      </w:r>
      <w:r>
        <w:rPr>
          <w:rFonts w:hint="eastAsia"/>
        </w:rPr>
        <w:t xml:space="preserve"> mm Hg，</w:t>
      </w:r>
      <w:r>
        <w:rPr>
          <w:rFonts w:hint="eastAsia"/>
          <w:lang w:eastAsia="zh-CN"/>
        </w:rPr>
        <w:t>患者入院时带</w:t>
      </w:r>
      <w:r>
        <w:rPr>
          <w:rFonts w:hint="eastAsia"/>
          <w:lang w:val="en-US" w:eastAsia="zh-CN"/>
        </w:rPr>
        <w:t>CVC置管一根，外露7cm，入院时检查CVC管路通畅，穿刺部位无红肿渗血外漏，导管脱落风险评估11分。</w:t>
      </w:r>
    </w:p>
    <w:p>
      <w:pPr>
        <w:pStyle w:val="4"/>
        <w:bidi w:val="0"/>
        <w:rPr>
          <w:rFonts w:hint="eastAsia"/>
          <w:lang w:val="en-US" w:eastAsia="zh-CN"/>
        </w:rPr>
      </w:pPr>
      <w:bookmarkStart w:id="11" w:name="_Toc30153"/>
      <w:r>
        <w:rPr>
          <w:rFonts w:hint="eastAsia"/>
          <w:lang w:val="en-US" w:eastAsia="zh-CN"/>
        </w:rPr>
        <w:t>心理护理</w:t>
      </w:r>
      <w:bookmarkEnd w:id="11"/>
    </w:p>
    <w:p>
      <w:pPr>
        <w:bidi w:val="0"/>
        <w:rPr>
          <w:rFonts w:hint="eastAsia"/>
          <w:lang w:val="en-US" w:eastAsia="zh-CN"/>
        </w:rPr>
      </w:pPr>
      <w:r>
        <w:rPr>
          <w:rFonts w:hint="eastAsia"/>
          <w:lang w:val="en-US" w:eastAsia="zh-CN"/>
        </w:rPr>
        <w:t>患者入院时情绪未见明显异常，但随着病情的逐步发展，患者开始出现恐惧焦虑心理。恐惧及焦虑心理一方面源自于治疗过程漫长，病情反复，治愈希望小，本次住院以来病情治疗情况不理想；另一方面与患者年龄小，情绪不稳定有关。</w:t>
      </w:r>
    </w:p>
    <w:p>
      <w:pPr>
        <w:pStyle w:val="4"/>
        <w:bidi w:val="0"/>
        <w:rPr>
          <w:rFonts w:hint="eastAsia"/>
          <w:lang w:val="en-US" w:eastAsia="zh-CN"/>
        </w:rPr>
      </w:pPr>
      <w:bookmarkStart w:id="12" w:name="_Toc23771"/>
      <w:r>
        <w:rPr>
          <w:rFonts w:hint="eastAsia"/>
          <w:lang w:val="en-US" w:eastAsia="zh-CN"/>
        </w:rPr>
        <w:t>社会评估</w:t>
      </w:r>
      <w:bookmarkEnd w:id="12"/>
    </w:p>
    <w:p>
      <w:pPr>
        <w:bidi w:val="0"/>
        <w:rPr>
          <w:rFonts w:hint="eastAsia"/>
          <w:lang w:val="en-US" w:eastAsia="zh-CN"/>
        </w:rPr>
      </w:pPr>
      <w:r>
        <w:rPr>
          <w:rFonts w:hint="eastAsia"/>
          <w:lang w:val="en-US" w:eastAsia="zh-CN"/>
        </w:rPr>
        <w:t>患者父母健全，家族中无遗传疾病及类似疾病，患者患病前未参加工作，在校学习，社会关系简单。患者父母有稳定经济来源，住院期间家中能够提供至少一人陪护，社会支持力良好。</w:t>
      </w:r>
    </w:p>
    <w:p>
      <w:pPr>
        <w:pStyle w:val="3"/>
        <w:bidi w:val="0"/>
        <w:rPr>
          <w:rFonts w:hint="eastAsia"/>
          <w:lang w:val="en-US" w:eastAsia="zh-CN"/>
        </w:rPr>
      </w:pPr>
      <w:bookmarkStart w:id="13" w:name="_Toc18277"/>
      <w:r>
        <w:rPr>
          <w:rFonts w:hint="eastAsia"/>
          <w:lang w:val="en-US" w:eastAsia="zh-CN"/>
        </w:rPr>
        <w:t>护理措施</w:t>
      </w:r>
      <w:bookmarkEnd w:id="13"/>
    </w:p>
    <w:p>
      <w:pPr>
        <w:pStyle w:val="4"/>
        <w:bidi w:val="0"/>
        <w:rPr>
          <w:rFonts w:hint="eastAsia"/>
          <w:lang w:val="en-US" w:eastAsia="zh-CN"/>
        </w:rPr>
      </w:pPr>
      <w:bookmarkStart w:id="14" w:name="_Toc27766"/>
      <w:r>
        <w:rPr>
          <w:rFonts w:hint="eastAsia"/>
          <w:lang w:val="en-US" w:eastAsia="zh-CN"/>
        </w:rPr>
        <w:t>用药护理</w:t>
      </w:r>
      <w:bookmarkEnd w:id="14"/>
    </w:p>
    <w:p>
      <w:pPr>
        <w:bidi w:val="0"/>
        <w:rPr>
          <w:rFonts w:hint="eastAsia"/>
          <w:lang w:val="en-US" w:eastAsia="zh-CN"/>
        </w:rPr>
      </w:pPr>
      <w:r>
        <w:rPr>
          <w:rFonts w:hint="eastAsia"/>
          <w:lang w:val="en-US" w:eastAsia="zh-CN"/>
        </w:rPr>
        <w:t>对接受化疗的患者应准确测量，并记录体重的变化情况，用来正确计算和调整药量，一般在患者每个疗程的用药前及用药中各测一次体重，如体重不准确，用药剂量过大，可发生中毒反应，过小则影响疗效</w:t>
      </w:r>
      <w:r>
        <w:rPr>
          <w:rStyle w:val="22"/>
          <w:rFonts w:hint="eastAsia"/>
          <w:lang w:val="en-US" w:eastAsia="zh-CN"/>
        </w:rPr>
        <w:t>[</w:t>
      </w:r>
      <w:r>
        <w:rPr>
          <w:rStyle w:val="22"/>
          <w:rFonts w:hint="eastAsia"/>
          <w:lang w:val="en-US" w:eastAsia="zh-CN"/>
        </w:rPr>
        <w:endnoteReference w:id="8"/>
      </w:r>
      <w:r>
        <w:rPr>
          <w:rStyle w:val="22"/>
          <w:rFonts w:hint="eastAsia"/>
          <w:lang w:val="en-US" w:eastAsia="zh-CN"/>
        </w:rPr>
        <w:t>]</w:t>
      </w:r>
      <w:r>
        <w:rPr>
          <w:rFonts w:hint="eastAsia"/>
          <w:lang w:val="en-US" w:eastAsia="zh-CN"/>
        </w:rPr>
        <w:t>。根据医嘱严格三查七对，正确溶解和稀释药物，并做到现配现用，药物在常温下保存不能超过一个小时，如果有多种药物联合使用的情况，应根据药物的性质安排先后输入的顺序，如依托伯苷与顺铂联合使用应先输注依托伯苷再输注顺铂</w:t>
      </w:r>
      <w:r>
        <w:rPr>
          <w:rStyle w:val="22"/>
          <w:rFonts w:hint="eastAsia"/>
          <w:lang w:val="en-US" w:eastAsia="zh-CN"/>
        </w:rPr>
        <w:t>[</w:t>
      </w:r>
      <w:r>
        <w:rPr>
          <w:rStyle w:val="22"/>
          <w:rFonts w:hint="eastAsia"/>
          <w:lang w:val="en-US" w:eastAsia="zh-CN"/>
        </w:rPr>
        <w:endnoteReference w:id="9"/>
      </w:r>
      <w:r>
        <w:rPr>
          <w:rStyle w:val="22"/>
          <w:rFonts w:hint="eastAsia"/>
          <w:lang w:val="en-US" w:eastAsia="zh-CN"/>
        </w:rPr>
        <w:t>]</w:t>
      </w:r>
      <w:r>
        <w:rPr>
          <w:rFonts w:hint="eastAsia"/>
          <w:lang w:val="en-US" w:eastAsia="zh-CN"/>
        </w:rPr>
        <w:t>。使用避光的药物如顺铂等药物时，需要用避光输液套或不透光的布料遮盖，尤其需要注意瓶口处。给患者使用的是留置针，也应当注意留置针处的避光。化疗的患者常有中心静脉置管，如果没有静脉置管，在穿刺时应注意不要挑选手臂内侧血管附近、手腕及肘窝处，不应该多次穿刺同一部位，不能选择术后的患肢，要应注意保护静脉，从远心端开始进行规划性穿刺，用技术将穿刺次数降低到最少。用药前，先注入少量至0.9%氯化钠溶液，用来确定软针头在静脉内部后再注入化疗药物。在化疗药物输入完成后，拔针时应采用0.9%的氯化钠溶液冲管后再进行拔针，减少化疗药物拔针时意外滴落对皮肤等部位造成损伤。化疗药对身体、静脉的刺激较大，在用药时要严格按医嘱调节液体速度，将化疗药物对身体及静脉的刺激降低；化疗药物输注期间加强巡视，观察注射部位有无异常现象，如果出现异常应立即拔针重新穿刺，在注射过程中应该严防局部药物外渗。如发现局部药物出现外渗的情况应立即停止液体输注，并立即给予局部封闭治疗，降低局部组织出现坏死的可能性。</w:t>
      </w:r>
    </w:p>
    <w:p>
      <w:pPr>
        <w:pStyle w:val="4"/>
        <w:bidi w:val="0"/>
        <w:rPr>
          <w:rFonts w:hint="eastAsia"/>
          <w:lang w:val="en-US" w:eastAsia="zh-CN"/>
        </w:rPr>
      </w:pPr>
      <w:bookmarkStart w:id="15" w:name="_Toc17252"/>
      <w:r>
        <w:rPr>
          <w:rFonts w:hint="eastAsia"/>
          <w:lang w:val="en-US" w:eastAsia="zh-CN"/>
        </w:rPr>
        <w:t>管路护理</w:t>
      </w:r>
      <w:bookmarkEnd w:id="15"/>
    </w:p>
    <w:p>
      <w:pPr>
        <w:bidi w:val="0"/>
        <w:rPr>
          <w:rFonts w:hint="eastAsia"/>
          <w:lang w:val="en-US" w:eastAsia="zh-CN"/>
        </w:rPr>
      </w:pPr>
      <w:r>
        <w:rPr>
          <w:rFonts w:hint="eastAsia"/>
          <w:lang w:val="en-US" w:eastAsia="zh-CN"/>
        </w:rPr>
        <w:t>患者入院时带有中心静脉置管一根，置管外露长度7厘米。在日常护理中，要注意观察导管的长度和穿刺部位的情况：观察看有无红肿、出血等情况，并确保穿刺部位清洁、干燥，更换敷料时应严格消毒，按无菌操作要求执行。更换时应注意不要损伤导管，接去敷料时应从周围向穿刺点撕拉，采取无张力式撕除导管贴膜，以免拔出导管。更换敷料的频率建议为每周更换敷料两次，根据中心静脉置管的固定方式等可灵活调整。在非更换敷料时，若发现敷料松动或穿刺部位异常时，应及时进行评估，有需要进行更换并消毒。用中心静脉置管时，在输液前应用20毫升注射器抽取0.9%氯化钠溶液进行冲管，确认导管通畅后再行输液，输液完成后应用20毫升注射器再抽取0.9%氯化钠溶液，以脉冲方式进行封管，当0.9%氯化钠溶液剩余约一毫升时，应一边推动一边将注射器和肝素帽接口处进行分离</w:t>
      </w:r>
      <w:r>
        <w:rPr>
          <w:rStyle w:val="22"/>
          <w:rFonts w:hint="eastAsia"/>
          <w:lang w:val="en-US" w:eastAsia="zh-CN"/>
        </w:rPr>
        <w:t>[</w:t>
      </w:r>
      <w:r>
        <w:rPr>
          <w:rStyle w:val="22"/>
          <w:rFonts w:hint="eastAsia"/>
          <w:lang w:val="en-US" w:eastAsia="zh-CN"/>
        </w:rPr>
        <w:endnoteReference w:id="10"/>
      </w:r>
      <w:r>
        <w:rPr>
          <w:rStyle w:val="22"/>
          <w:rFonts w:hint="eastAsia"/>
          <w:lang w:val="en-US" w:eastAsia="zh-CN"/>
        </w:rPr>
        <w:t>]</w:t>
      </w:r>
      <w:r>
        <w:rPr>
          <w:rFonts w:hint="eastAsia"/>
          <w:lang w:val="en-US" w:eastAsia="zh-CN"/>
        </w:rPr>
        <w:t>。据病人具体情况，可考虑采用配置好的肝素等封管液进行封管，以防止中心静脉置管内血液凝固。中心静脉置管保留时长一般为6个月，根据其材质以及留置深度方式不同，存在差异。</w:t>
      </w:r>
    </w:p>
    <w:p>
      <w:pPr>
        <w:bidi w:val="0"/>
        <w:rPr>
          <w:rFonts w:hint="eastAsia"/>
          <w:lang w:val="en-US" w:eastAsia="zh-CN"/>
        </w:rPr>
      </w:pPr>
      <w:r>
        <w:rPr>
          <w:rFonts w:hint="eastAsia"/>
          <w:lang w:val="en-US" w:eastAsia="zh-CN"/>
        </w:rPr>
        <w:t>如果患者采用的是留置针穿刺时必须严格执行无菌操作，进针速度应慢，避免穿刺失败。在送软针时不应见回血便送针，应见回血后，减小角度，沿血管前进1—2mm，再送软针，以免造成软针脱出或刺穿血管。封管时采用5毫升注射器正压脉冲式封管，针通常保留时间为3～5天，如果在化疗期间建议每日更换。</w:t>
      </w:r>
    </w:p>
    <w:p>
      <w:pPr>
        <w:pStyle w:val="4"/>
        <w:bidi w:val="0"/>
        <w:rPr>
          <w:rFonts w:hint="eastAsia"/>
          <w:lang w:val="en-US" w:eastAsia="zh-CN"/>
        </w:rPr>
      </w:pPr>
      <w:bookmarkStart w:id="16" w:name="_Toc20389"/>
      <w:r>
        <w:rPr>
          <w:rFonts w:hint="eastAsia"/>
          <w:lang w:val="en-US" w:eastAsia="zh-CN"/>
        </w:rPr>
        <w:t>对症护理</w:t>
      </w:r>
      <w:bookmarkEnd w:id="16"/>
    </w:p>
    <w:p>
      <w:pPr>
        <w:bidi w:val="0"/>
        <w:rPr>
          <w:rFonts w:hint="eastAsia"/>
          <w:lang w:val="en-US" w:eastAsia="zh-CN"/>
        </w:rPr>
      </w:pPr>
      <w:r>
        <w:rPr>
          <w:rFonts w:hint="eastAsia"/>
          <w:lang w:val="en-US" w:eastAsia="zh-CN"/>
        </w:rPr>
        <w:t>化疗药物常存在毒副作用，常见的毒副作用有消化道毒副反应，皮肤和黏膜损伤，骨髓抑制，心脏毒性、肝脏、肾和膀胱等器官的毒性反应，脱发，神经毒性反应，过敏性反应。</w:t>
      </w:r>
    </w:p>
    <w:p>
      <w:pPr>
        <w:bidi w:val="0"/>
        <w:rPr>
          <w:rFonts w:hint="eastAsia"/>
          <w:lang w:val="en-US" w:eastAsia="zh-CN"/>
        </w:rPr>
      </w:pPr>
      <w:r>
        <w:rPr>
          <w:rFonts w:hint="eastAsia"/>
          <w:lang w:val="en-US" w:eastAsia="zh-CN"/>
        </w:rPr>
        <w:t>消化道症状常表现为恶心，厌食，腹痛，腹泻，呕吐，便秘等</w:t>
      </w:r>
      <w:r>
        <w:rPr>
          <w:rStyle w:val="22"/>
          <w:rFonts w:hint="eastAsia"/>
          <w:lang w:val="en-US" w:eastAsia="zh-CN"/>
        </w:rPr>
        <w:t>[</w:t>
      </w:r>
      <w:r>
        <w:rPr>
          <w:rStyle w:val="22"/>
          <w:rFonts w:hint="eastAsia"/>
          <w:lang w:val="en-US" w:eastAsia="zh-CN"/>
        </w:rPr>
        <w:endnoteReference w:id="11"/>
      </w:r>
      <w:r>
        <w:rPr>
          <w:rStyle w:val="22"/>
          <w:rFonts w:hint="eastAsia"/>
          <w:lang w:val="en-US" w:eastAsia="zh-CN"/>
        </w:rPr>
        <w:t>]</w:t>
      </w:r>
      <w:r>
        <w:rPr>
          <w:rFonts w:hint="eastAsia"/>
          <w:lang w:val="en-US" w:eastAsia="zh-CN"/>
        </w:rPr>
        <w:t>。其出现的时长与病人的体质，接受化疗时间的长短，护理措施开始干预时间的长短等，都存在一定的关系，在进行对症处理后一般能够得到缓解</w:t>
      </w:r>
      <w:r>
        <w:rPr>
          <w:rStyle w:val="22"/>
          <w:rFonts w:hint="eastAsia"/>
          <w:lang w:val="en-US" w:eastAsia="zh-CN"/>
        </w:rPr>
        <w:t>[</w:t>
      </w:r>
      <w:r>
        <w:rPr>
          <w:rStyle w:val="22"/>
          <w:rFonts w:hint="eastAsia"/>
          <w:lang w:val="en-US" w:eastAsia="zh-CN"/>
        </w:rPr>
        <w:endnoteReference w:id="12"/>
      </w:r>
      <w:r>
        <w:rPr>
          <w:rStyle w:val="22"/>
          <w:rFonts w:hint="eastAsia"/>
          <w:lang w:val="en-US" w:eastAsia="zh-CN"/>
        </w:rPr>
        <w:t>]</w:t>
      </w:r>
      <w:r>
        <w:rPr>
          <w:rFonts w:hint="eastAsia"/>
          <w:lang w:val="en-US" w:eastAsia="zh-CN"/>
        </w:rPr>
        <w:t>。对于消化道反应，在化疗期间加大饮水量能够有效降低药物对黏膜的刺激，帮助毒素的排泄。提前使用药物，也能减轻肠道反应。在饮食上应食多餐，慢慢咀嚼，减少油腻食物摄入，多吃易消化、刺激小、维生素丰富的食物。在饭后应暂缓入睡或躺倒，在感到难受时，可尝试做深呼吸，或通过将注意力转移至其他方面来降低难受程度。</w:t>
      </w:r>
    </w:p>
    <w:p>
      <w:pPr>
        <w:bidi w:val="0"/>
        <w:rPr>
          <w:rFonts w:hint="eastAsia"/>
          <w:lang w:val="en-US" w:eastAsia="zh-CN"/>
        </w:rPr>
      </w:pPr>
      <w:r>
        <w:rPr>
          <w:rFonts w:hint="eastAsia"/>
          <w:lang w:val="en-US" w:eastAsia="zh-CN"/>
        </w:rPr>
        <w:t>化疗期间可采用生理盐水漱口的方法，来减轻发生炎症的可能性，如果发生口腔炎症后，可采用1%双氧水漱口，并遵医嘱给予对症予以治疗，如采用西瓜霜喷剂等进行局部治疗</w:t>
      </w:r>
      <w:r>
        <w:rPr>
          <w:rStyle w:val="22"/>
          <w:rFonts w:hint="eastAsia"/>
          <w:lang w:val="en-US" w:eastAsia="zh-CN"/>
        </w:rPr>
        <w:t>[</w:t>
      </w:r>
      <w:r>
        <w:rPr>
          <w:rStyle w:val="22"/>
          <w:rFonts w:hint="eastAsia"/>
          <w:lang w:val="en-US" w:eastAsia="zh-CN"/>
        </w:rPr>
        <w:endnoteReference w:id="13"/>
      </w:r>
      <w:r>
        <w:rPr>
          <w:rStyle w:val="22"/>
          <w:rFonts w:hint="eastAsia"/>
          <w:lang w:val="en-US" w:eastAsia="zh-CN"/>
        </w:rPr>
        <w:t>]</w:t>
      </w:r>
      <w:r>
        <w:rPr>
          <w:rFonts w:hint="eastAsia"/>
          <w:lang w:val="en-US" w:eastAsia="zh-CN"/>
        </w:rPr>
        <w:t>。发生口腔炎症后，采用软毛刷或棉签轻轻清洁口腔、牙齿，不应再用普通牙刷以免造成口腔粘膜损伤，如果口腔炎症导致疼痛较重，可遵医嘱适当给予普鲁卡因含漱，时进时应采用无刺激性软食</w:t>
      </w:r>
      <w:r>
        <w:rPr>
          <w:rStyle w:val="22"/>
          <w:rFonts w:hint="eastAsia"/>
          <w:lang w:val="en-US" w:eastAsia="zh-CN"/>
        </w:rPr>
        <w:t>[</w:t>
      </w:r>
      <w:r>
        <w:rPr>
          <w:rStyle w:val="22"/>
          <w:rFonts w:hint="eastAsia"/>
          <w:lang w:val="en-US" w:eastAsia="zh-CN"/>
        </w:rPr>
        <w:endnoteReference w:id="14"/>
      </w:r>
      <w:r>
        <w:rPr>
          <w:rStyle w:val="22"/>
          <w:rFonts w:hint="eastAsia"/>
          <w:lang w:val="en-US" w:eastAsia="zh-CN"/>
        </w:rPr>
        <w:t>]</w:t>
      </w:r>
      <w:r>
        <w:rPr>
          <w:rFonts w:hint="eastAsia"/>
          <w:lang w:val="en-US" w:eastAsia="zh-CN"/>
        </w:rPr>
        <w:t>。我化疗期间出现皮肤瘙痒，干涩等不适时，可以在温开水清洗后用，遵医嘱用软膏涂抹。</w:t>
      </w:r>
    </w:p>
    <w:p>
      <w:pPr>
        <w:bidi w:val="0"/>
        <w:rPr>
          <w:rFonts w:hint="eastAsia"/>
          <w:lang w:val="en-US" w:eastAsia="zh-CN"/>
        </w:rPr>
      </w:pPr>
      <w:r>
        <w:rPr>
          <w:rFonts w:hint="eastAsia"/>
          <w:lang w:val="en-US" w:eastAsia="zh-CN"/>
        </w:rPr>
        <w:t>如果患者发生绒癌的阴道转移时，应密切观察是否出现阴道出血，如果已经出现阴道出血时，根据出血点的量进行对症治疗，如发生大量出血，应立即通知医生并配合抢救。</w:t>
      </w:r>
    </w:p>
    <w:p>
      <w:pPr>
        <w:bidi w:val="0"/>
        <w:rPr>
          <w:rFonts w:hint="eastAsia"/>
          <w:lang w:val="en-US" w:eastAsia="zh-CN"/>
        </w:rPr>
      </w:pPr>
      <w:r>
        <w:rPr>
          <w:rFonts w:hint="eastAsia"/>
          <w:lang w:val="en-US" w:eastAsia="zh-CN"/>
        </w:rPr>
        <w:t>在患者入院时应对病史进行询问，如果患者曾有心脏病史在治疗用药上应特别注意预防发生心脏毒副反应。如果患者出现心脏毒副作用时，应该严格执行卧床休息制度，遵医嘱给予强心药或利尿药物，必要时遵医嘱给予心电监护应用。</w:t>
      </w:r>
    </w:p>
    <w:p>
      <w:pPr>
        <w:bidi w:val="0"/>
        <w:rPr>
          <w:rFonts w:hint="eastAsia"/>
          <w:lang w:val="en-US" w:eastAsia="zh-CN"/>
        </w:rPr>
      </w:pPr>
      <w:r>
        <w:rPr>
          <w:rFonts w:hint="eastAsia"/>
          <w:lang w:val="en-US" w:eastAsia="zh-CN"/>
        </w:rPr>
        <w:t>肝脏功能的损害表现为乏力，食欲不振，黄疸，肝区疼痛或肝大等症状</w:t>
      </w:r>
      <w:r>
        <w:rPr>
          <w:rStyle w:val="22"/>
          <w:rFonts w:hint="eastAsia"/>
          <w:lang w:val="en-US" w:eastAsia="zh-CN"/>
        </w:rPr>
        <w:t>[</w:t>
      </w:r>
      <w:r>
        <w:rPr>
          <w:rStyle w:val="22"/>
          <w:rFonts w:hint="eastAsia"/>
          <w:lang w:val="en-US" w:eastAsia="zh-CN"/>
        </w:rPr>
        <w:endnoteReference w:id="15"/>
      </w:r>
      <w:r>
        <w:rPr>
          <w:rStyle w:val="22"/>
          <w:rFonts w:hint="eastAsia"/>
          <w:lang w:val="en-US" w:eastAsia="zh-CN"/>
        </w:rPr>
        <w:t>]</w:t>
      </w:r>
      <w:r>
        <w:rPr>
          <w:rFonts w:hint="eastAsia"/>
          <w:lang w:val="en-US" w:eastAsia="zh-CN"/>
        </w:rPr>
        <w:t>。在患者入院时为达到最好疗效以及避免肝功能损害，应对患者体重进行记录，并根据患者体重计算用药量以减轻毒副作用对肝的损害，定期复查肝功能，当肝功能出现损害时，应及时停止使用导致肝损害的药物，并且遵医嘱给予保肝药的应用。</w:t>
      </w:r>
    </w:p>
    <w:p>
      <w:pPr>
        <w:bidi w:val="0"/>
        <w:rPr>
          <w:rFonts w:hint="eastAsia"/>
          <w:lang w:val="en-US" w:eastAsia="zh-CN"/>
        </w:rPr>
      </w:pPr>
      <w:r>
        <w:rPr>
          <w:rFonts w:hint="eastAsia"/>
          <w:lang w:val="en-US" w:eastAsia="zh-CN"/>
        </w:rPr>
        <w:t>神经毒性反应早期常表现为肢体麻木或者肌无力</w:t>
      </w:r>
      <w:r>
        <w:rPr>
          <w:rStyle w:val="22"/>
          <w:rFonts w:hint="eastAsia"/>
          <w:lang w:val="en-US" w:eastAsia="zh-CN"/>
        </w:rPr>
        <w:t>[</w:t>
      </w:r>
      <w:r>
        <w:rPr>
          <w:rStyle w:val="22"/>
          <w:rFonts w:hint="eastAsia"/>
          <w:lang w:val="en-US" w:eastAsia="zh-CN"/>
        </w:rPr>
        <w:endnoteReference w:id="16"/>
      </w:r>
      <w:r>
        <w:rPr>
          <w:rStyle w:val="22"/>
          <w:rFonts w:hint="eastAsia"/>
          <w:lang w:val="en-US" w:eastAsia="zh-CN"/>
        </w:rPr>
        <w:t>]</w:t>
      </w:r>
      <w:r>
        <w:rPr>
          <w:rFonts w:hint="eastAsia"/>
          <w:lang w:val="en-US" w:eastAsia="zh-CN"/>
        </w:rPr>
        <w:t>。化疗药物有可能会导致患者咽喉部感觉降低，甚至导致呼吸及吞咽困难，对此患者应警惕患者发生呛咳、窒息等风险。发现患者出现毒副神经毒副反应时，遵医嘱应用营养神经药物。</w:t>
      </w:r>
    </w:p>
    <w:p>
      <w:pPr>
        <w:pStyle w:val="4"/>
        <w:bidi w:val="0"/>
        <w:rPr>
          <w:rFonts w:hint="eastAsia"/>
          <w:lang w:val="en-US" w:eastAsia="zh-CN"/>
        </w:rPr>
      </w:pPr>
      <w:bookmarkStart w:id="17" w:name="_Toc3445"/>
      <w:r>
        <w:rPr>
          <w:rFonts w:hint="eastAsia"/>
          <w:lang w:val="en-US" w:eastAsia="zh-CN"/>
        </w:rPr>
        <w:t>心理护理</w:t>
      </w:r>
      <w:bookmarkEnd w:id="17"/>
    </w:p>
    <w:p>
      <w:pPr>
        <w:bidi w:val="0"/>
        <w:rPr>
          <w:rFonts w:hint="eastAsia"/>
          <w:lang w:val="en-US" w:eastAsia="zh-CN"/>
        </w:rPr>
      </w:pPr>
      <w:r>
        <w:rPr>
          <w:rFonts w:hint="eastAsia"/>
          <w:lang w:val="en-US" w:eastAsia="zh-CN"/>
        </w:rPr>
        <w:t>化疗患者心理负担非常较为沉重，一方面来自经济压力和疾病的久治未愈，另一方面则来自自我形象的紊乱。化疗患者化疗药的毒副作用常导致化疗患者有脱发现象。对此应在使用化疗药前与患者进行充分沟通并给出建议，如告知患者可通过佩戴假发等形式改善形象，以此来降低患者对化疗药物的抵触情绪，增加心理信心。癌症患者常终身服药，因此对于疾病的久治未愈，需与患者多次沟通，关于患者了解倾听患者心中的担忧，帮助患者消除对终身服药的抗拒。患者的心理问题来自对于经济的压力。在此时当与患者沟通时，应尽量避免经济话题的探讨。</w:t>
      </w:r>
    </w:p>
    <w:p>
      <w:pPr>
        <w:pStyle w:val="4"/>
        <w:bidi w:val="0"/>
        <w:rPr>
          <w:rFonts w:hint="eastAsia"/>
          <w:lang w:val="en-US" w:eastAsia="zh-CN"/>
        </w:rPr>
      </w:pPr>
      <w:bookmarkStart w:id="18" w:name="_Toc11069"/>
      <w:r>
        <w:rPr>
          <w:rFonts w:hint="eastAsia"/>
          <w:lang w:val="en-US" w:eastAsia="zh-CN"/>
        </w:rPr>
        <w:t>饮食护理</w:t>
      </w:r>
      <w:bookmarkEnd w:id="18"/>
    </w:p>
    <w:p>
      <w:pPr>
        <w:bidi w:val="0"/>
        <w:rPr>
          <w:rFonts w:hint="eastAsia"/>
          <w:lang w:val="en-US" w:eastAsia="zh-CN"/>
        </w:rPr>
      </w:pPr>
      <w:r>
        <w:rPr>
          <w:rFonts w:hint="eastAsia"/>
          <w:lang w:val="en-US" w:eastAsia="zh-CN"/>
        </w:rPr>
        <w:t>患者的饮食可大致分为三个阶段，分别为：化疗前、化疗中和化疗间隙。在化疗前每日进食应有所增加，注意保持营养平衡，膳食多样化，但不能盲目进食高蛋白、高热量食物，以免肥胖，消化不良或加重肝、肾等内脏负担。在化疗当天应该提前吃早饭，并且向后推迟晚饭进食时间拉开反应时间，以减轻恶心呕吐等消化道症状。在化疗期间可以多饮水或饮料，以减轻药物对消化道黏膜的刺激，加快毒素的排泄。喝水与进食应分开，采取少量多次的方式，速度不宜过快，温度应适中。两次化疗间隙时，此时已经历过胃肠道反应，应该加强营养，适当予以高蛋白、高热量、高维生素的饮食，用以促进机体的恢复，并且多选用健脾养胃的食物，对于进食不足者，特别要注意防止营养不足，如果需要时可遵医嘱采取肠内或肠外营养支持</w:t>
      </w:r>
      <w:r>
        <w:rPr>
          <w:rStyle w:val="22"/>
          <w:rFonts w:hint="eastAsia"/>
          <w:lang w:val="en-US" w:eastAsia="zh-CN"/>
        </w:rPr>
        <w:t>[</w:t>
      </w:r>
      <w:r>
        <w:rPr>
          <w:rStyle w:val="22"/>
          <w:rFonts w:hint="eastAsia"/>
          <w:lang w:val="en-US" w:eastAsia="zh-CN"/>
        </w:rPr>
        <w:endnoteReference w:id="17"/>
      </w:r>
      <w:r>
        <w:rPr>
          <w:rStyle w:val="22"/>
          <w:rFonts w:hint="eastAsia"/>
          <w:lang w:val="en-US" w:eastAsia="zh-CN"/>
        </w:rPr>
        <w:t>]</w:t>
      </w:r>
      <w:r>
        <w:rPr>
          <w:rFonts w:hint="eastAsia"/>
          <w:lang w:val="en-US" w:eastAsia="zh-CN"/>
        </w:rPr>
        <w:t>。</w:t>
      </w:r>
    </w:p>
    <w:p>
      <w:pPr>
        <w:pStyle w:val="4"/>
        <w:bidi w:val="0"/>
        <w:rPr>
          <w:rFonts w:hint="eastAsia"/>
          <w:lang w:val="en-US" w:eastAsia="zh-CN"/>
        </w:rPr>
      </w:pPr>
      <w:bookmarkStart w:id="19" w:name="_Toc3950"/>
      <w:r>
        <w:rPr>
          <w:rFonts w:hint="eastAsia"/>
          <w:lang w:val="en-US" w:eastAsia="zh-CN"/>
        </w:rPr>
        <w:t>健康教育</w:t>
      </w:r>
      <w:bookmarkEnd w:id="19"/>
    </w:p>
    <w:p>
      <w:pPr>
        <w:bidi w:val="0"/>
        <w:rPr>
          <w:rFonts w:hint="eastAsia"/>
          <w:lang w:val="en-US" w:eastAsia="zh-CN"/>
        </w:rPr>
      </w:pPr>
      <w:r>
        <w:rPr>
          <w:rFonts w:hint="eastAsia"/>
          <w:lang w:val="en-US" w:eastAsia="zh-CN"/>
        </w:rPr>
        <w:t>告知患者家属患者化疗后身体较为虚弱，需要休息尽量采取一人陪护，以避免频繁走动，影响病人休息。化疗后病人抵抗力下降，如果陪护人员太多，也会增加空气中含菌量，导致病人感染。化疗前，要注意放松心情，时充足的睡眠，以良好的心态应对，实在入睡困难，可遵医嘱服用药物，或者出院后需定期复查。</w:t>
      </w:r>
    </w:p>
    <w:p>
      <w:pPr>
        <w:pStyle w:val="2"/>
        <w:bidi w:val="0"/>
        <w:rPr>
          <w:rFonts w:hint="eastAsia"/>
          <w:lang w:val="en-US" w:eastAsia="zh-CN"/>
        </w:rPr>
      </w:pPr>
      <w:bookmarkStart w:id="20" w:name="_Toc8364"/>
      <w:r>
        <w:rPr>
          <w:rFonts w:hint="eastAsia"/>
          <w:lang w:val="en-US" w:eastAsia="zh-CN"/>
        </w:rPr>
        <w:t>讨论</w:t>
      </w:r>
      <w:bookmarkEnd w:id="20"/>
    </w:p>
    <w:p>
      <w:pPr>
        <w:bidi w:val="0"/>
        <w:rPr>
          <w:rFonts w:hint="eastAsia"/>
          <w:lang w:val="en-US" w:eastAsia="zh-CN"/>
        </w:rPr>
      </w:pPr>
      <w:r>
        <w:rPr>
          <w:rFonts w:hint="eastAsia"/>
          <w:lang w:val="en-US" w:eastAsia="zh-CN"/>
        </w:rPr>
        <w:t>绒癌是发生在女性患者身上的一种癌症，不分年龄常发生于妊娠后。如果不幸患上绒癌，对患者的打击是极大的</w:t>
      </w:r>
      <w:r>
        <w:rPr>
          <w:rStyle w:val="22"/>
          <w:rFonts w:hint="eastAsia"/>
          <w:lang w:val="en-US" w:eastAsia="zh-CN"/>
        </w:rPr>
        <w:t>[</w:t>
      </w:r>
      <w:r>
        <w:rPr>
          <w:rStyle w:val="22"/>
          <w:rFonts w:hint="eastAsia"/>
          <w:lang w:val="en-US" w:eastAsia="zh-CN"/>
        </w:rPr>
        <w:endnoteReference w:id="18"/>
      </w:r>
      <w:r>
        <w:rPr>
          <w:rStyle w:val="22"/>
          <w:rFonts w:hint="eastAsia"/>
          <w:lang w:val="en-US" w:eastAsia="zh-CN"/>
        </w:rPr>
        <w:t>]</w:t>
      </w:r>
      <w:r>
        <w:rPr>
          <w:rFonts w:hint="eastAsia"/>
          <w:lang w:val="en-US" w:eastAsia="zh-CN"/>
        </w:rPr>
        <w:t>。如本病例中的患者年仅18岁当患上绒癌后，并对它造成的是一个双重打击，首先是身体上癌症的消耗以及化疗药的应用会对患者本人的身体造成长期慢</w:t>
      </w:r>
      <w:r>
        <w:rPr>
          <w:rStyle w:val="26"/>
          <w:rFonts w:hint="eastAsia"/>
          <w:lang w:val="en-US" w:eastAsia="zh-CN"/>
        </w:rPr>
        <w:t>性的影响，其次是对患者心理上的摧残。在面对绒癌患者时，我们要</w:t>
      </w:r>
      <w:r>
        <w:rPr>
          <w:rFonts w:hint="eastAsia"/>
          <w:lang w:val="en-US" w:eastAsia="zh-CN"/>
        </w:rPr>
        <w:t>考虑的不仅仅是一时的治愈，而是要考虑这个患者在之后的生活中该如何生活，怎样将对生活的影响降到最低。比如这个患者我们在对其进行护理时，不仅要注重基础护理还要特别关注是患者的自身形象，患者的年龄较小，对自身形象看重。因此在日常输液等操作中，我们要特别注意防止对其皮肤造成二次损伤，尽量减少外部创伤小的操作。如果患者在意脱发问题，我们应逐步引导其接受，并且告知患者可以通过戴假发、戴帽子等方式遮挡。患者年龄较小，日后的生活还有很长的路，我们在对其进行技术操作时，应该常与患者沟通疏导患者心理问题。在实行每一个技术操作，前做到对自己的严格要求，坚决不能由于个人原因对患者造成负担。</w:t>
      </w:r>
    </w:p>
    <w:p>
      <w:pPr>
        <w:bidi w:val="0"/>
        <w:rPr>
          <w:rFonts w:hint="eastAsia"/>
          <w:lang w:val="en-US" w:eastAsia="zh-CN"/>
        </w:rPr>
      </w:pPr>
      <w:r>
        <w:rPr>
          <w:rFonts w:hint="eastAsia"/>
          <w:lang w:val="en-US" w:eastAsia="zh-CN"/>
        </w:rPr>
        <w:t>随着科技的发展，现代绒癌的治愈率已经大大提高。我们所能做到的就是在化疗过程中密切观察患者生命体征变化，帮助患者度过毒副反应带来的困难时期，以及对患者进行心理疏导，增加患者对于疾病的接受程度</w:t>
      </w:r>
      <w:r>
        <w:rPr>
          <w:rStyle w:val="22"/>
          <w:rFonts w:hint="eastAsia"/>
          <w:lang w:val="en-US" w:eastAsia="zh-CN"/>
        </w:rPr>
        <w:t>[</w:t>
      </w:r>
      <w:r>
        <w:rPr>
          <w:rStyle w:val="22"/>
          <w:rFonts w:hint="eastAsia"/>
          <w:lang w:val="en-US" w:eastAsia="zh-CN"/>
        </w:rPr>
        <w:endnoteReference w:id="19"/>
      </w:r>
      <w:r>
        <w:rPr>
          <w:rStyle w:val="22"/>
          <w:rFonts w:hint="eastAsia"/>
          <w:lang w:val="en-US" w:eastAsia="zh-CN"/>
        </w:rPr>
        <w:t>]</w:t>
      </w:r>
      <w:r>
        <w:rPr>
          <w:rFonts w:hint="eastAsia"/>
          <w:lang w:val="en-US" w:eastAsia="zh-CN"/>
        </w:rPr>
        <w:t>。随着治疗的逐步进行，患者的生命体征逐步走向稳定；化疗的毒副作用在进行预防后仍有一部分出现，但遵医嘱对症处理后，能够得到有效缓解；患者刚入院时对于疾病接受程度非常低，焦虑恐惧等负面心理异常严重，在对患者进行疏导后，能够感觉到患者对绒癌的接受程度已经有所提升，内心逐步走向稳定。</w:t>
      </w:r>
    </w:p>
    <w:p>
      <w:pPr>
        <w:pStyle w:val="2"/>
        <w:bidi w:val="0"/>
        <w:ind w:left="432" w:leftChars="0" w:hanging="432" w:firstLineChars="0"/>
        <w:rPr>
          <w:rFonts w:hint="eastAsia"/>
          <w:lang w:val="en-US" w:eastAsia="zh-CN"/>
        </w:rPr>
      </w:pPr>
      <w:bookmarkStart w:id="21" w:name="_Toc4147"/>
      <w:r>
        <w:rPr>
          <w:rFonts w:hint="eastAsia"/>
          <w:lang w:val="en-US" w:eastAsia="zh-CN"/>
        </w:rPr>
        <w:t>小结</w:t>
      </w:r>
      <w:bookmarkEnd w:id="21"/>
    </w:p>
    <w:p>
      <w:pPr>
        <w:rPr>
          <w:rFonts w:hint="eastAsia"/>
          <w:lang w:val="en-US" w:eastAsia="zh-CN"/>
        </w:rPr>
      </w:pPr>
      <w:r>
        <w:rPr>
          <w:rFonts w:hint="eastAsia"/>
          <w:lang w:val="en-US" w:eastAsia="zh-CN"/>
        </w:rPr>
        <w:t>在对</w:t>
      </w:r>
      <w:r>
        <w:t>一例绒癌化疗患者</w:t>
      </w:r>
      <w:r>
        <w:rPr>
          <w:rFonts w:hint="eastAsia"/>
          <w:lang w:val="en-US" w:eastAsia="zh-CN"/>
        </w:rPr>
        <w:t>进行</w:t>
      </w:r>
      <w:r>
        <w:t>毒副反应防治的护理</w:t>
      </w:r>
      <w:r>
        <w:rPr>
          <w:rFonts w:hint="eastAsia"/>
          <w:lang w:val="en-US" w:eastAsia="zh-CN"/>
        </w:rPr>
        <w:t>后，患者好转出院。患者在院期间对毒副作用进行对症处理后，毒副症状有所减轻，生命体征最终能够达到较为平稳状态，情绪能够相对稳定，在患者出院时，对患者及其家属进行相应的知识宣教，患者及其家属对宣教内容掌握程度尚可。在患者出院后进行电话随访，无特殊不适主诉，精神心理状态均良好</w:t>
      </w:r>
      <w:r>
        <w:rPr>
          <w:rStyle w:val="22"/>
          <w:rFonts w:hint="eastAsia"/>
          <w:lang w:val="en-US" w:eastAsia="zh-CN"/>
        </w:rPr>
        <w:t>[</w:t>
      </w:r>
      <w:r>
        <w:rPr>
          <w:rStyle w:val="22"/>
          <w:rFonts w:hint="eastAsia"/>
          <w:lang w:val="en-US" w:eastAsia="zh-CN"/>
        </w:rPr>
        <w:endnoteReference w:id="20"/>
      </w:r>
      <w:r>
        <w:rPr>
          <w:rStyle w:val="22"/>
          <w:rFonts w:hint="eastAsia"/>
          <w:lang w:val="en-US" w:eastAsia="zh-CN"/>
        </w:rPr>
        <w:t>]</w:t>
      </w:r>
      <w:r>
        <w:rPr>
          <w:rFonts w:hint="eastAsia"/>
          <w:lang w:val="en-US" w:eastAsia="zh-CN"/>
        </w:rPr>
        <w:t>。</w:t>
      </w:r>
      <w:r>
        <w:rPr>
          <w:rFonts w:hint="eastAsia"/>
          <w:lang w:val="en-US" w:eastAsia="zh-CN"/>
        </w:rPr>
        <w:br w:type="page"/>
      </w:r>
    </w:p>
    <w:p>
      <w:pPr>
        <w:bidi w:val="0"/>
        <w:jc w:val="center"/>
        <w:outlineLvl w:val="0"/>
        <w:rPr>
          <w:rFonts w:hint="eastAsia"/>
          <w:b/>
          <w:bCs/>
          <w:sz w:val="44"/>
          <w:szCs w:val="44"/>
          <w:lang w:val="en-US" w:eastAsia="zh-CN"/>
        </w:rPr>
      </w:pPr>
      <w:bookmarkStart w:id="22" w:name="_Toc456"/>
      <w:r>
        <w:rPr>
          <w:rFonts w:hint="eastAsia"/>
          <w:b/>
          <w:bCs/>
          <w:sz w:val="44"/>
          <w:szCs w:val="44"/>
          <w:lang w:val="en-US" w:eastAsia="zh-CN"/>
        </w:rPr>
        <w:t>参考文献</w:t>
      </w:r>
      <w:bookmarkEnd w:id="22"/>
    </w:p>
    <w:p>
      <w:pPr>
        <w:bidi w:val="0"/>
        <w:jc w:val="center"/>
        <w:rPr>
          <w:rFonts w:hint="default"/>
          <w:b/>
          <w:bCs/>
          <w:sz w:val="44"/>
          <w:szCs w:val="44"/>
          <w:lang w:val="en-US" w:eastAsia="zh-CN"/>
        </w:rPr>
      </w:pPr>
    </w:p>
    <w:sectPr>
      <w:footerReference r:id="rId13" w:type="default"/>
      <w:endnotePr>
        <w:numFmt w:val="decimal"/>
      </w:endnotePr>
      <w:pgSz w:w="11906" w:h="16838"/>
      <w:pgMar w:top="1417" w:right="1417" w:bottom="1417" w:left="1701" w:header="851" w:footer="992" w:gutter="0"/>
      <w:pgNumType w:fmt="decimal" w:start="1"/>
      <w:cols w:space="0" w:num="1"/>
      <w:rtlGutter w:val="0"/>
      <w:docGrid w:type="lines" w:linePitch="38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2">
    <w:p>
      <w:pPr>
        <w:spacing w:line="240" w:lineRule="auto"/>
        <w:ind w:firstLine="560"/>
      </w:pPr>
    </w:p>
  </w:endnote>
  <w:endnote w:type="continuationSeparator" w:id="43">
    <w:p>
      <w:pPr>
        <w:spacing w:line="240" w:lineRule="auto"/>
        <w:ind w:firstLine="560"/>
      </w:pPr>
    </w:p>
  </w:endnote>
  <w:endnote w:id="0">
    <w:p>
      <w:pPr>
        <w:pStyle w:val="12"/>
        <w:snapToGrid w:val="0"/>
      </w:pPr>
      <w:r>
        <w:rPr>
          <w:rStyle w:val="22"/>
        </w:rPr>
        <w:t>[</w:t>
      </w:r>
      <w:r>
        <w:rPr>
          <w:rStyle w:val="22"/>
        </w:rPr>
        <w:endnoteRef/>
      </w:r>
      <w:r>
        <w:rPr>
          <w:rStyle w:val="22"/>
        </w:rPr>
        <w:t>]</w:t>
      </w:r>
      <w:r>
        <w:t xml:space="preserve"> </w:t>
      </w:r>
      <w:r>
        <w:rPr>
          <w:rFonts w:hint="eastAsia"/>
        </w:rPr>
        <w:t>中国抗癌协会妇科肿瘤专业委员会.妊娠滋养细胞疾病诊断与治疗指南（2021年版）[J].中国癌症杂志,2021,31(06):520-532.</w:t>
      </w:r>
    </w:p>
  </w:endnote>
  <w:endnote w:id="1">
    <w:p>
      <w:pPr>
        <w:pStyle w:val="12"/>
        <w:bidi w:val="0"/>
        <w:rPr>
          <w:rFonts w:hint="default"/>
          <w:lang w:val="en-US" w:eastAsia="zh-CN"/>
        </w:rPr>
      </w:pPr>
      <w:r>
        <w:rPr>
          <w:rStyle w:val="22"/>
        </w:rPr>
        <w:t>[</w:t>
      </w:r>
      <w:r>
        <w:rPr>
          <w:rStyle w:val="22"/>
        </w:rPr>
        <w:endnoteRef/>
      </w:r>
      <w:r>
        <w:rPr>
          <w:rStyle w:val="22"/>
        </w:rPr>
        <w:t>]</w:t>
      </w:r>
      <w:r>
        <w:t xml:space="preserve"> 范思斯</w:t>
      </w:r>
      <w:r>
        <w:rPr>
          <w:rFonts w:hint="eastAsia"/>
          <w:lang w:val="en-US" w:eastAsia="zh-CN"/>
        </w:rPr>
        <w:t>,</w:t>
      </w:r>
      <w:r>
        <w:t>潘玫</w:t>
      </w:r>
      <w:r>
        <w:rPr>
          <w:rFonts w:hint="eastAsia"/>
          <w:lang w:val="en-US" w:eastAsia="zh-CN"/>
        </w:rPr>
        <w:t>.产后绒癌化疗26例分析[J].实用妇产科杂志,2013,19(11):873-875.</w:t>
      </w:r>
    </w:p>
  </w:endnote>
  <w:endnote w:id="2">
    <w:p>
      <w:pPr>
        <w:pStyle w:val="12"/>
        <w:bidi w:val="0"/>
      </w:pPr>
      <w:r>
        <w:rPr>
          <w:rStyle w:val="22"/>
        </w:rPr>
        <w:t>[</w:t>
      </w:r>
      <w:r>
        <w:rPr>
          <w:rStyle w:val="22"/>
        </w:rPr>
        <w:endnoteRef/>
      </w:r>
      <w:r>
        <w:rPr>
          <w:rStyle w:val="22"/>
        </w:rPr>
        <w:t>]</w:t>
      </w:r>
      <w:r>
        <w:t xml:space="preserve"> 欧阳群芳，郑春茂．联合化疗方案的序贯给药顺序及 379 份调查实例点评与 分析[J]．中国医院药学杂志.</w:t>
      </w:r>
    </w:p>
  </w:endnote>
  <w:endnote w:id="3">
    <w:p>
      <w:pPr>
        <w:pStyle w:val="12"/>
        <w:snapToGrid w:val="0"/>
      </w:pPr>
      <w:r>
        <w:rPr>
          <w:rStyle w:val="22"/>
        </w:rPr>
        <w:t>[</w:t>
      </w:r>
      <w:r>
        <w:rPr>
          <w:rStyle w:val="22"/>
        </w:rPr>
        <w:endnoteRef/>
      </w:r>
      <w:r>
        <w:rPr>
          <w:rStyle w:val="22"/>
        </w:rPr>
        <w:t>]</w:t>
      </w:r>
      <w:r>
        <w:t xml:space="preserve"> </w:t>
      </w:r>
      <w:r>
        <w:rPr>
          <w:rFonts w:hint="eastAsia"/>
        </w:rPr>
        <w:t>王丽娟,林海雪,林仲秋.《2022 NCCN妊娠滋养细胞肿瘤临床实践指南（第1版）》解读[J].中国实用妇科与产科杂志,2022,38(01):78-84.</w:t>
      </w:r>
    </w:p>
  </w:endnote>
  <w:endnote w:id="4">
    <w:p>
      <w:pPr>
        <w:pStyle w:val="12"/>
        <w:snapToGrid w:val="0"/>
        <w:rPr>
          <w:rFonts w:hint="eastAsia" w:eastAsia="宋体"/>
          <w:lang w:val="en-US" w:eastAsia="zh-CN"/>
        </w:rPr>
      </w:pPr>
      <w:r>
        <w:rPr>
          <w:rStyle w:val="22"/>
        </w:rPr>
        <w:t>[</w:t>
      </w:r>
      <w:r>
        <w:rPr>
          <w:rStyle w:val="22"/>
        </w:rPr>
        <w:endnoteRef/>
      </w:r>
      <w:r>
        <w:rPr>
          <w:rStyle w:val="22"/>
        </w:rPr>
        <w:t>]</w:t>
      </w:r>
      <w:r>
        <w:t xml:space="preserve"> </w:t>
      </w:r>
      <w:r>
        <w:rPr>
          <w:rFonts w:hint="eastAsia"/>
          <w:lang w:val="en-US" w:eastAsia="zh-CN"/>
        </w:rPr>
        <w:t>SuYJ,ZouY.Tunor after chemotherapy IV myelosuppres-sion clinical anlyis[J].Chin J Med Guide(中国医药导刊).2013,15(7):1136-1137.</w:t>
      </w:r>
    </w:p>
  </w:endnote>
  <w:endnote w:id="5">
    <w:p>
      <w:pPr>
        <w:pStyle w:val="12"/>
        <w:bidi w:val="0"/>
      </w:pPr>
      <w:r>
        <w:rPr>
          <w:rStyle w:val="22"/>
        </w:rPr>
        <w:t>[</w:t>
      </w:r>
      <w:r>
        <w:rPr>
          <w:rStyle w:val="22"/>
        </w:rPr>
        <w:endnoteRef/>
      </w:r>
      <w:r>
        <w:rPr>
          <w:rStyle w:val="22"/>
        </w:rPr>
        <w:t>]</w:t>
      </w:r>
      <w:r>
        <w:t xml:space="preserve"> </w:t>
      </w:r>
      <w:r>
        <w:rPr>
          <w:rStyle w:val="30"/>
          <w:rFonts w:hint="eastAsia" w:cs="Times New Roman"/>
        </w:rPr>
        <w:t>杨晓阳,万梦婕,王智明.成人血小板减少症的分级诊疗建议[J].新医学,2018,49(10):695-699.</w:t>
      </w:r>
    </w:p>
  </w:endnote>
  <w:endnote w:id="6">
    <w:p>
      <w:pPr>
        <w:pStyle w:val="12"/>
        <w:snapToGrid w:val="0"/>
      </w:pPr>
      <w:r>
        <w:rPr>
          <w:rStyle w:val="22"/>
        </w:rPr>
        <w:t>[</w:t>
      </w:r>
      <w:r>
        <w:rPr>
          <w:rStyle w:val="22"/>
        </w:rPr>
        <w:endnoteRef/>
      </w:r>
      <w:r>
        <w:rPr>
          <w:rStyle w:val="22"/>
        </w:rPr>
        <w:t>]</w:t>
      </w:r>
      <w:r>
        <w:t xml:space="preserve"> </w:t>
      </w:r>
      <w:r>
        <w:rPr>
          <w:rStyle w:val="30"/>
          <w:rFonts w:hint="eastAsia" w:cs="Times New Roman"/>
        </w:rPr>
        <w:t>王丽娟,李睿歆,林仲秋.2021 FIGO《妊娠滋养细胞疾病诊治指南》解读[J].中国实用妇科与产科杂志,2022,38(02):181-185.</w:t>
      </w:r>
    </w:p>
  </w:endnote>
  <w:endnote w:id="7">
    <w:p>
      <w:pPr>
        <w:pStyle w:val="12"/>
        <w:bidi w:val="0"/>
      </w:pPr>
      <w:r>
        <w:rPr>
          <w:rStyle w:val="22"/>
        </w:rPr>
        <w:t>[</w:t>
      </w:r>
      <w:r>
        <w:rPr>
          <w:rStyle w:val="22"/>
        </w:rPr>
        <w:endnoteRef/>
      </w:r>
      <w:r>
        <w:rPr>
          <w:rStyle w:val="22"/>
        </w:rPr>
        <w:t>]</w:t>
      </w:r>
      <w:r>
        <w:rPr>
          <w:rStyle w:val="30"/>
          <w:rFonts w:cs="Times New Roman"/>
        </w:rPr>
        <w:t xml:space="preserve"> </w:t>
      </w:r>
      <w:r>
        <w:rPr>
          <w:rStyle w:val="30"/>
          <w:rFonts w:hint="eastAsia" w:cs="Times New Roman"/>
        </w:rPr>
        <w:t>向阳,周琦,吴小华,刘继红,李力,朱笕青,白萍,盛修贵.妊娠滋养细胞疾病诊断与治疗指南(第四版)[J].中国实用妇科与产科杂志,2018,34(09):994-1001.</w:t>
      </w:r>
    </w:p>
  </w:endnote>
  <w:endnote w:id="8">
    <w:p>
      <w:pPr>
        <w:pStyle w:val="12"/>
        <w:snapToGrid w:val="0"/>
        <w:rPr>
          <w:rFonts w:hint="eastAsia"/>
          <w:lang w:val="en-US" w:eastAsia="zh-CN"/>
        </w:rPr>
      </w:pPr>
      <w:r>
        <w:rPr>
          <w:rStyle w:val="22"/>
        </w:rPr>
        <w:t>[</w:t>
      </w:r>
      <w:r>
        <w:rPr>
          <w:rStyle w:val="22"/>
        </w:rPr>
        <w:endnoteRef/>
      </w:r>
      <w:r>
        <w:rPr>
          <w:rStyle w:val="22"/>
        </w:rPr>
        <w:t>]</w:t>
      </w:r>
      <w:r>
        <w:rPr>
          <w:rFonts w:hint="eastAsia"/>
          <w:lang w:val="en-US" w:eastAsia="zh-CN"/>
        </w:rPr>
        <w:t xml:space="preserve"> Mubarak A. Alamri,Ahmed D. Alafnan. Computational Exploration of Potential Polo-Like Kinase 1 Inhibitors as New Chemotherapeutic Agents[J]. Journal of Pharmaceutical Research International,2020.</w:t>
      </w:r>
    </w:p>
  </w:endnote>
  <w:endnote w:id="9">
    <w:p>
      <w:pPr>
        <w:pStyle w:val="12"/>
        <w:snapToGrid w:val="0"/>
        <w:rPr>
          <w:rStyle w:val="30"/>
          <w:rFonts w:hint="eastAsia" w:cs="Times New Roman"/>
        </w:rPr>
      </w:pPr>
      <w:r>
        <w:rPr>
          <w:rStyle w:val="22"/>
        </w:rPr>
        <w:t>[</w:t>
      </w:r>
      <w:r>
        <w:rPr>
          <w:rStyle w:val="22"/>
        </w:rPr>
        <w:endnoteRef/>
      </w:r>
      <w:r>
        <w:rPr>
          <w:rStyle w:val="22"/>
        </w:rPr>
        <w:t>]</w:t>
      </w:r>
      <w:r>
        <w:t xml:space="preserve"> </w:t>
      </w:r>
      <w:r>
        <w:rPr>
          <w:rStyle w:val="30"/>
          <w:rFonts w:hint="eastAsia" w:cs="Times New Roman"/>
        </w:rPr>
        <w:t>吴莹芳,周金花,刘幼芳.静脉用药调配中心特殊剂量化疗药物的配置体会[J].海峡药学,2019,31(10):245-247.</w:t>
      </w:r>
    </w:p>
  </w:endnote>
  <w:endnote w:id="10">
    <w:p>
      <w:pPr>
        <w:pStyle w:val="12"/>
        <w:snapToGrid w:val="0"/>
      </w:pPr>
      <w:r>
        <w:rPr>
          <w:rStyle w:val="22"/>
        </w:rPr>
        <w:t>[</w:t>
      </w:r>
      <w:r>
        <w:rPr>
          <w:rStyle w:val="22"/>
        </w:rPr>
        <w:endnoteRef/>
      </w:r>
      <w:r>
        <w:rPr>
          <w:rStyle w:val="22"/>
        </w:rPr>
        <w:t>]</w:t>
      </w:r>
      <w:r>
        <w:t xml:space="preserve"> </w:t>
      </w:r>
      <w:r>
        <w:rPr>
          <w:rFonts w:hint="eastAsia"/>
        </w:rPr>
        <w:t>钟莉慧,许婷,杨秋香.纯肝素与肝素盐水用于血液透析患者中心静脉置管封管效果比较[J].山东医药,2015,55(07):104-105.</w:t>
      </w:r>
    </w:p>
  </w:endnote>
  <w:endnote w:id="11">
    <w:p>
      <w:pPr>
        <w:pStyle w:val="12"/>
        <w:snapToGrid w:val="0"/>
      </w:pPr>
      <w:r>
        <w:rPr>
          <w:rStyle w:val="22"/>
        </w:rPr>
        <w:t>[</w:t>
      </w:r>
      <w:r>
        <w:rPr>
          <w:rStyle w:val="22"/>
        </w:rPr>
        <w:endnoteRef/>
      </w:r>
      <w:r>
        <w:rPr>
          <w:rStyle w:val="22"/>
        </w:rPr>
        <w:t>]</w:t>
      </w:r>
      <w:r>
        <w:t xml:space="preserve"> </w:t>
      </w:r>
      <w:r>
        <w:rPr>
          <w:rFonts w:hint="eastAsia"/>
        </w:rPr>
        <w:t>谭景予,陈锦秀,刘贤亮,张敏.化疗致消化道毒性反应的临床护理实践方案[J].护士进修杂志,2012,27(11):972-975.</w:t>
      </w:r>
    </w:p>
  </w:endnote>
  <w:endnote w:id="12">
    <w:p>
      <w:pPr>
        <w:pStyle w:val="12"/>
        <w:snapToGrid w:val="0"/>
      </w:pPr>
      <w:r>
        <w:rPr>
          <w:rStyle w:val="22"/>
        </w:rPr>
        <w:t>[</w:t>
      </w:r>
      <w:r>
        <w:rPr>
          <w:rStyle w:val="22"/>
        </w:rPr>
        <w:endnoteRef/>
      </w:r>
      <w:r>
        <w:rPr>
          <w:rStyle w:val="22"/>
        </w:rPr>
        <w:t>]</w:t>
      </w:r>
      <w:r>
        <w:t xml:space="preserve"> </w:t>
      </w:r>
      <w:r>
        <w:rPr>
          <w:rFonts w:hint="eastAsia"/>
        </w:rPr>
        <w:t>胡燕.护理干预能够有效控制化疗药物致消化道的毒性反应[J].基因组学与应用生物学,2017,36(05):1852-1857.</w:t>
      </w:r>
    </w:p>
  </w:endnote>
  <w:endnote w:id="13">
    <w:p>
      <w:pPr>
        <w:pStyle w:val="12"/>
        <w:snapToGrid w:val="0"/>
      </w:pPr>
      <w:r>
        <w:rPr>
          <w:rStyle w:val="22"/>
        </w:rPr>
        <w:t>[</w:t>
      </w:r>
      <w:r>
        <w:rPr>
          <w:rStyle w:val="22"/>
        </w:rPr>
        <w:endnoteRef/>
      </w:r>
      <w:r>
        <w:rPr>
          <w:rStyle w:val="22"/>
        </w:rPr>
        <w:t>]</w:t>
      </w:r>
      <w:r>
        <w:t xml:space="preserve"> </w:t>
      </w:r>
      <w:r>
        <w:rPr>
          <w:rFonts w:hint="eastAsia"/>
        </w:rPr>
        <w:t>崔秀艳.化疗后口腔溃疡患者的口腔护理方式分析[J].全科口腔医学电子杂志,2019,6(11):36+38.</w:t>
      </w:r>
    </w:p>
  </w:endnote>
  <w:endnote w:id="14">
    <w:p>
      <w:pPr>
        <w:pStyle w:val="12"/>
        <w:snapToGrid w:val="0"/>
      </w:pPr>
      <w:r>
        <w:rPr>
          <w:rStyle w:val="22"/>
        </w:rPr>
        <w:t>[</w:t>
      </w:r>
      <w:r>
        <w:rPr>
          <w:rStyle w:val="22"/>
        </w:rPr>
        <w:endnoteRef/>
      </w:r>
      <w:r>
        <w:rPr>
          <w:rStyle w:val="22"/>
        </w:rPr>
        <w:t>]</w:t>
      </w:r>
      <w:r>
        <w:t xml:space="preserve"> </w:t>
      </w:r>
      <w:r>
        <w:rPr>
          <w:rFonts w:hint="eastAsia"/>
        </w:rPr>
        <w:t>胡燕.护理干预能够有效控制化疗药物致消化道的毒性反应[J].基因组学与应用生物学,2017,36(05):1852-1857.</w:t>
      </w:r>
    </w:p>
  </w:endnote>
  <w:endnote w:id="15">
    <w:p>
      <w:pPr>
        <w:pStyle w:val="12"/>
        <w:snapToGrid w:val="0"/>
      </w:pPr>
      <w:r>
        <w:rPr>
          <w:rStyle w:val="22"/>
        </w:rPr>
        <w:t>[</w:t>
      </w:r>
      <w:r>
        <w:rPr>
          <w:rStyle w:val="22"/>
        </w:rPr>
        <w:endnoteRef/>
      </w:r>
      <w:r>
        <w:rPr>
          <w:rStyle w:val="22"/>
        </w:rPr>
        <w:t>]</w:t>
      </w:r>
      <w:r>
        <w:t xml:space="preserve"> </w:t>
      </w:r>
      <w:r>
        <w:rPr>
          <w:rFonts w:hint="eastAsia"/>
        </w:rPr>
        <w:t>杨婉娜,谢雯.药物性肝损伤的临床表现和分型[J].临床肝胆病杂志,2021,37(11):2525-2529.</w:t>
      </w:r>
    </w:p>
  </w:endnote>
  <w:endnote w:id="16">
    <w:p>
      <w:pPr>
        <w:pStyle w:val="12"/>
        <w:snapToGrid w:val="0"/>
      </w:pPr>
      <w:r>
        <w:rPr>
          <w:rStyle w:val="22"/>
        </w:rPr>
        <w:t>[</w:t>
      </w:r>
      <w:r>
        <w:rPr>
          <w:rStyle w:val="22"/>
        </w:rPr>
        <w:endnoteRef/>
      </w:r>
      <w:r>
        <w:rPr>
          <w:rStyle w:val="22"/>
        </w:rPr>
        <w:t>]</w:t>
      </w:r>
      <w:r>
        <w:t xml:space="preserve"> </w:t>
      </w:r>
      <w:r>
        <w:rPr>
          <w:rFonts w:hint="eastAsia"/>
        </w:rPr>
        <w:t>Yang Miyoung,Moon Changjong. Neurotoxicity of cancer chemotherapy.[J]. Neural regeneration research,2013,8(17).</w:t>
      </w:r>
    </w:p>
  </w:endnote>
  <w:endnote w:id="17">
    <w:p>
      <w:pPr>
        <w:pStyle w:val="12"/>
        <w:snapToGrid w:val="0"/>
      </w:pPr>
      <w:r>
        <w:rPr>
          <w:rStyle w:val="22"/>
        </w:rPr>
        <w:t>[</w:t>
      </w:r>
      <w:r>
        <w:rPr>
          <w:rStyle w:val="22"/>
        </w:rPr>
        <w:endnoteRef/>
      </w:r>
      <w:r>
        <w:rPr>
          <w:rStyle w:val="22"/>
        </w:rPr>
        <w:t>]</w:t>
      </w:r>
      <w:r>
        <w:t xml:space="preserve"> </w:t>
      </w:r>
      <w:r>
        <w:rPr>
          <w:rFonts w:hint="eastAsia"/>
        </w:rPr>
        <w:t>Momokita Moeko,Abe Atsushi,Shibata Kanae,Hayashi Hiroki,Ishihama Takanori,Inoue Hiroki,Achiwa Motonobu,Taniguchi Shinichi,Nakayama Atsushi. Association between oral function and nutrition in gastric cancer patients undergoing chemotherapy.[J]. Oral diseases,2022.</w:t>
      </w:r>
    </w:p>
  </w:endnote>
  <w:endnote w:id="18">
    <w:p>
      <w:pPr>
        <w:pStyle w:val="12"/>
        <w:snapToGrid w:val="0"/>
        <w:rPr>
          <w:rFonts w:hint="eastAsia"/>
        </w:rPr>
      </w:pPr>
      <w:r>
        <w:rPr>
          <w:rStyle w:val="22"/>
        </w:rPr>
        <w:t>[</w:t>
      </w:r>
      <w:r>
        <w:rPr>
          <w:rStyle w:val="22"/>
        </w:rPr>
        <w:endnoteRef/>
      </w:r>
      <w:r>
        <w:rPr>
          <w:rStyle w:val="22"/>
        </w:rPr>
        <w:t>]</w:t>
      </w:r>
      <w:r>
        <w:rPr>
          <w:rFonts w:hint="eastAsia"/>
        </w:rPr>
        <w:t xml:space="preserve"> 肖天龄,李娜.绒毛膜癌1例[J].包头医学院学报,2021,37(01):113-115.</w:t>
      </w:r>
    </w:p>
  </w:endnote>
  <w:endnote w:id="19">
    <w:p>
      <w:pPr>
        <w:pStyle w:val="12"/>
        <w:snapToGrid w:val="0"/>
      </w:pPr>
      <w:r>
        <w:rPr>
          <w:rStyle w:val="22"/>
        </w:rPr>
        <w:t>[</w:t>
      </w:r>
      <w:r>
        <w:rPr>
          <w:rStyle w:val="22"/>
        </w:rPr>
        <w:endnoteRef/>
      </w:r>
      <w:r>
        <w:rPr>
          <w:rStyle w:val="22"/>
        </w:rPr>
        <w:t>]</w:t>
      </w:r>
      <w:r>
        <w:t xml:space="preserve"> </w:t>
      </w:r>
      <w:r>
        <w:rPr>
          <w:rFonts w:hint="eastAsia"/>
        </w:rPr>
        <w:t>Mukherjee Anindita,Mazumder Koustav,Kaushal Vikrant,Ghoshal Sushmita. Effect of Supportive Psychotherapy on Mental Health Status and Quality of Life of Female Cancer Patients Receiving Chemotherapy for Recurrent Disease.[J]. Indian journal of palliative care,2017,23(4).</w:t>
      </w:r>
    </w:p>
  </w:endnote>
  <w:endnote w:id="20">
    <w:p>
      <w:pPr>
        <w:pStyle w:val="12"/>
        <w:snapToGrid w:val="0"/>
        <w:rPr>
          <w:rFonts w:hint="eastAsia"/>
        </w:rPr>
      </w:pPr>
      <w:r>
        <w:rPr>
          <w:rStyle w:val="22"/>
        </w:rPr>
        <w:t>[</w:t>
      </w:r>
      <w:r>
        <w:rPr>
          <w:rStyle w:val="22"/>
        </w:rPr>
        <w:endnoteRef/>
      </w:r>
      <w:r>
        <w:rPr>
          <w:rStyle w:val="22"/>
        </w:rPr>
        <w:t>]</w:t>
      </w:r>
      <w:r>
        <w:t xml:space="preserve"> </w:t>
      </w:r>
      <w:r>
        <w:rPr>
          <w:rFonts w:hint="eastAsia"/>
        </w:rPr>
        <w:t>芮冶昊,林娟,康国娟,姚继云,倪海云,蓝天.团队随访对癌痛患者延续管理的效果观察[J].中国实用护理杂志,2017,33(35):2731-2734.</w:t>
      </w:r>
    </w:p>
    <w:p>
      <w:pPr>
        <w:pStyle w:val="12"/>
        <w:snapToGrid w:val="0"/>
      </w:pPr>
    </w:p>
    <w:p>
      <w:pPr>
        <w:pStyle w:val="2"/>
        <w:numPr>
          <w:ilvl w:val="0"/>
          <w:numId w:val="0"/>
        </w:numPr>
        <w:jc w:val="center"/>
        <w:rPr>
          <w:rStyle w:val="31"/>
          <w:bCs w:val="0"/>
        </w:rPr>
      </w:pPr>
      <w:r>
        <w:rPr>
          <w:rStyle w:val="31"/>
          <w:rFonts w:hint="eastAsia"/>
          <w:bCs w:val="0"/>
        </w:rPr>
        <w:t>致谢</w:t>
      </w:r>
    </w:p>
    <w:p>
      <w:pPr>
        <w:widowControl/>
        <w:spacing w:before="100" w:beforeAutospacing="1" w:after="100" w:afterAutospacing="1" w:line="360" w:lineRule="auto"/>
        <w:ind w:firstLine="560" w:firstLineChars="200"/>
        <w:jc w:val="left"/>
        <w:rPr>
          <w:rFonts w:ascii="宋体" w:hAnsi="宋体"/>
          <w:sz w:val="28"/>
          <w:szCs w:val="28"/>
        </w:rPr>
      </w:pPr>
      <w:r>
        <w:rPr>
          <w:rFonts w:hint="eastAsia" w:ascii="宋体" w:hAnsi="宋体"/>
          <w:sz w:val="28"/>
          <w:szCs w:val="28"/>
        </w:rPr>
        <w:t>致谢中应列出资助毕业论文（设计）研究工作、提供便利条件的组织或个人；在研究工作中提出建议和提供帮助的老师或同学；其他应感谢的组织或个人。</w:t>
      </w:r>
    </w:p>
    <w:p>
      <w:pPr>
        <w:pStyle w:val="12"/>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240" w:lineRule="auto"/>
      <w:ind w:right="360"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240" w:lineRule="auto"/>
      <w:ind w:right="360" w:firstLine="0"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240" w:lineRule="auto"/>
      <w:ind w:right="360" w:firstLine="0" w:firstLineChars="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240" w:lineRule="auto"/>
      <w:ind w:right="360" w:firstLine="0" w:firstLineChars="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J0wnyN0CAAAkBgAADgAAAAAAAAABACAAAAAfAQAAZHJzL2Uyb0RvYy54bWxQSwUG&#10;AAAAAAYABgBZAQAAbgY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p>
  </w:footnote>
  <w:footnote w:type="continuationSeparator" w:id="1">
    <w:p>
      <w:pPr>
        <w:spacing w:line="360" w:lineRule="auto"/>
        <w:ind w:firstLine="5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keepNext w:val="0"/>
      <w:keepLines w:val="0"/>
      <w:pageBreakBefore w:val="0"/>
      <w:widowControl w:val="0"/>
      <w:tabs>
        <w:tab w:val="left" w:pos="7728"/>
        <w:tab w:val="clear" w:pos="4153"/>
      </w:tabs>
      <w:kinsoku/>
      <w:wordWrap/>
      <w:overflowPunct/>
      <w:topLinePunct w:val="0"/>
      <w:autoSpaceDE/>
      <w:autoSpaceDN/>
      <w:bidi w:val="0"/>
      <w:adjustRightInd/>
      <w:snapToGrid w:val="0"/>
      <w:jc w:val="both"/>
      <w:textAlignment w:val="auto"/>
      <w:rPr>
        <w:rFonts w:hint="default" w:eastAsia="宋体"/>
        <w:lang w:val="en-US" w:eastAsia="zh-CN"/>
      </w:rPr>
    </w:pPr>
    <w:r>
      <w:rPr>
        <w:rFonts w:hint="eastAsia"/>
      </w:rPr>
      <w:t xml:space="preserve">西南财经大学天府学院 </w:t>
    </w:r>
    <w:r>
      <w:rPr>
        <w:rFonts w:hint="eastAsia"/>
        <w:lang w:val="en-US" w:eastAsia="zh-CN"/>
      </w:rPr>
      <w:t xml:space="preserve">                                      一例绒癌化疗患者毒副反应防治的护理体会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1643"/>
      </w:tabs>
      <w:jc w:val="left"/>
      <w:rPr>
        <w:rFonts w:hint="eastAsia" w:eastAsia="宋体"/>
        <w:lang w:eastAsia="zh-CN"/>
      </w:rPr>
    </w:pPr>
    <w:r>
      <w:rPr>
        <w:rFonts w:hint="eastAsia"/>
        <w:lang w:eastAsia="zh-CN"/>
      </w:rPr>
      <w:tab/>
      <w:t/>
    </w:r>
    <w:r>
      <w:rPr>
        <w:rFonts w:hint="eastAsia"/>
        <w:lang w:eastAsia="zh-C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keepNext w:val="0"/>
      <w:keepLines w:val="0"/>
      <w:pageBreakBefore w:val="0"/>
      <w:widowControl w:val="0"/>
      <w:tabs>
        <w:tab w:val="left" w:pos="7728"/>
        <w:tab w:val="clear" w:pos="4153"/>
      </w:tabs>
      <w:kinsoku/>
      <w:wordWrap/>
      <w:overflowPunct/>
      <w:topLinePunct w:val="0"/>
      <w:autoSpaceDE/>
      <w:autoSpaceDN/>
      <w:bidi w:val="0"/>
      <w:adjustRightInd/>
      <w:snapToGrid w:val="0"/>
      <w:jc w:val="both"/>
      <w:textAlignment w:val="auto"/>
      <w:rPr>
        <w:rFonts w:hint="default" w:eastAsia="宋体"/>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keepNext w:val="0"/>
      <w:keepLines w:val="0"/>
      <w:pageBreakBefore w:val="0"/>
      <w:widowControl w:val="0"/>
      <w:tabs>
        <w:tab w:val="left" w:pos="7728"/>
        <w:tab w:val="clear" w:pos="4153"/>
      </w:tabs>
      <w:kinsoku/>
      <w:wordWrap/>
      <w:overflowPunct/>
      <w:topLinePunct w:val="0"/>
      <w:autoSpaceDE/>
      <w:autoSpaceDN/>
      <w:bidi w:val="0"/>
      <w:adjustRightInd/>
      <w:snapToGrid w:val="0"/>
      <w:jc w:val="both"/>
      <w:textAlignment w:val="auto"/>
      <w:rPr>
        <w:rFonts w:hint="default" w:eastAsia="宋体"/>
        <w:lang w:val="en-US" w:eastAsia="zh-CN"/>
      </w:rPr>
    </w:pPr>
    <w:r>
      <w:rPr>
        <w:rFonts w:hint="eastAsia"/>
      </w:rPr>
      <w:t xml:space="preserve">西南财经大学天府学院 </w:t>
    </w:r>
    <w:r>
      <w:rPr>
        <w:rFonts w:hint="eastAsia"/>
        <w:lang w:val="en-US" w:eastAsia="zh-CN"/>
      </w:rPr>
      <w:t xml:space="preserve">                                      一例绒癌化疗患者毒副反应防治的护理体会</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keepNext w:val="0"/>
      <w:keepLines w:val="0"/>
      <w:pageBreakBefore w:val="0"/>
      <w:widowControl w:val="0"/>
      <w:tabs>
        <w:tab w:val="left" w:pos="7728"/>
        <w:tab w:val="clear" w:pos="4153"/>
      </w:tabs>
      <w:kinsoku/>
      <w:wordWrap/>
      <w:overflowPunct/>
      <w:topLinePunct w:val="0"/>
      <w:autoSpaceDE/>
      <w:autoSpaceDN/>
      <w:bidi w:val="0"/>
      <w:adjustRightInd/>
      <w:snapToGrid w:val="0"/>
      <w:jc w:val="both"/>
      <w:textAlignment w:val="auto"/>
      <w:rPr>
        <w:rFonts w:hint="default" w:eastAsia="宋体"/>
        <w:lang w:val="en-US" w:eastAsia="zh-CN"/>
      </w:rPr>
    </w:pPr>
    <w:r>
      <w:rPr>
        <w:rFonts w:hint="eastAsia"/>
      </w:rPr>
      <w:t xml:space="preserve">西南财经大学天府学院 </w:t>
    </w:r>
    <w:r>
      <w:rPr>
        <w:rFonts w:hint="eastAsia"/>
        <w:lang w:val="en-US" w:eastAsia="zh-CN"/>
      </w:rPr>
      <w:t xml:space="preserve">                                      一例绒癌化疗患者毒副反应防治的护理体会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06D21B"/>
    <w:multiLevelType w:val="multilevel"/>
    <w:tmpl w:val="6D06D21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95"/>
  <w:displayHorizontalDrawingGridEvery w:val="1"/>
  <w:displayVerticalDrawingGridEvery w:val="1"/>
  <w:noPunctuationKerning w:val="1"/>
  <w:characterSpacingControl w:val="compressPunctuation"/>
  <w:footnotePr>
    <w:footnote w:id="0"/>
    <w:footnote w:id="1"/>
  </w:footnotePr>
  <w:endnotePr>
    <w:endnote w:id="42"/>
    <w:endnote w:id="4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1OTIwYzdiOGI1YzM4NzM1MmQ4MTJmZDZkZDJhNTAifQ=="/>
  </w:docVars>
  <w:rsids>
    <w:rsidRoot w:val="13757FBD"/>
    <w:rsid w:val="029B13F5"/>
    <w:rsid w:val="04034FED"/>
    <w:rsid w:val="05131314"/>
    <w:rsid w:val="05B64EE1"/>
    <w:rsid w:val="102E6426"/>
    <w:rsid w:val="134D43EC"/>
    <w:rsid w:val="13757FBD"/>
    <w:rsid w:val="142454DC"/>
    <w:rsid w:val="148A0661"/>
    <w:rsid w:val="1CEB5A62"/>
    <w:rsid w:val="229F714A"/>
    <w:rsid w:val="23035D88"/>
    <w:rsid w:val="24033227"/>
    <w:rsid w:val="2571028E"/>
    <w:rsid w:val="32BD73FB"/>
    <w:rsid w:val="3CE0171C"/>
    <w:rsid w:val="40A869C3"/>
    <w:rsid w:val="44F80E1C"/>
    <w:rsid w:val="45096B39"/>
    <w:rsid w:val="45E83F3B"/>
    <w:rsid w:val="4BBD27D4"/>
    <w:rsid w:val="5AA20705"/>
    <w:rsid w:val="6121715D"/>
    <w:rsid w:val="62FA5549"/>
    <w:rsid w:val="677F7E04"/>
    <w:rsid w:val="687C4170"/>
    <w:rsid w:val="6EDE4289"/>
    <w:rsid w:val="747732E2"/>
    <w:rsid w:val="78B31635"/>
    <w:rsid w:val="7AF52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left"/>
    </w:pPr>
    <w:rPr>
      <w:rFonts w:ascii="Times New Roman" w:hAnsi="Times New Roman" w:eastAsia="宋体" w:cstheme="minorBidi"/>
      <w:kern w:val="2"/>
      <w:sz w:val="28"/>
      <w:szCs w:val="24"/>
      <w:lang w:val="en-US" w:eastAsia="zh-CN" w:bidi="ar-SA"/>
    </w:rPr>
  </w:style>
  <w:style w:type="paragraph" w:styleId="2">
    <w:name w:val="heading 1"/>
    <w:basedOn w:val="1"/>
    <w:next w:val="1"/>
    <w:link w:val="25"/>
    <w:qFormat/>
    <w:uiPriority w:val="0"/>
    <w:pPr>
      <w:keepNext/>
      <w:keepLines/>
      <w:numPr>
        <w:ilvl w:val="0"/>
        <w:numId w:val="1"/>
      </w:numPr>
      <w:spacing w:before="340" w:beforeLines="0" w:beforeAutospacing="0" w:after="330" w:afterLines="0" w:afterAutospacing="0" w:line="360" w:lineRule="auto"/>
      <w:ind w:left="432" w:hanging="432" w:firstLineChars="0"/>
      <w:jc w:val="left"/>
      <w:outlineLvl w:val="0"/>
    </w:pPr>
    <w:rPr>
      <w:kern w:val="44"/>
      <w:sz w:val="28"/>
    </w:rPr>
  </w:style>
  <w:style w:type="paragraph" w:styleId="3">
    <w:name w:val="heading 2"/>
    <w:basedOn w:val="1"/>
    <w:next w:val="1"/>
    <w:link w:val="26"/>
    <w:unhideWhenUsed/>
    <w:qFormat/>
    <w:uiPriority w:val="0"/>
    <w:pPr>
      <w:keepNext/>
      <w:keepLines/>
      <w:numPr>
        <w:ilvl w:val="1"/>
        <w:numId w:val="1"/>
      </w:numPr>
      <w:spacing w:before="260" w:beforeLines="0" w:beforeAutospacing="0" w:after="260" w:afterLines="0" w:afterAutospacing="0" w:line="360" w:lineRule="auto"/>
      <w:ind w:left="575" w:hanging="575" w:firstLineChars="0"/>
      <w:jc w:val="left"/>
      <w:outlineLvl w:val="1"/>
    </w:p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60" w:lineRule="auto"/>
      <w:ind w:left="720" w:hanging="720" w:firstLineChars="0"/>
      <w:jc w:val="left"/>
      <w:outlineLvl w:val="2"/>
    </w:pPr>
    <w:rPr>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21">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endnote text"/>
    <w:basedOn w:val="1"/>
    <w:link w:val="30"/>
    <w:qFormat/>
    <w:uiPriority w:val="0"/>
    <w:pPr>
      <w:snapToGrid w:val="0"/>
      <w:jc w:val="left"/>
    </w:pPr>
  </w:style>
  <w:style w:type="paragraph" w:styleId="13">
    <w:name w:val="footer"/>
    <w:qFormat/>
    <w:uiPriority w:val="99"/>
    <w:pPr>
      <w:widowControl w:val="0"/>
      <w:tabs>
        <w:tab w:val="center" w:pos="4153"/>
        <w:tab w:val="right" w:pos="8306"/>
      </w:tabs>
      <w:snapToGrid w:val="0"/>
      <w:jc w:val="left"/>
    </w:pPr>
    <w:rPr>
      <w:rFonts w:ascii="Times New Roman" w:hAnsi="Times New Roman" w:eastAsia="宋体" w:cs="Times New Roman"/>
      <w:kern w:val="2"/>
      <w:sz w:val="18"/>
      <w:szCs w:val="18"/>
      <w:lang w:val="en-US" w:eastAsia="zh-CN" w:bidi="ar-SA"/>
    </w:rPr>
  </w:style>
  <w:style w:type="paragraph" w:styleId="14">
    <w:name w:val="header"/>
    <w:qFormat/>
    <w:uiPriority w:val="99"/>
    <w:pPr>
      <w:widowControl w:val="0"/>
      <w:pBdr>
        <w:bottom w:val="single" w:color="auto" w:sz="6" w:space="1"/>
      </w:pBdr>
      <w:tabs>
        <w:tab w:val="center" w:pos="4153"/>
        <w:tab w:val="right" w:pos="8306"/>
      </w:tabs>
      <w:snapToGrid w:val="0"/>
      <w:jc w:val="center"/>
    </w:pPr>
    <w:rPr>
      <w:rFonts w:ascii="Times New Roman" w:hAnsi="Times New Roman" w:eastAsia="宋体" w:cs="Times New Roman"/>
      <w:kern w:val="2"/>
      <w:sz w:val="18"/>
      <w:szCs w:val="18"/>
      <w:lang w:val="en-US" w:eastAsia="zh-CN" w:bidi="ar-SA"/>
    </w:rPr>
  </w:style>
  <w:style w:type="paragraph" w:styleId="15">
    <w:name w:val="toc 1"/>
    <w:basedOn w:val="1"/>
    <w:next w:val="1"/>
    <w:qFormat/>
    <w:uiPriority w:val="0"/>
  </w:style>
  <w:style w:type="paragraph" w:styleId="16">
    <w:name w:val="footnote text"/>
    <w:basedOn w:val="1"/>
    <w:qFormat/>
    <w:uiPriority w:val="0"/>
    <w:pPr>
      <w:snapToGrid w:val="0"/>
      <w:jc w:val="left"/>
    </w:pPr>
    <w:rPr>
      <w:sz w:val="18"/>
    </w:rPr>
  </w:style>
  <w:style w:type="paragraph" w:styleId="17">
    <w:name w:val="toc 2"/>
    <w:basedOn w:val="1"/>
    <w:next w:val="1"/>
    <w:qFormat/>
    <w:uiPriority w:val="0"/>
    <w:pPr>
      <w:ind w:left="420" w:leftChars="200"/>
    </w:pPr>
  </w:style>
  <w:style w:type="paragraph" w:styleId="18">
    <w:name w:val="Normal (Web)"/>
    <w:qFormat/>
    <w:uiPriority w:val="0"/>
    <w:pPr>
      <w:widowControl/>
      <w:spacing w:beforeAutospacing="1" w:afterAutospacing="1"/>
      <w:jc w:val="left"/>
    </w:pPr>
    <w:rPr>
      <w:rFonts w:hint="eastAsia" w:ascii="宋体" w:hAnsi="宋体" w:eastAsia="宋体" w:cs="Times New Roman"/>
      <w:color w:val="000000"/>
      <w:kern w:val="0"/>
      <w:sz w:val="24"/>
      <w:szCs w:val="24"/>
      <w:lang w:val="en-US" w:eastAsia="zh-CN" w:bidi="ar-SA"/>
    </w:rPr>
  </w:style>
  <w:style w:type="paragraph" w:styleId="19">
    <w:name w:val="Title"/>
    <w:basedOn w:val="1"/>
    <w:next w:val="1"/>
    <w:link w:val="31"/>
    <w:qFormat/>
    <w:uiPriority w:val="0"/>
    <w:pPr>
      <w:spacing w:before="240" w:after="60" w:line="360" w:lineRule="auto"/>
      <w:jc w:val="center"/>
      <w:outlineLvl w:val="0"/>
    </w:pPr>
    <w:rPr>
      <w:rFonts w:cstheme="majorBidi"/>
      <w:b/>
      <w:bCs/>
      <w:sz w:val="44"/>
      <w:szCs w:val="32"/>
    </w:rPr>
  </w:style>
  <w:style w:type="character" w:styleId="22">
    <w:name w:val="endnote reference"/>
    <w:basedOn w:val="21"/>
    <w:qFormat/>
    <w:uiPriority w:val="0"/>
    <w:rPr>
      <w:vertAlign w:val="superscript"/>
    </w:rPr>
  </w:style>
  <w:style w:type="character" w:styleId="23">
    <w:name w:val="Hyperlink"/>
    <w:basedOn w:val="21"/>
    <w:qFormat/>
    <w:uiPriority w:val="0"/>
    <w:rPr>
      <w:color w:val="0000FF"/>
      <w:u w:val="single"/>
    </w:rPr>
  </w:style>
  <w:style w:type="character" w:styleId="24">
    <w:name w:val="footnote reference"/>
    <w:basedOn w:val="21"/>
    <w:qFormat/>
    <w:uiPriority w:val="0"/>
    <w:rPr>
      <w:vertAlign w:val="superscript"/>
    </w:rPr>
  </w:style>
  <w:style w:type="character" w:customStyle="1" w:styleId="25">
    <w:name w:val="标题 1 Char"/>
    <w:link w:val="2"/>
    <w:qFormat/>
    <w:uiPriority w:val="0"/>
    <w:rPr>
      <w:rFonts w:eastAsia="宋体"/>
      <w:kern w:val="44"/>
      <w:sz w:val="28"/>
    </w:rPr>
  </w:style>
  <w:style w:type="character" w:customStyle="1" w:styleId="26">
    <w:name w:val="标题 2 Char"/>
    <w:link w:val="3"/>
    <w:qFormat/>
    <w:uiPriority w:val="0"/>
    <w:rPr>
      <w:rFonts w:ascii="Times New Roman" w:hAnsi="Times New Roman" w:eastAsia="宋体"/>
      <w:sz w:val="28"/>
    </w:rPr>
  </w:style>
  <w:style w:type="paragraph" w:customStyle="1" w:styleId="27">
    <w:name w:val="WPSOffice手动目录 1"/>
    <w:qFormat/>
    <w:uiPriority w:val="0"/>
    <w:pPr>
      <w:ind w:leftChars="0"/>
    </w:pPr>
    <w:rPr>
      <w:rFonts w:ascii="Times New Roman" w:hAnsi="Times New Roman" w:eastAsia="宋体" w:cs="Times New Roman"/>
      <w:sz w:val="20"/>
      <w:szCs w:val="20"/>
    </w:rPr>
  </w:style>
  <w:style w:type="paragraph" w:customStyle="1" w:styleId="28">
    <w:name w:val="WPSOffice手动目录 2"/>
    <w:qFormat/>
    <w:uiPriority w:val="0"/>
    <w:pPr>
      <w:ind w:leftChars="200"/>
    </w:pPr>
    <w:rPr>
      <w:rFonts w:ascii="Times New Roman" w:hAnsi="Times New Roman" w:eastAsia="宋体" w:cs="Times New Roman"/>
      <w:sz w:val="20"/>
      <w:szCs w:val="20"/>
    </w:rPr>
  </w:style>
  <w:style w:type="paragraph" w:customStyle="1" w:styleId="29">
    <w:name w:val="WPSOffice手动目录 3"/>
    <w:qFormat/>
    <w:uiPriority w:val="0"/>
    <w:pPr>
      <w:ind w:leftChars="400"/>
    </w:pPr>
    <w:rPr>
      <w:rFonts w:ascii="Times New Roman" w:hAnsi="Times New Roman" w:eastAsia="宋体" w:cs="Times New Roman"/>
      <w:sz w:val="20"/>
      <w:szCs w:val="20"/>
    </w:rPr>
  </w:style>
  <w:style w:type="character" w:customStyle="1" w:styleId="30">
    <w:name w:val="尾注文本 Char"/>
    <w:link w:val="12"/>
    <w:qFormat/>
    <w:uiPriority w:val="0"/>
  </w:style>
  <w:style w:type="character" w:customStyle="1" w:styleId="31">
    <w:name w:val="标题 字符"/>
    <w:basedOn w:val="21"/>
    <w:link w:val="19"/>
    <w:qFormat/>
    <w:uiPriority w:val="0"/>
    <w:rPr>
      <w:rFonts w:cstheme="majorBidi"/>
      <w:b/>
      <w:bCs/>
      <w:sz w:val="44"/>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7988</Words>
  <Characters>9073</Characters>
  <Lines>0</Lines>
  <Paragraphs>0</Paragraphs>
  <TotalTime>1</TotalTime>
  <ScaleCrop>false</ScaleCrop>
  <LinksUpToDate>false</LinksUpToDate>
  <CharactersWithSpaces>9824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2023-01-12T03:43:00Z</dcterms:created>
  <dc:creator>。</dc:creator>
  <cp:lastModifiedBy>　</cp:lastModifiedBy>
  <dcterms:modified xsi:type="dcterms:W3CDTF">2023-01-14T16:13:57Z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620319BCEBB34CBD83E68462F8622CD1</vt:lpwstr>
  </property>
</Properties>
</file>