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rFonts w:ascii="Times New Roman" w:cs="Times New Roman" w:eastAsia="Times New Roman" w:hAnsi="Times New Roman"/>
          <w:b/>
          <w:bCs/>
          <w:sz w:val="32"/>
          <w:szCs w:val="32"/>
        </w:rPr>
        <w:t xml:space="preserve">Exploratory Data Analysis and Visualization of Student Dropout Risk</w:t>
      </w:r>
    </w:p>
    <w:p>
      <w:pPr>
        <w:spacing w:after="60" w:before="0"/>
        <w:jc w:val="center"/>
      </w:pPr>
      <w:r>
        <w:rPr>
          <w:rFonts w:ascii="Times New Roman" w:cs="Times New Roman" w:eastAsia="Times New Roman" w:hAnsi="Times New Roman"/>
          <w:b/>
          <w:bCs/>
          <w:sz w:val="26"/>
          <w:szCs w:val="26"/>
        </w:rPr>
        <w:t xml:space="preserve">A MINI PROJECT REPORT</w:t>
      </w:r>
    </w:p>
    <w:p>
      <w:pPr>
        <w:spacing w:after="300" w:before="0"/>
        <w:jc w:val="center"/>
      </w:pPr>
      <w:r>
        <w:rPr>
          <w:rFonts w:ascii="Times New Roman" w:cs="Times New Roman" w:eastAsia="Times New Roman" w:hAnsi="Times New Roman"/>
          <w:b/>
          <w:bCs/>
          <w:sz w:val="26"/>
          <w:szCs w:val="26"/>
        </w:rPr>
        <w:t xml:space="preserve">Data Exploration and Visualization – 24UAD512</w:t>
      </w:r>
    </w:p>
    <w:p>
      <w:pPr>
        <w:spacing w:after="160" w:before="0"/>
        <w:jc w:val="center"/>
      </w:pPr>
      <w:r>
        <w:rPr>
          <w:rFonts w:ascii="Times New Roman" w:cs="Times New Roman" w:eastAsia="Times New Roman" w:hAnsi="Times New Roman"/>
          <w:i/>
          <w:iCs/>
          <w:sz w:val="24"/>
          <w:szCs w:val="24"/>
        </w:rPr>
        <w:t xml:space="preserve">Submitted by</w:t>
      </w:r>
    </w:p>
    <w:p>
      <w:pPr>
        <w:spacing w:after="20" w:before="0"/>
        <w:jc w:val="center"/>
      </w:pPr>
      <w:r>
        <w:rPr>
          <w:rFonts w:ascii="Times New Roman" w:cs="Times New Roman" w:eastAsia="Times New Roman" w:hAnsi="Times New Roman"/>
          <w:b/>
          <w:bCs/>
          <w:sz w:val="24"/>
          <w:szCs w:val="24"/>
        </w:rPr>
        <w:t xml:space="preserve">[REGISTER NO. 1] – [STUDENT NAME 1]</w:t>
      </w:r>
    </w:p>
    <w:p>
      <w:pPr>
        <w:spacing w:after="20" w:before="0"/>
        <w:jc w:val="center"/>
      </w:pPr>
      <w:r>
        <w:rPr>
          <w:rFonts w:ascii="Times New Roman" w:cs="Times New Roman" w:eastAsia="Times New Roman" w:hAnsi="Times New Roman"/>
          <w:b/>
          <w:bCs/>
          <w:sz w:val="24"/>
          <w:szCs w:val="24"/>
        </w:rPr>
        <w:t xml:space="preserve">[REGISTER NO. 2] – [STUDENT NAME 2]</w:t>
      </w:r>
    </w:p>
    <w:p>
      <w:pPr>
        <w:spacing w:after="20" w:before="0"/>
        <w:jc w:val="center"/>
      </w:pPr>
      <w:r>
        <w:rPr>
          <w:rFonts w:ascii="Times New Roman" w:cs="Times New Roman" w:eastAsia="Times New Roman" w:hAnsi="Times New Roman"/>
          <w:b/>
          <w:bCs/>
          <w:sz w:val="24"/>
          <w:szCs w:val="24"/>
        </w:rPr>
        <w:t xml:space="preserve">[REGISTER NO. 3] – [STUDENT NAME 3]</w:t>
      </w:r>
    </w:p>
    <w:p>
      <w:pPr>
        <w:spacing w:after="300" w:before="0"/>
        <w:jc w:val="center"/>
      </w:pPr>
      <w:r>
        <w:rPr>
          <w:rFonts w:ascii="Times New Roman" w:cs="Times New Roman" w:eastAsia="Times New Roman" w:hAnsi="Times New Roman"/>
          <w:b/>
          <w:bCs/>
          <w:sz w:val="24"/>
          <w:szCs w:val="24"/>
        </w:rPr>
        <w:t xml:space="preserve">[REGISTER NO. 4] – [STUDENT NAME 4]</w:t>
      </w:r>
    </w:p>
    <w:p>
      <w:pPr>
        <w:spacing w:after="120" w:before="0"/>
        <w:jc w:val="center"/>
      </w:pPr>
      <w:r>
        <w:rPr>
          <w:rFonts w:ascii="Times New Roman" w:cs="Times New Roman" w:eastAsia="Times New Roman" w:hAnsi="Times New Roman"/>
          <w:i/>
          <w:iCs/>
          <w:sz w:val="24"/>
          <w:szCs w:val="24"/>
        </w:rPr>
        <w:t xml:space="preserve">in partial fulfillment for the award of the degree</w:t>
      </w:r>
    </w:p>
    <w:p>
      <w:pPr>
        <w:spacing w:after="120" w:before="0"/>
        <w:jc w:val="center"/>
      </w:pPr>
      <w:r>
        <w:rPr>
          <w:rFonts w:ascii="Times New Roman" w:cs="Times New Roman" w:eastAsia="Times New Roman" w:hAnsi="Times New Roman"/>
          <w:sz w:val="24"/>
          <w:szCs w:val="24"/>
        </w:rPr>
        <w:t xml:space="preserve">of</w:t>
      </w:r>
    </w:p>
    <w:p>
      <w:pPr>
        <w:spacing w:after="120" w:before="0"/>
        <w:jc w:val="center"/>
      </w:pPr>
      <w:r>
        <w:rPr>
          <w:rFonts w:ascii="Times New Roman" w:cs="Times New Roman" w:eastAsia="Times New Roman" w:hAnsi="Times New Roman"/>
          <w:b/>
          <w:bCs/>
          <w:sz w:val="28"/>
          <w:szCs w:val="28"/>
        </w:rPr>
        <w:t xml:space="preserve">BACHELOR OF TECHNOLOGY</w:t>
      </w:r>
    </w:p>
    <w:p>
      <w:pPr>
        <w:spacing w:after="120" w:before="0"/>
        <w:jc w:val="center"/>
      </w:pPr>
      <w:r>
        <w:rPr>
          <w:rFonts w:ascii="Times New Roman" w:cs="Times New Roman" w:eastAsia="Times New Roman" w:hAnsi="Times New Roman"/>
          <w:sz w:val="24"/>
          <w:szCs w:val="24"/>
        </w:rPr>
        <w:t xml:space="preserve">in</w:t>
      </w:r>
    </w:p>
    <w:p>
      <w:pPr>
        <w:spacing w:after="240" w:before="0"/>
        <w:jc w:val="center"/>
      </w:pPr>
      <w:r>
        <w:rPr>
          <w:rFonts w:ascii="Times New Roman" w:cs="Times New Roman" w:eastAsia="Times New Roman" w:hAnsi="Times New Roman"/>
          <w:b/>
          <w:bCs/>
          <w:sz w:val="28"/>
          <w:szCs w:val="28"/>
        </w:rPr>
        <w:t xml:space="preserve">ARTIFICIAL INTELLIGENCE AND DATA SCIENCE</w:t>
      </w:r>
    </w:p>
    <w:p>
      <w:pPr>
        <w:spacing w:after="160" w:before="0"/>
        <w:jc w:val="center"/>
      </w:pPr>
      <w:r>
        <w:rPr>
          <w:rFonts w:ascii="Times New Roman" w:cs="Times New Roman" w:eastAsia="Times New Roman" w:hAnsi="Times New Roman"/>
          <w:b/>
          <w:bCs/>
          <w:sz w:val="30"/>
          <w:szCs w:val="30"/>
        </w:rPr>
        <w:t xml:space="preserve">KGiSL INSTITUTE OF TECHNOLOGY</w:t>
      </w:r>
    </w:p>
    <w:p>
      <w:pPr>
        <w:spacing w:after="240" w:before="0"/>
        <w:jc w:val="center"/>
      </w:pPr>
      <w:r>
        <w:rPr>
          <w:rFonts w:ascii="Times New Roman" w:cs="Times New Roman" w:eastAsia="Times New Roman" w:hAnsi="Times New Roman"/>
          <w:i/>
          <w:iCs/>
          <w:color w:val="888888"/>
          <w:sz w:val="20"/>
          <w:szCs w:val="20"/>
        </w:rPr>
        <w:t xml:space="preserve">[Insert college logo here]</w:t>
      </w:r>
    </w:p>
    <w:p>
      <w:pPr>
        <w:spacing w:after="240" w:before="0"/>
        <w:jc w:val="center"/>
      </w:pPr>
      <w:r>
        <w:rPr>
          <w:rFonts w:ascii="Times New Roman" w:cs="Times New Roman" w:eastAsia="Times New Roman" w:hAnsi="Times New Roman"/>
          <w:b/>
          <w:bCs/>
          <w:sz w:val="28"/>
          <w:szCs w:val="28"/>
        </w:rPr>
        <w:t xml:space="preserve">ANNA UNIVERSITY: CHENNAI 600 025</w:t>
      </w:r>
    </w:p>
    <w:p>
      <w:pPr>
        <w:spacing w:after="100" w:before="0"/>
        <w:jc w:val="center"/>
      </w:pPr>
      <w:r>
        <w:rPr>
          <w:rFonts w:ascii="Times New Roman" w:cs="Times New Roman" w:eastAsia="Times New Roman" w:hAnsi="Times New Roman"/>
          <w:b/>
          <w:bCs/>
          <w:sz w:val="24"/>
          <w:szCs w:val="24"/>
        </w:rPr>
        <w:t xml:space="preserve">Evaluation Rubrics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819"/>
        <w:gridCol w:w="1735"/>
        <w:gridCol w:w="2120"/>
      </w:tblGrid>
      <w:tr>
        <w:trPr>
          <w:cantSplit/>
          <w:tblHeader/>
        </w:trPr>
        <w:tc>
          <w:tcPr>
            <w:tcW w:type="dxa" w:w="96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20"/>
                <w:szCs w:val="20"/>
              </w:rPr>
              <w:t xml:space="preserve">S.No</w:t>
            </w:r>
          </w:p>
        </w:tc>
        <w:tc>
          <w:tcPr>
            <w:tcW w:type="dxa" w:w="481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20"/>
                <w:szCs w:val="20"/>
              </w:rPr>
              <w:t xml:space="preserve">Criteria</w:t>
            </w:r>
          </w:p>
        </w:tc>
        <w:tc>
          <w:tcPr>
            <w:tcW w:type="dxa" w:w="173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20"/>
                <w:szCs w:val="20"/>
              </w:rPr>
              <w:t xml:space="preserve">Total marks</w:t>
            </w:r>
          </w:p>
        </w:tc>
        <w:tc>
          <w:tcPr>
            <w:tcW w:type="dxa" w:w="21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20"/>
                <w:szCs w:val="20"/>
              </w:rPr>
              <w:t xml:space="preserve">Marks Awarded</w:t>
            </w:r>
          </w:p>
        </w:tc>
      </w:tr>
      <w:tr>
        <w:trPr>
          <w:cantSplit/>
        </w:trP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1.</w:t>
            </w:r>
          </w:p>
        </w:tc>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20"/>
                <w:szCs w:val="20"/>
              </w:rPr>
              <w:t xml:space="preserve">Content &amp; Technical Depth</w:t>
            </w:r>
          </w:p>
        </w:tc>
        <w:tc>
          <w:tcPr>
            <w:tcW w:type="dxa" w:w="173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10</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
            </w:r>
          </w:p>
        </w:tc>
      </w:tr>
      <w:tr>
        <w:trPr>
          <w:cantSplit/>
        </w:trPr>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2.</w:t>
            </w:r>
          </w:p>
        </w:tc>
        <w:tc>
          <w:tcPr>
            <w:tcW w:type="dxa" w:w="481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20"/>
                <w:szCs w:val="20"/>
              </w:rPr>
              <w:t xml:space="preserve">Methodology &amp; Implementation</w:t>
            </w:r>
          </w:p>
        </w:tc>
        <w:tc>
          <w:tcPr>
            <w:tcW w:type="dxa" w:w="173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10</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
            </w:r>
          </w:p>
        </w:tc>
      </w:tr>
      <w:tr>
        <w:trPr>
          <w:cantSplit/>
        </w:trP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3.</w:t>
            </w:r>
          </w:p>
        </w:tc>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20"/>
                <w:szCs w:val="20"/>
              </w:rPr>
              <w:t xml:space="preserve">Analysis, Results, &amp; Discussion</w:t>
            </w:r>
          </w:p>
        </w:tc>
        <w:tc>
          <w:tcPr>
            <w:tcW w:type="dxa" w:w="173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5</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
            </w:r>
          </w:p>
        </w:tc>
      </w:tr>
      <w:tr>
        <w:trPr>
          <w:cantSplit/>
        </w:trPr>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4.</w:t>
            </w:r>
          </w:p>
        </w:tc>
        <w:tc>
          <w:tcPr>
            <w:tcW w:type="dxa" w:w="481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20"/>
                <w:szCs w:val="20"/>
              </w:rPr>
              <w:t xml:space="preserve">Innovation &amp; Creativity</w:t>
            </w:r>
          </w:p>
        </w:tc>
        <w:tc>
          <w:tcPr>
            <w:tcW w:type="dxa" w:w="173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5</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
            </w:r>
          </w:p>
        </w:tc>
      </w:tr>
      <w:tr>
        <w:trPr>
          <w:cantSplit/>
        </w:trP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5.</w:t>
            </w:r>
          </w:p>
        </w:tc>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20"/>
                <w:szCs w:val="20"/>
              </w:rPr>
              <w:t xml:space="preserve">Ethical &amp; Societal Impact</w:t>
            </w:r>
          </w:p>
        </w:tc>
        <w:tc>
          <w:tcPr>
            <w:tcW w:type="dxa" w:w="173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5</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
            </w:r>
          </w:p>
        </w:tc>
      </w:tr>
      <w:tr>
        <w:trPr>
          <w:cantSplit/>
        </w:trPr>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6.</w:t>
            </w:r>
          </w:p>
        </w:tc>
        <w:tc>
          <w:tcPr>
            <w:tcW w:type="dxa" w:w="481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20"/>
                <w:szCs w:val="20"/>
              </w:rPr>
              <w:t xml:space="preserve">Documentation &amp; Presentation</w:t>
            </w:r>
          </w:p>
        </w:tc>
        <w:tc>
          <w:tcPr>
            <w:tcW w:type="dxa" w:w="173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5</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
            </w:r>
          </w:p>
        </w:tc>
      </w:tr>
      <w:tr>
        <w:trPr>
          <w:cantSplit/>
        </w:trP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
            </w:r>
          </w:p>
        </w:tc>
        <w:tc>
          <w:tcPr>
            <w:tcW w:type="dxa" w:w="481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20"/>
                <w:szCs w:val="20"/>
              </w:rPr>
              <w:t xml:space="preserve">Total</w:t>
            </w:r>
          </w:p>
        </w:tc>
        <w:tc>
          <w:tcPr>
            <w:tcW w:type="dxa" w:w="173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40</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20"/>
                <w:szCs w:val="20"/>
              </w:rPr>
              <w:t xml:space="preserve"/>
            </w:r>
          </w:p>
        </w:tc>
      </w:tr>
    </w:tbl>
    <w:p>
      <w:r>
        <w:br w:type="page"/>
      </w:r>
    </w:p>
    <w:p>
      <w:pPr>
        <w:spacing w:after="160"/>
      </w:pPr>
      <w:r>
        <w:rPr>
          <w:rFonts w:ascii="Times New Roman" w:cs="Times New Roman" w:eastAsia="Times New Roman" w:hAnsi="Times New Roman"/>
          <w:b/>
          <w:bCs/>
          <w:color w:val="1F3864"/>
          <w:sz w:val="30"/>
          <w:szCs w:val="30"/>
        </w:rPr>
        <w:t xml:space="preserve">TABLE OF CONTENTS</w:t>
      </w:r>
    </w:p>
    <w:p>
      <w:pPr>
        <w:tabs>
          <w:tab w:val="right" w:pos="9638" w:leader="dot"/>
        </w:tabs>
        <w:spacing w:after="70" w:before="90"/>
        <w:ind w:left="0"/>
      </w:pPr>
      <w:r>
        <w:rPr>
          <w:rFonts w:ascii="Times New Roman" w:cs="Times New Roman" w:eastAsia="Times New Roman" w:hAnsi="Times New Roman"/>
          <w:b/>
          <w:bCs/>
          <w:sz w:val="22"/>
          <w:szCs w:val="22"/>
        </w:rPr>
        <w:t xml:space="preserve">Abstract	4</w:t>
      </w:r>
    </w:p>
    <w:p>
      <w:pPr>
        <w:tabs>
          <w:tab w:val="right" w:pos="9638" w:leader="dot"/>
        </w:tabs>
        <w:spacing w:after="70" w:before="90"/>
        <w:ind w:left="0"/>
      </w:pPr>
      <w:r>
        <w:rPr>
          <w:rFonts w:ascii="Times New Roman" w:cs="Times New Roman" w:eastAsia="Times New Roman" w:hAnsi="Times New Roman"/>
          <w:b/>
          <w:bCs/>
          <w:sz w:val="22"/>
          <w:szCs w:val="22"/>
        </w:rPr>
        <w:t xml:space="preserve">1. Introduction	4</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1.1 Background and Motivation	4</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1.2 Problem Statement	5</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1.3 Objectives	5</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1.4 Scope of the Project	5</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1.5 Dataset Source and Supporting Document	5</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1.6 Syllabus Coverage Matrix	6</w:t>
      </w:r>
    </w:p>
    <w:p>
      <w:pPr>
        <w:tabs>
          <w:tab w:val="right" w:pos="9638" w:leader="dot"/>
        </w:tabs>
        <w:spacing w:after="70" w:before="90"/>
        <w:ind w:left="0"/>
      </w:pPr>
      <w:r>
        <w:rPr>
          <w:rFonts w:ascii="Times New Roman" w:cs="Times New Roman" w:eastAsia="Times New Roman" w:hAnsi="Times New Roman"/>
          <w:b/>
          <w:bCs/>
          <w:sz w:val="22"/>
          <w:szCs w:val="22"/>
        </w:rPr>
        <w:t xml:space="preserve">2. Tools and Techniques	6</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2.1 Hardware and Software Requirements	6</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2.2 Programming Language and Libraries	6</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2.3 EDA Goals, Process and Data Types	7</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2.4 Key Techniques Used	7</w:t>
      </w:r>
    </w:p>
    <w:p>
      <w:pPr>
        <w:tabs>
          <w:tab w:val="right" w:pos="9638" w:leader="dot"/>
        </w:tabs>
        <w:spacing w:after="70" w:before="90"/>
        <w:ind w:left="0"/>
      </w:pPr>
      <w:r>
        <w:rPr>
          <w:rFonts w:ascii="Times New Roman" w:cs="Times New Roman" w:eastAsia="Times New Roman" w:hAnsi="Times New Roman"/>
          <w:b/>
          <w:bCs/>
          <w:sz w:val="22"/>
          <w:szCs w:val="22"/>
        </w:rPr>
        <w:t xml:space="preserve">3. Exploratory Data Analysis	7</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3.1 Dataset Description	7</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3.2 Loading and Initial Inspection	8</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3.3 Missing Values, Duplicates and Encoding	9</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3.4 Dataset Slicing	9</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3.5 Transformation and Grouping	10</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3.6 Classical and Bayesian Analysis	12</w:t>
      </w:r>
    </w:p>
    <w:p>
      <w:pPr>
        <w:tabs>
          <w:tab w:val="right" w:pos="9638" w:leader="dot"/>
        </w:tabs>
        <w:spacing w:after="70" w:before="90"/>
        <w:ind w:left="0"/>
      </w:pPr>
      <w:r>
        <w:rPr>
          <w:rFonts w:ascii="Times New Roman" w:cs="Times New Roman" w:eastAsia="Times New Roman" w:hAnsi="Times New Roman"/>
          <w:b/>
          <w:bCs/>
          <w:sz w:val="22"/>
          <w:szCs w:val="22"/>
        </w:rPr>
        <w:t xml:space="preserve">4. Visualizing Using Matplotlib	13</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4.1 Line Plot and Basic Bar Plots	13</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4.2 Scatter Plot with Legends, Colours and Annotation	14</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4.3 Histogram, Density Plot and Contour Plot	14</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4.4 Error Bars	15</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4.5 Subplots	16</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4.6 Three-Dimensional Plotting	16</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4.7 Seaborn	17</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4.8 Plotly and Bokeh (Interactive Visualization)	18</w:t>
      </w:r>
    </w:p>
    <w:p>
      <w:pPr>
        <w:tabs>
          <w:tab w:val="right" w:pos="9638" w:leader="dot"/>
        </w:tabs>
        <w:spacing w:after="70" w:before="90"/>
        <w:ind w:left="0"/>
      </w:pPr>
      <w:r>
        <w:rPr>
          <w:rFonts w:ascii="Times New Roman" w:cs="Times New Roman" w:eastAsia="Times New Roman" w:hAnsi="Times New Roman"/>
          <w:b/>
          <w:bCs/>
          <w:sz w:val="22"/>
          <w:szCs w:val="22"/>
        </w:rPr>
        <w:t xml:space="preserve">5. Univariate Analysis	19</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5.1 Summary Statistics of the Numerical Variables	19</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5.2 Histogram, Box Plot and Density Plot	20</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5.3 Skewness and Outlier Detection	22</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5.4 Single Categorical Variable: Bar Chart, Pie Chart and Frequency Table	23</w:t>
      </w:r>
    </w:p>
    <w:p>
      <w:pPr>
        <w:tabs>
          <w:tab w:val="right" w:pos="9638" w:leader="dot"/>
        </w:tabs>
        <w:spacing w:after="70" w:before="90"/>
        <w:ind w:left="0"/>
      </w:pPr>
      <w:r>
        <w:rPr>
          <w:rFonts w:ascii="Times New Roman" w:cs="Times New Roman" w:eastAsia="Times New Roman" w:hAnsi="Times New Roman"/>
          <w:b/>
          <w:bCs/>
          <w:sz w:val="22"/>
          <w:szCs w:val="22"/>
        </w:rPr>
        <w:t xml:space="preserve">6. Bivariate Analysis	25</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6.1 Two Numerical Variables	25</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6.2 Two Categorical Variables	27</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6.3 Numerical and Categorical Variables	28</w:t>
      </w:r>
    </w:p>
    <w:p>
      <w:pPr>
        <w:tabs>
          <w:tab w:val="right" w:pos="9638" w:leader="dot"/>
        </w:tabs>
        <w:spacing w:after="70" w:before="90"/>
        <w:ind w:left="0"/>
      </w:pPr>
      <w:r>
        <w:rPr>
          <w:rFonts w:ascii="Times New Roman" w:cs="Times New Roman" w:eastAsia="Times New Roman" w:hAnsi="Times New Roman"/>
          <w:b/>
          <w:bCs/>
          <w:sz w:val="22"/>
          <w:szCs w:val="22"/>
        </w:rPr>
        <w:t xml:space="preserve">7. Multivariate Analysis and Insights	30</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7.1 Pair Plot (Scatter Matrix)	30</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7.2 Correlation Heatmaps	31</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7.3 Grouped Multivariate Visualizations	33</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7.4 Dimensionality Reduction using PCA	34</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7.5 K-Means Clustering	35</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7.6 Scikit-learn Model Development	36</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7.7 Fairness Audit and Sensitive Attributes	39</w:t>
      </w:r>
    </w:p>
    <w:p>
      <w:pPr>
        <w:tabs>
          <w:tab w:val="right" w:pos="9638" w:leader="dot"/>
        </w:tabs>
        <w:spacing w:after="70" w:before="90"/>
        <w:ind w:left="0"/>
      </w:pPr>
      <w:r>
        <w:rPr>
          <w:rFonts w:ascii="Times New Roman" w:cs="Times New Roman" w:eastAsia="Times New Roman" w:hAnsi="Times New Roman"/>
          <w:b/>
          <w:bCs/>
          <w:sz w:val="22"/>
          <w:szCs w:val="22"/>
        </w:rPr>
        <w:t xml:space="preserve">8. Major Findings and Insights	40</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8.1 Recommendations	40</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8.2 Ethical and Societal Considerations	40</w:t>
      </w:r>
    </w:p>
    <w:p>
      <w:pPr>
        <w:tabs>
          <w:tab w:val="right" w:pos="9638" w:leader="dot"/>
        </w:tabs>
        <w:spacing w:after="70" w:before="90"/>
        <w:ind w:left="0"/>
      </w:pPr>
      <w:r>
        <w:rPr>
          <w:rFonts w:ascii="Times New Roman" w:cs="Times New Roman" w:eastAsia="Times New Roman" w:hAnsi="Times New Roman"/>
          <w:b/>
          <w:bCs/>
          <w:sz w:val="22"/>
          <w:szCs w:val="22"/>
        </w:rPr>
        <w:t xml:space="preserve">9. Results and Conclusion	41</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9.1 Results Summary	41</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9.2 Conclusion	41</w:t>
      </w:r>
    </w:p>
    <w:p>
      <w:pPr>
        <w:tabs>
          <w:tab w:val="right" w:pos="9638" w:leader="dot"/>
        </w:tabs>
        <w:spacing w:after="30" w:before="0"/>
        <w:ind w:left="400"/>
      </w:pPr>
      <w:r>
        <w:rPr>
          <w:rFonts w:ascii="Times New Roman" w:cs="Times New Roman" w:eastAsia="Times New Roman" w:hAnsi="Times New Roman"/>
          <w:b w:val="false"/>
          <w:bCs w:val="false"/>
          <w:sz w:val="21"/>
          <w:szCs w:val="21"/>
        </w:rPr>
        <w:t xml:space="preserve">9.3 Limitations	41</w:t>
      </w:r>
    </w:p>
    <w:p>
      <w:pPr>
        <w:tabs>
          <w:tab w:val="right" w:pos="9638" w:leader="dot"/>
        </w:tabs>
        <w:spacing w:after="70" w:before="90"/>
        <w:ind w:left="0"/>
      </w:pPr>
      <w:r>
        <w:rPr>
          <w:rFonts w:ascii="Times New Roman" w:cs="Times New Roman" w:eastAsia="Times New Roman" w:hAnsi="Times New Roman"/>
          <w:b/>
          <w:bCs/>
          <w:sz w:val="22"/>
          <w:szCs w:val="22"/>
        </w:rPr>
        <w:t xml:space="preserve">10. Future Scope	42</w:t>
      </w:r>
    </w:p>
    <w:p>
      <w:pPr>
        <w:tabs>
          <w:tab w:val="right" w:pos="9638" w:leader="dot"/>
        </w:tabs>
        <w:spacing w:after="70" w:before="90"/>
        <w:ind w:left="0"/>
      </w:pPr>
      <w:r>
        <w:rPr>
          <w:rFonts w:ascii="Times New Roman" w:cs="Times New Roman" w:eastAsia="Times New Roman" w:hAnsi="Times New Roman"/>
          <w:b/>
          <w:bCs/>
          <w:sz w:val="22"/>
          <w:szCs w:val="22"/>
        </w:rPr>
        <w:t xml:space="preserve">References	42</w:t>
      </w:r>
    </w:p>
    <w:p>
      <w:r>
        <w:br w:type="page"/>
      </w:r>
    </w:p>
    <w:p>
      <w:pPr>
        <w:pStyle w:val="Heading1"/>
        <w:keepNext/>
      </w:pPr>
      <w:r>
        <w:rPr>
          <w:rFonts w:ascii="Times New Roman" w:cs="Times New Roman" w:eastAsia="Times New Roman" w:hAnsi="Times New Roman"/>
        </w:rPr>
        <w:t xml:space="preserve">Abstract</w:t>
      </w:r>
    </w:p>
    <w:p>
      <w:pPr>
        <w:spacing w:after="120" w:line="276"/>
        <w:jc w:val="both"/>
      </w:pPr>
      <w:r>
        <w:rPr>
          <w:rFonts w:ascii="Times New Roman" w:cs="Times New Roman" w:eastAsia="Times New Roman" w:hAnsi="Times New Roman"/>
          <w:sz w:val="22"/>
          <w:szCs w:val="22"/>
        </w:rPr>
        <w:t xml:space="preserve">Student dropout is one of the most costly problems in higher education, and the data that could explain it are usually messy, skewed and full of weak signals. This capstone project applies the complete Data Exploration and Visualization syllabus (Units 1 to 5) to a student-level dataset named student_dropout_risk_2026.csv. The dataset contains 100,000 students, 34 variables and a binary target, dropout, which equals 1 for 32.0% of the students (32,004 students).</w:t>
      </w:r>
    </w:p>
    <w:p>
      <w:pPr>
        <w:spacing w:after="120" w:line="276"/>
        <w:jc w:val="both"/>
      </w:pPr>
      <w:r>
        <w:rPr>
          <w:rFonts w:ascii="Times New Roman" w:cs="Times New Roman" w:eastAsia="Times New Roman" w:hAnsi="Times New Roman"/>
          <w:sz w:val="22"/>
          <w:szCs w:val="22"/>
        </w:rPr>
        <w:t xml:space="preserve">The workflow follows the five units. Unit 1 covers loading, inspection, data-quality checks, slicing, transformation, grouping and a comparison of classical and Bayesian analysis. Unit 2 covers Matplotlib visualization (line, bar, scatter, histogram, density, contour, error-bar, subplot, annotation and 3D plots) together with Seaborn, Plotly and Bokeh. Unit 3 covers univariate analysis of numerical and categorical variables. Unit 4 covers bivariate analysis with Pearson and Spearman correlation, chi-square with Cramér's V, Welch t-test, Mann-Whitney, ANOVA and Kruskal-Wallis tests with effect sizes. Unit 5 covers multivariate analysis with pair plots, heatmaps, grouped visualizations, Principal Component Analysis (PCA), K-Means clustering and scikit-learn classification models with cross-validation, a fairness audit and a risk-decile (lift) analysis.</w:t>
      </w:r>
    </w:p>
    <w:p>
      <w:pPr>
        <w:spacing w:after="120" w:line="276"/>
        <w:jc w:val="both"/>
      </w:pPr>
      <w:r>
        <w:rPr>
          <w:rFonts w:ascii="Times New Roman" w:cs="Times New Roman" w:eastAsia="Times New Roman" w:hAnsi="Times New Roman"/>
          <w:sz w:val="22"/>
          <w:szCs w:val="22"/>
        </w:rPr>
        <w:t xml:space="preserve">The main findings are: (1) the data are structurally clean, with no missing values and no duplicates; (2) academic performance is the strongest signal, because semester-1 GPA (r = -0.569), semester-2 GPA (r = -0.521) and the number of failed units (r = +0.467) are the three variables most related to dropout, each with a large effect size (Cohen's d from 1.13 to 1.48); (3) socio-economic and financial factors matter, with dropout of 42.9% among low-income students against 20.0% among high-income students, and 44.2% when tuition is not up to date against 28.6% when it is paid; (4) course type, gender, nationality, age and international status show essentially no association with dropout (Cramér's V below 0.01); (5) risk compounds sharply, since a student with attendance below 50% and GPA below 1.5 drops out 92.0% of the time against 1.5% for a student with high attendance and a GPA above 3.0; (6) PCA shows that the variables are not very redundant (17 of 27 components are needed for 80% of the variance); (7) K-Means separates four student segments whose dropout rates range from 3.3% to 80.8%; and (8) a logistic regression model reaches ROC-AUC 0.903 and accuracy 84.0% against a majority-class baseline of 68.0%, with a stable five-fold cross-validated AUC of 0.904. The students in the highest-risk decile drop out 94.2% of the time against 1.1% in the lowest decile. A fairness audit shows that the model is equally accurate across gender, origin and disability groups but flags a much larger share of low-income students, which is discussed in the ethics section. All code, figures, tables, interactive outputs and a trained model are organised in a GitHub-ready project folder.</w:t>
      </w:r>
    </w:p>
    <w:p>
      <w:pPr>
        <w:pStyle w:val="Heading1"/>
        <w:keepNext/>
      </w:pPr>
      <w:r>
        <w:rPr>
          <w:rFonts w:ascii="Times New Roman" w:cs="Times New Roman" w:eastAsia="Times New Roman" w:hAnsi="Times New Roman"/>
        </w:rPr>
        <w:t xml:space="preserve">1. Introduction</w:t>
      </w:r>
    </w:p>
    <w:p>
      <w:pPr>
        <w:pStyle w:val="Heading2"/>
        <w:keepNext/>
      </w:pPr>
      <w:r>
        <w:rPr>
          <w:rFonts w:ascii="Times New Roman" w:cs="Times New Roman" w:eastAsia="Times New Roman" w:hAnsi="Times New Roman"/>
        </w:rPr>
        <w:t xml:space="preserve">1.1 Background and Motivation</w:t>
      </w:r>
    </w:p>
    <w:p>
      <w:pPr>
        <w:spacing w:after="120" w:line="276"/>
        <w:jc w:val="both"/>
      </w:pPr>
      <w:r>
        <w:rPr>
          <w:rFonts w:ascii="Times New Roman" w:cs="Times New Roman" w:eastAsia="Times New Roman" w:hAnsi="Times New Roman"/>
          <w:sz w:val="22"/>
          <w:szCs w:val="22"/>
        </w:rPr>
        <w:t xml:space="preserve">Every student who leaves a degree programme before finishing represents lost opportunity for the student and lost resources for the institution. Dropout is rarely caused by a single reason. Poor academic performance, financial pressure, heavy part-time work, low engagement, stress and a lack of family experience with university can all contribute, and they often interact. Universities increasingly collect data on grades, attendance, learning-platform activity and background in order to build early-warning systems that identify students who need support before they leave.</w:t>
      </w:r>
    </w:p>
    <w:p>
      <w:pPr>
        <w:spacing w:after="120" w:line="276"/>
        <w:jc w:val="both"/>
      </w:pPr>
      <w:r>
        <w:rPr>
          <w:rFonts w:ascii="Times New Roman" w:cs="Times New Roman" w:eastAsia="Times New Roman" w:hAnsi="Times New Roman"/>
          <w:sz w:val="22"/>
          <w:szCs w:val="22"/>
        </w:rPr>
        <w:t xml:space="preserve">Exploratory Data Analysis (EDA), a term popularised by John Tukey, is the first and most decisive step in building such a system. EDA combines numerical summaries with visualization so that distributions, outliers, data-quality problems and relationships become visible before any model is trained. Python libraries such as Pandas, Matplotlib, Seaborn, Plotly, Bokeh, SciPy and scikit-learn make it possible to run a complete and reproducible EDA, and a script or notebook shared on GitHub allows every figure in this report to be regenerated.</w:t>
      </w:r>
    </w:p>
    <w:p>
      <w:pPr>
        <w:spacing w:after="120" w:line="276"/>
        <w:jc w:val="both"/>
      </w:pPr>
      <w:r>
        <w:rPr>
          <w:rFonts w:ascii="Times New Roman" w:cs="Times New Roman" w:eastAsia="Times New Roman" w:hAnsi="Times New Roman"/>
          <w:sz w:val="22"/>
          <w:szCs w:val="22"/>
        </w:rPr>
        <w:t xml:space="preserve">This project chooses a large and analytically rich dataset: 100,000 students described by 32 predictors covering demographics, finances, study behaviour, academic results, engagement and wellbeing. It contains both strong and weak predictors, a mildly imbalanced target, skewed variables with real outliers, sensitive attributes that raise ethical questions, and enough rows for stable statistics. This makes it possible to demonstrate every technique in the syllabus meaningfully.</w:t>
      </w:r>
    </w:p>
    <w:p>
      <w:pPr>
        <w:pStyle w:val="Heading2"/>
        <w:keepNext/>
      </w:pPr>
      <w:r>
        <w:rPr>
          <w:rFonts w:ascii="Times New Roman" w:cs="Times New Roman" w:eastAsia="Times New Roman" w:hAnsi="Times New Roman"/>
        </w:rPr>
        <w:t xml:space="preserve">1.2 Problem Statement</w:t>
      </w:r>
    </w:p>
    <w:p>
      <w:pPr>
        <w:spacing w:after="120" w:line="276"/>
        <w:jc w:val="both"/>
      </w:pPr>
      <w:r>
        <w:rPr>
          <w:rFonts w:ascii="Times New Roman" w:cs="Times New Roman" w:eastAsia="Times New Roman" w:hAnsi="Times New Roman"/>
          <w:sz w:val="22"/>
          <w:szCs w:val="22"/>
        </w:rPr>
        <w:t xml:space="preserve">Given a student-level dataset with a dropout label, the goal is to explore the data systematically and answer the following questions with Python code, statistics and visualizations: How common is dropout and how certain is that estimate? Is the data clean and which variables need transformation? Which academic, financial, behavioural and demographic factors are related to dropout, how strongly, and which are not? Do variables combine to create very high-risk or very low-risk groups? Can dropout be predicted reliably from the available variables, and is such a prediction fair to different groups of students?</w:t>
      </w:r>
    </w:p>
    <w:p>
      <w:pPr>
        <w:spacing w:after="120" w:line="276"/>
        <w:jc w:val="both"/>
      </w:pPr>
      <w:r>
        <w:rPr>
          <w:rFonts w:ascii="Times New Roman" w:cs="Times New Roman" w:eastAsia="Times New Roman" w:hAnsi="Times New Roman"/>
          <w:sz w:val="22"/>
          <w:szCs w:val="22"/>
        </w:rPr>
        <w:t xml:space="preserve">A particular challenge is that with 100,000 observations almost every statistical test returns a p-value below 0.001, even for trivial differences. The analysis therefore reports effect sizes (Cohen's d, Cramér's V, eta-squared) next to p-values, so that statistical significance is not confused with practical importance.</w:t>
      </w:r>
    </w:p>
    <w:p>
      <w:pPr>
        <w:pStyle w:val="Heading2"/>
        <w:keepNext/>
      </w:pPr>
      <w:r>
        <w:rPr>
          <w:rFonts w:ascii="Times New Roman" w:cs="Times New Roman" w:eastAsia="Times New Roman" w:hAnsi="Times New Roman"/>
        </w:rPr>
        <w:t xml:space="preserve">1.3 Objectives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load, inspect and clean a real-world-style dataset using Python and Pandas, documenting missing values, duplicates, data types, encoding and logical consistency.</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transform and group the data (derived performance and engagement features, log transformation, scaling, encoding, group summaries).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produce all visualization types listed in the syllabus using Matplotlib, Seaborn, Plotly and Bokeh.</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perform univariate, bivariate and multivariate analysis with appropriate statistical measures, tests and effect sizes.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apply PCA for dimensionality reduction and K-Means for student segmentation.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develop, evaluate and critically assess scikit-learn classification models using a stratified train/test split, cross-validation, threshold analysis and a risk-decile (lift) analysis.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audit the model for fairness across gender, income, origin, disability and first-generation status, and to discuss ethical use.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To communicate the findings through observations, conclusions and a reproducible GitHub repository with a runnable demo.</w:t>
      </w:r>
    </w:p>
    <w:p>
      <w:pPr>
        <w:pStyle w:val="Heading2"/>
        <w:keepNext/>
      </w:pPr>
      <w:r>
        <w:rPr>
          <w:rFonts w:ascii="Times New Roman" w:cs="Times New Roman" w:eastAsia="Times New Roman" w:hAnsi="Times New Roman"/>
        </w:rPr>
        <w:t xml:space="preserve">1.4 Scope of the Project</w:t>
      </w:r>
    </w:p>
    <w:p>
      <w:pPr>
        <w:spacing w:after="120" w:line="276"/>
        <w:jc w:val="both"/>
      </w:pPr>
      <w:r>
        <w:rPr>
          <w:rFonts w:ascii="Times New Roman" w:cs="Times New Roman" w:eastAsia="Times New Roman" w:hAnsi="Times New Roman"/>
          <w:sz w:val="22"/>
          <w:szCs w:val="22"/>
        </w:rPr>
        <w:t xml:space="preserve">The project is descriptive and exploratory with a supervised prediction demonstration. It analyses one student-level CSV file; it does not use time-stamped histories, course-level records or free-text data, and it makes no causal claims. The classification model is an academic demonstration of the scikit-learn workflow and is not intended for operational decision-making without validation on real institutional data. All five units are covered, and the coverage matrix in Section 1.6 maps every syllabus topic to the section and figure where it is demonstrated.</w:t>
      </w:r>
    </w:p>
    <w:p>
      <w:pPr>
        <w:pStyle w:val="Heading2"/>
        <w:keepNext/>
      </w:pPr>
      <w:r>
        <w:rPr>
          <w:rFonts w:ascii="Times New Roman" w:cs="Times New Roman" w:eastAsia="Times New Roman" w:hAnsi="Times New Roman"/>
        </w:rPr>
        <w:t xml:space="preserve">1.5 Dataset Source and Supporting Document</w:t>
      </w:r>
    </w:p>
    <w:p>
      <w:pPr>
        <w:spacing w:after="120" w:line="276"/>
        <w:jc w:val="both"/>
      </w:pPr>
      <w:r>
        <w:rPr>
          <w:rFonts w:ascii="Times New Roman" w:cs="Times New Roman" w:eastAsia="Times New Roman" w:hAnsi="Times New Roman"/>
          <w:sz w:val="22"/>
          <w:szCs w:val="22"/>
        </w:rPr>
        <w:t xml:space="preserve">The CSV supplied for this project (file name student_dropout_risk_2026.csv, 12.91 MB) does not embed a download URL, publisher or licence information, so this report does not invent an original download link. The column names and values indicate a student-retention dataset with demographic, financial, academic, behavioural and wellbeing variables. Several features of the data, such as the complete absence of any relationship between course type, gender or nationality and dropout, and the near-zero correlation between admission grade and previous qualification grade (r = 0.028), suggest that the file may be simulated or synthetically generated. The findings should therefore be read as a demonstration of analytical method rather than as claims about any real institution.</w:t>
      </w:r>
    </w:p>
    <w:p>
      <w:pPr>
        <w:spacing w:after="120" w:line="276"/>
        <w:jc w:val="both"/>
      </w:pPr>
      <w:r>
        <w:rPr>
          <w:rFonts w:ascii="Times New Roman" w:cs="Times New Roman" w:eastAsia="Times New Roman" w:hAnsi="Times New Roman"/>
          <w:sz w:val="22"/>
          <w:szCs w:val="22"/>
        </w:rPr>
        <w:t xml:space="preserve">Supporting sources used for context and terminology are listed in the References section (student retention research, scikit-learn and SciPy documentation, and fairness-in-machine-learning literature). </w:t>
      </w:r>
      <w:r>
        <w:rPr>
          <w:rFonts w:ascii="Times New Roman" w:cs="Times New Roman" w:eastAsia="Times New Roman" w:hAnsi="Times New Roman"/>
          <w:b/>
          <w:bCs/>
          <w:sz w:val="22"/>
          <w:szCs w:val="22"/>
        </w:rPr>
        <w:t xml:space="preserve">[Add the exact download link or the name of the faculty-provided source here before submission.]</w:t>
      </w:r>
    </w:p>
    <w:p>
      <w:pPr>
        <w:pStyle w:val="Heading2"/>
        <w:keepNext/>
      </w:pPr>
      <w:r>
        <w:rPr>
          <w:rFonts w:ascii="Times New Roman" w:cs="Times New Roman" w:eastAsia="Times New Roman" w:hAnsi="Times New Roman"/>
        </w:rPr>
        <w:t xml:space="preserve">1.6 Syllabus Coverage Matrix</w:t>
      </w:r>
    </w:p>
    <w:p>
      <w:pPr>
        <w:keepNext/>
        <w:spacing w:after="80" w:before="120"/>
        <w:jc w:val="center"/>
      </w:pPr>
      <w:r>
        <w:rPr>
          <w:rFonts w:ascii="Times New Roman" w:cs="Times New Roman" w:eastAsia="Times New Roman" w:hAnsi="Times New Roman"/>
          <w:b/>
          <w:bCs/>
          <w:sz w:val="20"/>
          <w:szCs w:val="20"/>
        </w:rPr>
        <w:t xml:space="preserve">Table 1: Syllabus topics and where they are demonstrated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783"/>
        <w:gridCol w:w="3084"/>
      </w:tblGrid>
      <w:tr>
        <w:trPr>
          <w:cantSplit/>
          <w:tblHeader/>
        </w:trPr>
        <w:tc>
          <w:tcPr>
            <w:tcW w:type="dxa" w:w="77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9"/>
                <w:szCs w:val="19"/>
              </w:rPr>
              <w:t xml:space="preserve">Unit</w:t>
            </w:r>
          </w:p>
        </w:tc>
        <w:tc>
          <w:tcPr>
            <w:tcW w:type="dxa" w:w="578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9"/>
                <w:szCs w:val="19"/>
              </w:rPr>
              <w:t xml:space="preserve">Required topic</w:t>
            </w:r>
          </w:p>
        </w:tc>
        <w:tc>
          <w:tcPr>
            <w:tcW w:type="dxa" w:w="308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9"/>
                <w:szCs w:val="19"/>
              </w:rPr>
              <w:t xml:space="preserve">Where covered</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1</w:t>
            </w:r>
          </w:p>
        </w:tc>
        <w:tc>
          <w:tcPr>
            <w:tcW w:type="dxa" w:w="57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EDA goals, process, data types, Python libraries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Sections 2.3, 3.1, 3.2</w:t>
            </w:r>
          </w:p>
        </w:tc>
      </w:tr>
      <w:tr>
        <w:trPr>
          <w:cantSplit/>
        </w:trPr>
        <w:tc>
          <w:tcPr>
            <w:tcW w:type="dxa" w:w="77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1</w:t>
            </w:r>
          </w:p>
        </w:tc>
        <w:tc>
          <w:tcPr>
            <w:tcW w:type="dxa" w:w="57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Loading, missing values, duplicates, encoding</w:t>
            </w:r>
          </w:p>
        </w:tc>
        <w:tc>
          <w:tcPr>
            <w:tcW w:type="dxa" w:w="308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Sections 3.2, 3.3</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1</w:t>
            </w:r>
          </w:p>
        </w:tc>
        <w:tc>
          <w:tcPr>
            <w:tcW w:type="dxa" w:w="57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Slicing, transformation, grouping</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Sections 3.4, 3.5</w:t>
            </w:r>
          </w:p>
        </w:tc>
      </w:tr>
      <w:tr>
        <w:trPr>
          <w:cantSplit/>
        </w:trPr>
        <w:tc>
          <w:tcPr>
            <w:tcW w:type="dxa" w:w="77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1</w:t>
            </w:r>
          </w:p>
        </w:tc>
        <w:tc>
          <w:tcPr>
            <w:tcW w:type="dxa" w:w="57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Classical vs Bayesian analysis</w:t>
            </w:r>
          </w:p>
        </w:tc>
        <w:tc>
          <w:tcPr>
            <w:tcW w:type="dxa" w:w="308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 3.6</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2</w:t>
            </w:r>
          </w:p>
        </w:tc>
        <w:tc>
          <w:tcPr>
            <w:tcW w:type="dxa" w:w="57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Line, scatter, error bar, density, contour, histogram</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Sections 4.1 to 4.4</w:t>
            </w:r>
          </w:p>
        </w:tc>
      </w:tr>
      <w:tr>
        <w:trPr>
          <w:cantSplit/>
        </w:trPr>
        <w:tc>
          <w:tcPr>
            <w:tcW w:type="dxa" w:w="77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2</w:t>
            </w:r>
          </w:p>
        </w:tc>
        <w:tc>
          <w:tcPr>
            <w:tcW w:type="dxa" w:w="57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Legends, colours, subplots, text and annotation</w:t>
            </w:r>
          </w:p>
        </w:tc>
        <w:tc>
          <w:tcPr>
            <w:tcW w:type="dxa" w:w="308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Sections 4.2, 4.5</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2</w:t>
            </w:r>
          </w:p>
        </w:tc>
        <w:tc>
          <w:tcPr>
            <w:tcW w:type="dxa" w:w="57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3D plotting</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 4.6</w:t>
            </w:r>
          </w:p>
        </w:tc>
      </w:tr>
      <w:tr>
        <w:trPr>
          <w:cantSplit/>
        </w:trPr>
        <w:tc>
          <w:tcPr>
            <w:tcW w:type="dxa" w:w="77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2</w:t>
            </w:r>
          </w:p>
        </w:tc>
        <w:tc>
          <w:tcPr>
            <w:tcW w:type="dxa" w:w="57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Seaborn, Plotly, Bokeh</w:t>
            </w:r>
          </w:p>
        </w:tc>
        <w:tc>
          <w:tcPr>
            <w:tcW w:type="dxa" w:w="308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Sections 4.7, 4.8</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3</w:t>
            </w:r>
          </w:p>
        </w:tc>
        <w:tc>
          <w:tcPr>
            <w:tcW w:type="dxa" w:w="57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Histograms, box plots, density plots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 5.2</w:t>
            </w:r>
          </w:p>
        </w:tc>
      </w:tr>
      <w:tr>
        <w:trPr>
          <w:cantSplit/>
        </w:trPr>
        <w:tc>
          <w:tcPr>
            <w:tcW w:type="dxa" w:w="77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3</w:t>
            </w:r>
          </w:p>
        </w:tc>
        <w:tc>
          <w:tcPr>
            <w:tcW w:type="dxa" w:w="57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Mean, median, SD, quartiles, skewness, outliers</w:t>
            </w:r>
          </w:p>
        </w:tc>
        <w:tc>
          <w:tcPr>
            <w:tcW w:type="dxa" w:w="308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Sections 5.1, 5.3</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3</w:t>
            </w:r>
          </w:p>
        </w:tc>
        <w:tc>
          <w:tcPr>
            <w:tcW w:type="dxa" w:w="57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Bar chart, pie chart, frequency table</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 5.4</w:t>
            </w:r>
          </w:p>
        </w:tc>
      </w:tr>
      <w:tr>
        <w:trPr>
          <w:cantSplit/>
        </w:trPr>
        <w:tc>
          <w:tcPr>
            <w:tcW w:type="dxa" w:w="77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4</w:t>
            </w:r>
          </w:p>
        </w:tc>
        <w:tc>
          <w:tcPr>
            <w:tcW w:type="dxa" w:w="57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Numerical-numerical: scatter, Pearson, Spearman</w:t>
            </w:r>
          </w:p>
        </w:tc>
        <w:tc>
          <w:tcPr>
            <w:tcW w:type="dxa" w:w="308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 6.1</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4</w:t>
            </w:r>
          </w:p>
        </w:tc>
        <w:tc>
          <w:tcPr>
            <w:tcW w:type="dxa" w:w="57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Categorical-categorical: stacked and grouped bars, chi-square</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 6.2</w:t>
            </w:r>
          </w:p>
        </w:tc>
      </w:tr>
      <w:tr>
        <w:trPr>
          <w:cantSplit/>
        </w:trPr>
        <w:tc>
          <w:tcPr>
            <w:tcW w:type="dxa" w:w="77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4</w:t>
            </w:r>
          </w:p>
        </w:tc>
        <w:tc>
          <w:tcPr>
            <w:tcW w:type="dxa" w:w="57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Numerical-categorical: box and violin plots, tests</w:t>
            </w:r>
          </w:p>
        </w:tc>
        <w:tc>
          <w:tcPr>
            <w:tcW w:type="dxa" w:w="308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 6.3</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5</w:t>
            </w:r>
          </w:p>
        </w:tc>
        <w:tc>
          <w:tcPr>
            <w:tcW w:type="dxa" w:w="57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Pair plots and heatmaps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Sections 7.1, 7.2</w:t>
            </w:r>
          </w:p>
        </w:tc>
      </w:tr>
      <w:tr>
        <w:trPr>
          <w:cantSplit/>
        </w:trPr>
        <w:tc>
          <w:tcPr>
            <w:tcW w:type="dxa" w:w="77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5</w:t>
            </w:r>
          </w:p>
        </w:tc>
        <w:tc>
          <w:tcPr>
            <w:tcW w:type="dxa" w:w="57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Grouped multivariate visualizations</w:t>
            </w:r>
          </w:p>
        </w:tc>
        <w:tc>
          <w:tcPr>
            <w:tcW w:type="dxa" w:w="308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 7.3</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5</w:t>
            </w:r>
          </w:p>
        </w:tc>
        <w:tc>
          <w:tcPr>
            <w:tcW w:type="dxa" w:w="57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PCA dimensionality reduction (and K-Means)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Sections 7.4, 7.5</w:t>
            </w:r>
          </w:p>
        </w:tc>
      </w:tr>
      <w:tr>
        <w:trPr>
          <w:cantSplit/>
        </w:trPr>
        <w:tc>
          <w:tcPr>
            <w:tcW w:type="dxa" w:w="77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5</w:t>
            </w:r>
          </w:p>
        </w:tc>
        <w:tc>
          <w:tcPr>
            <w:tcW w:type="dxa" w:w="57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Insights for machine learning (model, fairness)</w:t>
            </w:r>
          </w:p>
        </w:tc>
        <w:tc>
          <w:tcPr>
            <w:tcW w:type="dxa" w:w="308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Sections 7.6, 7.7</w:t>
            </w:r>
          </w:p>
        </w:tc>
      </w:tr>
    </w:tbl>
    <w:p>
      <w:pPr>
        <w:pStyle w:val="Heading1"/>
        <w:keepNext/>
      </w:pPr>
      <w:r>
        <w:rPr>
          <w:rFonts w:ascii="Times New Roman" w:cs="Times New Roman" w:eastAsia="Times New Roman" w:hAnsi="Times New Roman"/>
        </w:rPr>
        <w:t xml:space="preserve">2. Tools and Techniques</w:t>
      </w:r>
    </w:p>
    <w:p>
      <w:pPr>
        <w:pStyle w:val="Heading2"/>
        <w:keepNext/>
      </w:pPr>
      <w:r>
        <w:rPr>
          <w:rFonts w:ascii="Times New Roman" w:cs="Times New Roman" w:eastAsia="Times New Roman" w:hAnsi="Times New Roman"/>
        </w:rPr>
        <w:t xml:space="preserve">2.1 Hardware and Software Requirements</w:t>
      </w:r>
    </w:p>
    <w:p>
      <w:pPr>
        <w:keepNext/>
        <w:spacing w:after="80" w:before="120"/>
        <w:jc w:val="center"/>
      </w:pPr>
      <w:r>
        <w:rPr>
          <w:rFonts w:ascii="Times New Roman" w:cs="Times New Roman" w:eastAsia="Times New Roman" w:hAnsi="Times New Roman"/>
          <w:b/>
          <w:bCs/>
          <w:sz w:val="20"/>
          <w:szCs w:val="20"/>
        </w:rPr>
        <w:t xml:space="preserve">Table 2: Hardware and software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8"/>
                <w:szCs w:val="18"/>
              </w:rPr>
              <w:t xml:space="preserve">Component</w:t>
            </w:r>
          </w:p>
        </w:tc>
        <w:tc>
          <w:tcPr>
            <w:tcW w:type="dxa" w:w="693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8"/>
                <w:szCs w:val="18"/>
              </w:rPr>
              <w:t xml:space="preserve">Requirement</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Processor</w:t>
            </w:r>
          </w:p>
        </w:tc>
        <w:tc>
          <w:tcPr>
            <w:tcW w:type="dxa" w:w="693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Any modern dual-core CPU (Intel Core i3 / AMD Ryzen 3 or higher); no GPU needed</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RAM</w:t>
            </w:r>
          </w:p>
        </w:tc>
        <w:tc>
          <w:tcPr>
            <w:tcW w:type="dxa" w:w="693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4 GB minimum, 8 GB recommended</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Storage</w:t>
            </w:r>
          </w:p>
        </w:tc>
        <w:tc>
          <w:tcPr>
            <w:tcW w:type="dxa" w:w="693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Less than 500 MB (dataset is 13 MB; most space is for libraries)</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Operating system</w:t>
            </w:r>
          </w:p>
        </w:tc>
        <w:tc>
          <w:tcPr>
            <w:tcW w:type="dxa" w:w="693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Windows 10/11, Linux or macOS</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Python</w:t>
            </w:r>
          </w:p>
        </w:tc>
        <w:tc>
          <w:tcPr>
            <w:tcW w:type="dxa" w:w="693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Python 3.9 or later with a virtual environment</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Editor / notebook</w:t>
            </w:r>
          </w:p>
        </w:tc>
        <w:tc>
          <w:tcPr>
            <w:tcW w:type="dxa" w:w="693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Visual Studio Code or Jupyter Notebook / JupyterLab</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Version control</w:t>
            </w:r>
          </w:p>
        </w:tc>
        <w:tc>
          <w:tcPr>
            <w:tcW w:type="dxa" w:w="693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Git and GitHub</w:t>
            </w:r>
          </w:p>
        </w:tc>
      </w:tr>
    </w:tbl>
    <w:p>
      <w:pPr>
        <w:pStyle w:val="Heading2"/>
        <w:keepNext/>
      </w:pPr>
      <w:r>
        <w:rPr>
          <w:rFonts w:ascii="Times New Roman" w:cs="Times New Roman" w:eastAsia="Times New Roman" w:hAnsi="Times New Roman"/>
        </w:rPr>
        <w:t xml:space="preserve">2.2 Programming Language and Libraries</w:t>
      </w:r>
    </w:p>
    <w:p>
      <w:pPr>
        <w:keepNext/>
        <w:spacing w:after="80" w:before="120"/>
        <w:jc w:val="center"/>
      </w:pPr>
      <w:r>
        <w:rPr>
          <w:rFonts w:ascii="Times New Roman" w:cs="Times New Roman" w:eastAsia="Times New Roman" w:hAnsi="Times New Roman"/>
          <w:b/>
          <w:bCs/>
          <w:sz w:val="20"/>
          <w:szCs w:val="20"/>
        </w:rPr>
        <w:t xml:space="preserve">Table 3: Libraries and their use in this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120"/>
        <w:gridCol w:w="5590"/>
      </w:tblGrid>
      <w:tr>
        <w:trPr>
          <w:cantSplit/>
          <w:tblHeader/>
        </w:trPr>
        <w:tc>
          <w:tcPr>
            <w:tcW w:type="dxa" w:w="19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8"/>
                <w:szCs w:val="18"/>
              </w:rPr>
              <w:t xml:space="preserve">Category</w:t>
            </w:r>
          </w:p>
        </w:tc>
        <w:tc>
          <w:tcPr>
            <w:tcW w:type="dxa" w:w="21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Tool / Library</w:t>
            </w:r>
          </w:p>
        </w:tc>
        <w:tc>
          <w:tcPr>
            <w:tcW w:type="dxa" w:w="559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8"/>
                <w:szCs w:val="18"/>
              </w:rPr>
              <w:t xml:space="preserve">Use in this project</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Language</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Python 3</w:t>
            </w:r>
          </w:p>
        </w:tc>
        <w:tc>
          <w:tcPr>
            <w:tcW w:type="dxa" w:w="559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All analysis code</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Data handling</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Pandas, NumPy</w:t>
            </w:r>
          </w:p>
        </w:tc>
        <w:tc>
          <w:tcPr>
            <w:tcW w:type="dxa" w:w="559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Loading, cleaning, grouping, transformation</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Static plots</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Matplotlib, Seaborn</w:t>
            </w:r>
          </w:p>
        </w:tc>
        <w:tc>
          <w:tcPr>
            <w:tcW w:type="dxa" w:w="559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Units 2 to 5 figures</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Interactive plots</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Plotly, Bokeh</w:t>
            </w:r>
          </w:p>
        </w:tc>
        <w:tc>
          <w:tcPr>
            <w:tcW w:type="dxa" w:w="559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Hover-enabled scatter, heatmap and 3D plots (HTML)</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Statistics</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SciPy</w:t>
            </w:r>
          </w:p>
        </w:tc>
        <w:tc>
          <w:tcPr>
            <w:tcW w:type="dxa" w:w="559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Pearson, Spearman, chi-square, t-test, Mann-Whitney, ANOVA, Kruskal-Wallis, Beta posterior, KDE</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Machine learning</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scikit-learn</w:t>
            </w:r>
          </w:p>
        </w:tc>
        <w:tc>
          <w:tcPr>
            <w:tcW w:type="dxa" w:w="559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StandardScaler, OneHotEncoder, PCA, KMeans, LogisticRegression, RandomForest, HistGradientBoosting, cross-validation, metrics, permutation importance</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Model storage</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joblib</w:t>
            </w:r>
          </w:p>
        </w:tc>
        <w:tc>
          <w:tcPr>
            <w:tcW w:type="dxa" w:w="559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Saving the trained pipeline for the live demo</w:t>
            </w:r>
          </w:p>
        </w:tc>
      </w:tr>
    </w:tbl>
    <w:p>
      <w:pPr>
        <w:pStyle w:val="Heading2"/>
        <w:keepNext/>
      </w:pPr>
      <w:r>
        <w:rPr>
          <w:rFonts w:ascii="Times New Roman" w:cs="Times New Roman" w:eastAsia="Times New Roman" w:hAnsi="Times New Roman"/>
        </w:rPr>
        <w:t xml:space="preserve">2.3 EDA Goals, Process and Data Types</w:t>
      </w:r>
    </w:p>
    <w:p>
      <w:pPr>
        <w:spacing w:after="120" w:line="276"/>
        <w:jc w:val="both"/>
      </w:pPr>
      <w:r>
        <w:rPr>
          <w:rFonts w:ascii="Times New Roman" w:cs="Times New Roman" w:eastAsia="Times New Roman" w:hAnsi="Times New Roman"/>
          <w:sz w:val="22"/>
          <w:szCs w:val="22"/>
        </w:rPr>
        <w:t xml:space="preserve">The goals of EDA are to (a) understand the structure of the data, (b) detect errors, missing values and outliers, (c) summarise distributions and relationships, (d) generate hypotheses and (e) choose suitable transformations and models. The process followed in this project is iterative and consists of seven steps: define the question, load the data, inspect and clean, transform and group, visualize, analyse statistically, and communicate.</w:t>
      </w:r>
    </w:p>
    <w:p>
      <w:pPr>
        <w:spacing w:after="120" w:line="276"/>
        <w:jc w:val="both"/>
      </w:pPr>
      <w:r>
        <w:rPr>
          <w:rFonts w:ascii="Times New Roman" w:cs="Times New Roman" w:eastAsia="Times New Roman" w:hAnsi="Times New Roman"/>
          <w:sz w:val="22"/>
          <w:szCs w:val="22"/>
        </w:rPr>
        <w:t xml:space="preserve">Variables are classified by measurement scale. </w:t>
      </w:r>
      <w:r>
        <w:rPr>
          <w:rFonts w:ascii="Times New Roman" w:cs="Times New Roman" w:eastAsia="Times New Roman" w:hAnsi="Times New Roman"/>
          <w:b/>
          <w:bCs/>
          <w:sz w:val="22"/>
          <w:szCs w:val="22"/>
        </w:rPr>
        <w:t xml:space="preserve">Nominal</w:t>
      </w:r>
      <w:r>
        <w:rPr>
          <w:rFonts w:ascii="Times New Roman" w:cs="Times New Roman" w:eastAsia="Times New Roman" w:hAnsi="Times New Roman"/>
          <w:sz w:val="22"/>
          <w:szCs w:val="22"/>
        </w:rPr>
        <w:t xml:space="preserve"> categorical variables are gender, nationality, course_type and study_mode. </w:t>
      </w:r>
      <w:r>
        <w:rPr>
          <w:rFonts w:ascii="Times New Roman" w:cs="Times New Roman" w:eastAsia="Times New Roman" w:hAnsi="Times New Roman"/>
          <w:b/>
          <w:bCs/>
          <w:sz w:val="22"/>
          <w:szCs w:val="22"/>
        </w:rPr>
        <w:t xml:space="preserve">Ordinal</w:t>
      </w:r>
      <w:r>
        <w:rPr>
          <w:rFonts w:ascii="Times New Roman" w:cs="Times New Roman" w:eastAsia="Times New Roman" w:hAnsi="Times New Roman"/>
          <w:sz w:val="22"/>
          <w:szCs w:val="22"/>
        </w:rPr>
        <w:t xml:space="preserve"> is family_income_level (Low &lt; Middle &lt; High). </w:t>
      </w:r>
      <w:r>
        <w:rPr>
          <w:rFonts w:ascii="Times New Roman" w:cs="Times New Roman" w:eastAsia="Times New Roman" w:hAnsi="Times New Roman"/>
          <w:b/>
          <w:bCs/>
          <w:sz w:val="22"/>
          <w:szCs w:val="22"/>
        </w:rPr>
        <w:t xml:space="preserve">Binary</w:t>
      </w:r>
      <w:r>
        <w:rPr>
          <w:rFonts w:ascii="Times New Roman" w:cs="Times New Roman" w:eastAsia="Times New Roman" w:hAnsi="Times New Roman"/>
          <w:sz w:val="22"/>
          <w:szCs w:val="22"/>
        </w:rPr>
        <w:t xml:space="preserve"> variables (0/1) are first_generation, disability_status, scholarship_holder, tuition_up_to_date, part_time_job, international_student, extracurricular_activities, mental_health_support and the target dropout. </w:t>
      </w:r>
      <w:r>
        <w:rPr>
          <w:rFonts w:ascii="Times New Roman" w:cs="Times New Roman" w:eastAsia="Times New Roman" w:hAnsi="Times New Roman"/>
          <w:b/>
          <w:bCs/>
          <w:sz w:val="22"/>
          <w:szCs w:val="22"/>
        </w:rPr>
        <w:t xml:space="preserve">Discrete numerical</w:t>
      </w:r>
      <w:r>
        <w:rPr>
          <w:rFonts w:ascii="Times New Roman" w:cs="Times New Roman" w:eastAsia="Times New Roman" w:hAnsi="Times New Roman"/>
          <w:sz w:val="22"/>
          <w:szCs w:val="22"/>
        </w:rPr>
        <w:t xml:space="preserve"> variables include age, semester, units_enrolled, units_passed, units_failed, missed_deadlines, library_visits_per_month, stress_level (1-10) and satisfaction_score (1-10). </w:t>
      </w:r>
      <w:r>
        <w:rPr>
          <w:rFonts w:ascii="Times New Roman" w:cs="Times New Roman" w:eastAsia="Times New Roman" w:hAnsi="Times New Roman"/>
          <w:b/>
          <w:bCs/>
          <w:sz w:val="22"/>
          <w:szCs w:val="22"/>
        </w:rPr>
        <w:t xml:space="preserve">Continuous numerical</w:t>
      </w:r>
      <w:r>
        <w:rPr>
          <w:rFonts w:ascii="Times New Roman" w:cs="Times New Roman" w:eastAsia="Times New Roman" w:hAnsi="Times New Roman"/>
          <w:sz w:val="22"/>
          <w:szCs w:val="22"/>
        </w:rPr>
        <w:t xml:space="preserve"> variables include the grades, GPA values, attendance and assignment rates, LMS logins, commute time and sleep hours. Knowing the type decides which plots and statistics are valid: bar charts and frequency tables for categories, histograms and box plots for numbers, chi-square for two categories, and correlation only for numeric pairs.</w:t>
      </w:r>
    </w:p>
    <w:p>
      <w:pPr>
        <w:pStyle w:val="Heading2"/>
        <w:keepNext/>
      </w:pPr>
      <w:r>
        <w:rPr>
          <w:rFonts w:ascii="Times New Roman" w:cs="Times New Roman" w:eastAsia="Times New Roman" w:hAnsi="Times New Roman"/>
        </w:rPr>
        <w:t xml:space="preserve">2.4 Key Techniques Used</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Log transformation (log1p):</w:t>
      </w:r>
      <w:r>
        <w:rPr>
          <w:rFonts w:ascii="Times New Roman" w:cs="Times New Roman" w:eastAsia="Times New Roman" w:hAnsi="Times New Roman"/>
          <w:sz w:val="22"/>
          <w:szCs w:val="22"/>
        </w:rPr>
        <w:t xml:space="preserve"> compresses long right tails in counts such as missed deadlines, commute time and library visits.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IQR rule:</w:t>
      </w:r>
      <w:r>
        <w:rPr>
          <w:rFonts w:ascii="Times New Roman" w:cs="Times New Roman" w:eastAsia="Times New Roman" w:hAnsi="Times New Roman"/>
          <w:sz w:val="22"/>
          <w:szCs w:val="22"/>
        </w:rPr>
        <w:t xml:space="preserve"> a value below Q1 - 1.5 x IQR or above Q3 + 1.5 x IQR is flagged as an outlier.</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Pearson and Spearman correlation:</w:t>
      </w:r>
      <w:r>
        <w:rPr>
          <w:rFonts w:ascii="Times New Roman" w:cs="Times New Roman" w:eastAsia="Times New Roman" w:hAnsi="Times New Roman"/>
          <w:sz w:val="22"/>
          <w:szCs w:val="22"/>
        </w:rPr>
        <w:t xml:space="preserve"> linear versus rank-based (monotonic) association between numeric pairs.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Chi-square test and Cramér's V:</w:t>
      </w:r>
      <w:r>
        <w:rPr>
          <w:rFonts w:ascii="Times New Roman" w:cs="Times New Roman" w:eastAsia="Times New Roman" w:hAnsi="Times New Roman"/>
          <w:sz w:val="22"/>
          <w:szCs w:val="22"/>
        </w:rPr>
        <w:t xml:space="preserve"> significance and strength of association between two categorical variables.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Welch t-test, Mann-Whitney U and Cohen's d:</w:t>
      </w:r>
      <w:r>
        <w:rPr>
          <w:rFonts w:ascii="Times New Roman" w:cs="Times New Roman" w:eastAsia="Times New Roman" w:hAnsi="Times New Roman"/>
          <w:sz w:val="22"/>
          <w:szCs w:val="22"/>
        </w:rPr>
        <w:t xml:space="preserve"> comparing a numeric variable between students who stayed and dropped out, with an effect size.</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ANOVA, Kruskal-Wallis and eta-squared:</w:t>
      </w:r>
      <w:r>
        <w:rPr>
          <w:rFonts w:ascii="Times New Roman" w:cs="Times New Roman" w:eastAsia="Times New Roman" w:hAnsi="Times New Roman"/>
          <w:sz w:val="22"/>
          <w:szCs w:val="22"/>
        </w:rPr>
        <w:t xml:space="preserve"> comparing a numeric variable across more than two groups.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Beta-Binomial Bayesian inference:</w:t>
      </w:r>
      <w:r>
        <w:rPr>
          <w:rFonts w:ascii="Times New Roman" w:cs="Times New Roman" w:eastAsia="Times New Roman" w:hAnsi="Times New Roman"/>
          <w:sz w:val="22"/>
          <w:szCs w:val="22"/>
        </w:rPr>
        <w:t xml:space="preserve"> a posterior distribution for the dropout probability and for differences between groups.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PCA and K-Means:</w:t>
      </w:r>
      <w:r>
        <w:rPr>
          <w:rFonts w:ascii="Times New Roman" w:cs="Times New Roman" w:eastAsia="Times New Roman" w:hAnsi="Times New Roman"/>
          <w:sz w:val="22"/>
          <w:szCs w:val="22"/>
        </w:rPr>
        <w:t xml:space="preserve"> dimensionality reduction and unsupervised segmentation on standardised features.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Stratified train/test split and k-fold cross-validation:</w:t>
      </w:r>
      <w:r>
        <w:rPr>
          <w:rFonts w:ascii="Times New Roman" w:cs="Times New Roman" w:eastAsia="Times New Roman" w:hAnsi="Times New Roman"/>
          <w:sz w:val="22"/>
          <w:szCs w:val="22"/>
        </w:rPr>
        <w:t xml:space="preserve"> honest evaluation of classification models on an imbalanced target.</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Permutation importance, risk deciles and fairness audit:</w:t>
      </w:r>
      <w:r>
        <w:rPr>
          <w:rFonts w:ascii="Times New Roman" w:cs="Times New Roman" w:eastAsia="Times New Roman" w:hAnsi="Times New Roman"/>
          <w:sz w:val="22"/>
          <w:szCs w:val="22"/>
        </w:rPr>
        <w:t xml:space="preserve"> explaining the model, measuring its practical value and checking it for group disparities.</w:t>
      </w:r>
    </w:p>
    <w:p>
      <w:pPr>
        <w:pStyle w:val="Heading1"/>
        <w:keepNext/>
      </w:pPr>
      <w:r>
        <w:rPr>
          <w:rFonts w:ascii="Times New Roman" w:cs="Times New Roman" w:eastAsia="Times New Roman" w:hAnsi="Times New Roman"/>
        </w:rPr>
        <w:t xml:space="preserve">3. Exploratory Data Analysis</w:t>
      </w:r>
    </w:p>
    <w:p>
      <w:pPr>
        <w:pStyle w:val="Heading2"/>
        <w:keepNext/>
      </w:pPr>
      <w:r>
        <w:rPr>
          <w:rFonts w:ascii="Times New Roman" w:cs="Times New Roman" w:eastAsia="Times New Roman" w:hAnsi="Times New Roman"/>
        </w:rPr>
        <w:t xml:space="preserve">3.1 Dataset Description</w:t>
      </w:r>
    </w:p>
    <w:p>
      <w:pPr>
        <w:spacing w:after="120" w:line="276"/>
        <w:jc w:val="both"/>
      </w:pPr>
      <w:r>
        <w:rPr>
          <w:rFonts w:ascii="Times New Roman" w:cs="Times New Roman" w:eastAsia="Times New Roman" w:hAnsi="Times New Roman"/>
          <w:sz w:val="22"/>
          <w:szCs w:val="22"/>
        </w:rPr>
        <w:t xml:space="preserve">Each row of the CSV represents one student, and the columns describe the student's background, finances, study pattern, academic results, engagement and wellbeing. The last column, dropout, is the target. The table below describes all 34 columns.</w:t>
      </w:r>
    </w:p>
    <w:p>
      <w:pPr>
        <w:keepNext/>
        <w:spacing w:after="80" w:before="120"/>
        <w:jc w:val="center"/>
      </w:pPr>
      <w:r>
        <w:rPr>
          <w:rFonts w:ascii="Times New Roman" w:cs="Times New Roman" w:eastAsia="Times New Roman" w:hAnsi="Times New Roman"/>
          <w:b/>
          <w:bCs/>
          <w:sz w:val="20"/>
          <w:szCs w:val="20"/>
        </w:rPr>
        <w:t xml:space="preserve">Table 4: Data dictionary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542"/>
        <w:gridCol w:w="5397"/>
      </w:tblGrid>
      <w:tr>
        <w:trPr>
          <w:cantSplit/>
          <w:tblHeader/>
        </w:trPr>
        <w:tc>
          <w:tcPr>
            <w:tcW w:type="dxa" w:w="269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7"/>
                <w:szCs w:val="17"/>
              </w:rPr>
              <w:t xml:space="preserve">Column</w:t>
            </w:r>
          </w:p>
        </w:tc>
        <w:tc>
          <w:tcPr>
            <w:tcW w:type="dxa" w:w="15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Type</w:t>
            </w:r>
          </w:p>
        </w:tc>
        <w:tc>
          <w:tcPr>
            <w:tcW w:type="dxa" w:w="539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7"/>
                <w:szCs w:val="17"/>
              </w:rPr>
              <w:t xml:space="preserve">Meaning</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person_id</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Identifier</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Unique student ID (1 to 100,000)</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age</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Age in years (15 to 30)</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gender</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Categorical</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Female, Male or Other</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nationality</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Categorical</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Country of origin (15 countries)</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first_generation</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Binary</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 = first in the family to attend university</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disability_status</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Binary</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 = student has a registered disability</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family_income_level</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Ordinal</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Low, Middle or High</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scholarship_holder</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Binary</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 = receives a scholarship</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tuition_up_to_date</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Binary</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 = tuition fees are paid up to date</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part_time_job</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Binary</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 = has a part-time job</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weekly_work_hours</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Hours worked per week (0 to 40)</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course_type</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Categorical</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STEM, Business, Arts &amp; Humanities, Health Sciences, Law &amp; Social Sciences</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study_mode</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Categorical</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Full-time, Part-time or Online</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semester</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Current semester (1 to 8)</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international_student</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Binary</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 = international student</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admission_grade</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Admission grade on a 0-200 scale</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previous_qualification_grade</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Previous qualification grade (0-200)</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units_enrolled</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 units enrolled in</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units_passed</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 units passed</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units_failed</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 units failed</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gpa_semester_1</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GPA of semester 1 (0 to 4)</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gpa_semester_2</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GPA of semester 2 (0 to 4)</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attendance_rate</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Class attendance (%)</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assignments_submitted_rate</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Assignments submitted (%)</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library_visits_per_month</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Library visits per month</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lms_logins_per_week</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Learning-platform logins per week</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extracurricular_activities</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Binary</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 = takes part in extracurricular activities</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missed_deadlines</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Number of missed deadlines</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stress_level</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Self-reported stress (1 to 10)</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mental_health_support</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Binary</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 = uses mental-health support services</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satisfaction_score</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Satisfaction with the programme (1 to 10)</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commute_time_mins</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Commute time in minutes</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sleep_hours</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Numerical</w:t>
            </w:r>
          </w:p>
        </w:tc>
        <w:tc>
          <w:tcPr>
            <w:tcW w:type="dxa" w:w="539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Average sleep per night (hours)</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dropout</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Binary (target)</w:t>
            </w:r>
          </w:p>
        </w:tc>
        <w:tc>
          <w:tcPr>
            <w:tcW w:type="dxa" w:w="539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 = student dropped out, 0 = stayed</w:t>
            </w:r>
          </w:p>
        </w:tc>
      </w:tr>
    </w:tbl>
    <w:p>
      <w:pPr>
        <w:pStyle w:val="Heading2"/>
        <w:keepNext/>
      </w:pPr>
      <w:r>
        <w:rPr>
          <w:rFonts w:ascii="Times New Roman" w:cs="Times New Roman" w:eastAsia="Times New Roman" w:hAnsi="Times New Roman"/>
        </w:rPr>
        <w:t xml:space="preserve">3.2 Loading and Initial Inspection</w:t>
      </w:r>
    </w:p>
    <w:p>
      <w:pPr>
        <w:spacing w:after="120" w:line="276"/>
        <w:jc w:val="both"/>
      </w:pPr>
      <w:r>
        <w:rPr>
          <w:rFonts w:ascii="Times New Roman" w:cs="Times New Roman" w:eastAsia="Times New Roman" w:hAnsi="Times New Roman"/>
          <w:sz w:val="22"/>
          <w:szCs w:val="22"/>
        </w:rPr>
        <w:t xml:space="preserve">The file is loaded with Pandas using UTF-8 encoding. The first checks are the shape, the data types, a preview of the rows and the summary statistics.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import pandas as pd, numpy as np</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df = pd.read_csv("data/student_dropout_risk_2026.csv", encoding="utf-8")</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print(df.shape)              # (100000, 34)</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print(df.dtypes.value_counts())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print(df.head())</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print(df.describe().T)</w:t>
      </w:r>
    </w:p>
    <w:p>
      <w:pPr>
        <w:spacing w:after="80"/>
      </w:pPr>
    </w:p>
    <w:p>
      <w:pPr>
        <w:spacing w:after="120" w:line="276"/>
        <w:jc w:val="both"/>
      </w:pPr>
      <w:r>
        <w:rPr>
          <w:rFonts w:ascii="Times New Roman" w:cs="Times New Roman" w:eastAsia="Times New Roman" w:hAnsi="Times New Roman"/>
          <w:sz w:val="22"/>
          <w:szCs w:val="22"/>
        </w:rPr>
        <w:t xml:space="preserve">The result is 100,000 rows and 34 columns: 21 integer columns, 8 floating-point columns and 5 text columns. The file is pure ASCII/UTF-8 and loads without any encoding error.</w:t>
      </w:r>
    </w:p>
    <w:p>
      <w:pPr>
        <w:keepNext/>
        <w:spacing w:after="80" w:before="120"/>
        <w:jc w:val="center"/>
      </w:pPr>
      <w:r>
        <w:rPr>
          <w:rFonts w:ascii="Times New Roman" w:cs="Times New Roman" w:eastAsia="Times New Roman" w:hAnsi="Times New Roman"/>
          <w:b/>
          <w:bCs/>
          <w:sz w:val="20"/>
          <w:szCs w:val="20"/>
        </w:rPr>
        <w:t xml:space="preserve">Table 5: First five rows (selected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596"/>
        <w:gridCol w:w="795"/>
        <w:gridCol w:w="894"/>
        <w:gridCol w:w="1788"/>
        <w:gridCol w:w="994"/>
        <w:gridCol w:w="696"/>
        <w:gridCol w:w="795"/>
        <w:gridCol w:w="795"/>
        <w:gridCol w:w="894"/>
        <w:gridCol w:w="795"/>
      </w:tblGrid>
      <w:tr>
        <w:trPr>
          <w:cantSplit/>
          <w:tblHeader/>
        </w:trPr>
        <w:tc>
          <w:tcPr>
            <w:tcW w:type="dxa" w:w="59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6"/>
                <w:szCs w:val="16"/>
              </w:rPr>
              <w:t xml:space="preserve">ID</w:t>
            </w:r>
          </w:p>
        </w:tc>
        <w:tc>
          <w:tcPr>
            <w:tcW w:type="dxa" w:w="59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Age</w:t>
            </w:r>
          </w:p>
        </w:tc>
        <w:tc>
          <w:tcPr>
            <w:tcW w:type="dxa" w:w="79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Gender</w:t>
            </w:r>
          </w:p>
        </w:tc>
        <w:tc>
          <w:tcPr>
            <w:tcW w:type="dxa" w:w="89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Income</w:t>
            </w:r>
          </w:p>
        </w:tc>
        <w:tc>
          <w:tcPr>
            <w:tcW w:type="dxa" w:w="178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Course</w:t>
            </w:r>
          </w:p>
        </w:tc>
        <w:tc>
          <w:tcPr>
            <w:tcW w:type="dxa" w:w="99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Mode</w:t>
            </w:r>
          </w:p>
        </w:tc>
        <w:tc>
          <w:tcPr>
            <w:tcW w:type="dxa" w:w="69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Failed</w:t>
            </w:r>
          </w:p>
        </w:tc>
        <w:tc>
          <w:tcPr>
            <w:tcW w:type="dxa" w:w="79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GPA S1</w:t>
            </w:r>
          </w:p>
        </w:tc>
        <w:tc>
          <w:tcPr>
            <w:tcW w:type="dxa" w:w="79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GPA S2</w:t>
            </w:r>
          </w:p>
        </w:tc>
        <w:tc>
          <w:tcPr>
            <w:tcW w:type="dxa" w:w="89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Attend.</w:t>
            </w:r>
          </w:p>
        </w:tc>
        <w:tc>
          <w:tcPr>
            <w:tcW w:type="dxa" w:w="79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Dropout</w:t>
            </w:r>
          </w:p>
        </w:tc>
      </w:tr>
      <w:tr>
        <w:trPr>
          <w:cantSplit/>
        </w:trPr>
        <w:tc>
          <w:tcPr>
            <w:tcW w:type="dxa" w:w="59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1</w:t>
            </w:r>
          </w:p>
        </w:tc>
        <w:tc>
          <w:tcPr>
            <w:tcW w:type="dxa" w:w="59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23</w:t>
            </w:r>
          </w:p>
        </w:tc>
        <w:tc>
          <w:tcPr>
            <w:tcW w:type="dxa" w:w="79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Male</w:t>
            </w:r>
          </w:p>
        </w:tc>
        <w:tc>
          <w:tcPr>
            <w:tcW w:type="dxa" w:w="89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Low</w:t>
            </w:r>
          </w:p>
        </w:tc>
        <w:tc>
          <w:tcPr>
            <w:tcW w:type="dxa" w:w="178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STEM</w:t>
            </w:r>
          </w:p>
        </w:tc>
        <w:tc>
          <w:tcPr>
            <w:tcW w:type="dxa" w:w="99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Online</w:t>
            </w:r>
          </w:p>
        </w:tc>
        <w:tc>
          <w:tcPr>
            <w:tcW w:type="dxa" w:w="69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w:t>
            </w:r>
          </w:p>
        </w:tc>
        <w:tc>
          <w:tcPr>
            <w:tcW w:type="dxa" w:w="79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3.44</w:t>
            </w:r>
          </w:p>
        </w:tc>
        <w:tc>
          <w:tcPr>
            <w:tcW w:type="dxa" w:w="79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2.55</w:t>
            </w:r>
          </w:p>
        </w:tc>
        <w:tc>
          <w:tcPr>
            <w:tcW w:type="dxa" w:w="89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77.3</w:t>
            </w:r>
          </w:p>
        </w:tc>
        <w:tc>
          <w:tcPr>
            <w:tcW w:type="dxa" w:w="79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w:t>
            </w:r>
          </w:p>
        </w:tc>
      </w:tr>
      <w:tr>
        <w:trPr>
          <w:cantSplit/>
        </w:trPr>
        <w:tc>
          <w:tcPr>
            <w:tcW w:type="dxa" w:w="59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2</w:t>
            </w:r>
          </w:p>
        </w:tc>
        <w:tc>
          <w:tcPr>
            <w:tcW w:type="dxa" w:w="59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18</w:t>
            </w:r>
          </w:p>
        </w:tc>
        <w:tc>
          <w:tcPr>
            <w:tcW w:type="dxa" w:w="79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Other</w:t>
            </w:r>
          </w:p>
        </w:tc>
        <w:tc>
          <w:tcPr>
            <w:tcW w:type="dxa" w:w="89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High</w:t>
            </w:r>
          </w:p>
        </w:tc>
        <w:tc>
          <w:tcPr>
            <w:tcW w:type="dxa" w:w="178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Arts &amp; Humanities</w:t>
            </w:r>
          </w:p>
        </w:tc>
        <w:tc>
          <w:tcPr>
            <w:tcW w:type="dxa" w:w="99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Full-time</w:t>
            </w:r>
          </w:p>
        </w:tc>
        <w:tc>
          <w:tcPr>
            <w:tcW w:type="dxa" w:w="69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w:t>
            </w:r>
          </w:p>
        </w:tc>
        <w:tc>
          <w:tcPr>
            <w:tcW w:type="dxa" w:w="79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2.56</w:t>
            </w:r>
          </w:p>
        </w:tc>
        <w:tc>
          <w:tcPr>
            <w:tcW w:type="dxa" w:w="79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2.53</w:t>
            </w:r>
          </w:p>
        </w:tc>
        <w:tc>
          <w:tcPr>
            <w:tcW w:type="dxa" w:w="89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52.1</w:t>
            </w:r>
          </w:p>
        </w:tc>
        <w:tc>
          <w:tcPr>
            <w:tcW w:type="dxa" w:w="79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w:t>
            </w:r>
          </w:p>
        </w:tc>
      </w:tr>
      <w:tr>
        <w:trPr>
          <w:cantSplit/>
        </w:trPr>
        <w:tc>
          <w:tcPr>
            <w:tcW w:type="dxa" w:w="59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3</w:t>
            </w:r>
          </w:p>
        </w:tc>
        <w:tc>
          <w:tcPr>
            <w:tcW w:type="dxa" w:w="59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24</w:t>
            </w:r>
          </w:p>
        </w:tc>
        <w:tc>
          <w:tcPr>
            <w:tcW w:type="dxa" w:w="79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Other</w:t>
            </w:r>
          </w:p>
        </w:tc>
        <w:tc>
          <w:tcPr>
            <w:tcW w:type="dxa" w:w="89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High</w:t>
            </w:r>
          </w:p>
        </w:tc>
        <w:tc>
          <w:tcPr>
            <w:tcW w:type="dxa" w:w="178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Arts &amp; Humanities</w:t>
            </w:r>
          </w:p>
        </w:tc>
        <w:tc>
          <w:tcPr>
            <w:tcW w:type="dxa" w:w="99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Full-time</w:t>
            </w:r>
          </w:p>
        </w:tc>
        <w:tc>
          <w:tcPr>
            <w:tcW w:type="dxa" w:w="69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w:t>
            </w:r>
          </w:p>
        </w:tc>
        <w:tc>
          <w:tcPr>
            <w:tcW w:type="dxa" w:w="79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3.43</w:t>
            </w:r>
          </w:p>
        </w:tc>
        <w:tc>
          <w:tcPr>
            <w:tcW w:type="dxa" w:w="79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2.73</w:t>
            </w:r>
          </w:p>
        </w:tc>
        <w:tc>
          <w:tcPr>
            <w:tcW w:type="dxa" w:w="89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100.0</w:t>
            </w:r>
          </w:p>
        </w:tc>
        <w:tc>
          <w:tcPr>
            <w:tcW w:type="dxa" w:w="79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w:t>
            </w:r>
          </w:p>
        </w:tc>
      </w:tr>
      <w:tr>
        <w:trPr>
          <w:cantSplit/>
        </w:trPr>
        <w:tc>
          <w:tcPr>
            <w:tcW w:type="dxa" w:w="59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4</w:t>
            </w:r>
          </w:p>
        </w:tc>
        <w:tc>
          <w:tcPr>
            <w:tcW w:type="dxa" w:w="59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25</w:t>
            </w:r>
          </w:p>
        </w:tc>
        <w:tc>
          <w:tcPr>
            <w:tcW w:type="dxa" w:w="79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Female</w:t>
            </w:r>
          </w:p>
        </w:tc>
        <w:tc>
          <w:tcPr>
            <w:tcW w:type="dxa" w:w="89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Middle</w:t>
            </w:r>
          </w:p>
        </w:tc>
        <w:tc>
          <w:tcPr>
            <w:tcW w:type="dxa" w:w="178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Business</w:t>
            </w:r>
          </w:p>
        </w:tc>
        <w:tc>
          <w:tcPr>
            <w:tcW w:type="dxa" w:w="99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Full-time</w:t>
            </w:r>
          </w:p>
        </w:tc>
        <w:tc>
          <w:tcPr>
            <w:tcW w:type="dxa" w:w="69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w:t>
            </w:r>
          </w:p>
        </w:tc>
        <w:tc>
          <w:tcPr>
            <w:tcW w:type="dxa" w:w="79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2.51</w:t>
            </w:r>
          </w:p>
        </w:tc>
        <w:tc>
          <w:tcPr>
            <w:tcW w:type="dxa" w:w="79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2.1</w:t>
            </w:r>
          </w:p>
        </w:tc>
        <w:tc>
          <w:tcPr>
            <w:tcW w:type="dxa" w:w="89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83.9</w:t>
            </w:r>
          </w:p>
        </w:tc>
        <w:tc>
          <w:tcPr>
            <w:tcW w:type="dxa" w:w="79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w:t>
            </w:r>
          </w:p>
        </w:tc>
      </w:tr>
      <w:tr>
        <w:trPr>
          <w:cantSplit/>
        </w:trPr>
        <w:tc>
          <w:tcPr>
            <w:tcW w:type="dxa" w:w="59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5</w:t>
            </w:r>
          </w:p>
        </w:tc>
        <w:tc>
          <w:tcPr>
            <w:tcW w:type="dxa" w:w="59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15</w:t>
            </w:r>
          </w:p>
        </w:tc>
        <w:tc>
          <w:tcPr>
            <w:tcW w:type="dxa" w:w="79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Female</w:t>
            </w:r>
          </w:p>
        </w:tc>
        <w:tc>
          <w:tcPr>
            <w:tcW w:type="dxa" w:w="89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Low</w:t>
            </w:r>
          </w:p>
        </w:tc>
        <w:tc>
          <w:tcPr>
            <w:tcW w:type="dxa" w:w="178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Health Sciences</w:t>
            </w:r>
          </w:p>
        </w:tc>
        <w:tc>
          <w:tcPr>
            <w:tcW w:type="dxa" w:w="99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Part-time</w:t>
            </w:r>
          </w:p>
        </w:tc>
        <w:tc>
          <w:tcPr>
            <w:tcW w:type="dxa" w:w="69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w:t>
            </w:r>
          </w:p>
        </w:tc>
        <w:tc>
          <w:tcPr>
            <w:tcW w:type="dxa" w:w="79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3.93</w:t>
            </w:r>
          </w:p>
        </w:tc>
        <w:tc>
          <w:tcPr>
            <w:tcW w:type="dxa" w:w="79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2.88</w:t>
            </w:r>
          </w:p>
        </w:tc>
        <w:tc>
          <w:tcPr>
            <w:tcW w:type="dxa" w:w="89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61.6</w:t>
            </w:r>
          </w:p>
        </w:tc>
        <w:tc>
          <w:tcPr>
            <w:tcW w:type="dxa" w:w="79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w:t>
            </w:r>
          </w:p>
        </w:tc>
      </w:tr>
    </w:tbl>
    <w:p>
      <w:pPr>
        <w:spacing w:after="120"/>
      </w:pPr>
    </w:p>
    <w:p>
      <w:pPr>
        <w:pStyle w:val="Heading2"/>
        <w:keepNext/>
      </w:pPr>
      <w:r>
        <w:rPr>
          <w:rFonts w:ascii="Times New Roman" w:cs="Times New Roman" w:eastAsia="Times New Roman" w:hAnsi="Times New Roman"/>
        </w:rPr>
        <w:t xml:space="preserve">3.3 Missing Values, Duplicates and Encoding</w:t>
      </w:r>
    </w:p>
    <w:p>
      <w:pPr>
        <w:spacing w:after="120" w:line="276"/>
        <w:jc w:val="both"/>
      </w:pPr>
      <w:r>
        <w:rPr>
          <w:rFonts w:ascii="Times New Roman" w:cs="Times New Roman" w:eastAsia="Times New Roman" w:hAnsi="Times New Roman"/>
          <w:sz w:val="22"/>
          <w:szCs w:val="22"/>
        </w:rPr>
        <w:t xml:space="preserve">The table below summarises the data-quality checks. The data are structurally very clean: there are no missing cells, no duplicate rows and no duplicate IDs. The logical rules also hold for every row: units_passed + units_failed equals units_enrolled, GPA values lie between 0 and 4, rates lie between 0 and 100, grades do not exceed 200, and weekly_work_hours is positive exactly when part_time_job is 1.</w:t>
      </w:r>
    </w:p>
    <w:p>
      <w:pPr>
        <w:keepNext/>
        <w:spacing w:after="80" w:before="120"/>
        <w:jc w:val="center"/>
      </w:pPr>
      <w:r>
        <w:rPr>
          <w:rFonts w:ascii="Times New Roman" w:cs="Times New Roman" w:eastAsia="Times New Roman" w:hAnsi="Times New Roman"/>
          <w:b/>
          <w:bCs/>
          <w:sz w:val="20"/>
          <w:szCs w:val="20"/>
        </w:rPr>
        <w:t xml:space="preserve">Table 6: Data-quality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1157"/>
        <w:gridCol w:w="4433"/>
      </w:tblGrid>
      <w:tr>
        <w:trPr>
          <w:cantSplit/>
          <w:tblHeader/>
        </w:trPr>
        <w:tc>
          <w:tcPr>
            <w:tcW w:type="dxa" w:w="404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7"/>
                <w:szCs w:val="17"/>
              </w:rPr>
              <w:t xml:space="preserve">Check</w:t>
            </w:r>
          </w:p>
        </w:tc>
        <w:tc>
          <w:tcPr>
            <w:tcW w:type="dxa" w:w="11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Result</w:t>
            </w:r>
          </w:p>
        </w:tc>
        <w:tc>
          <w:tcPr>
            <w:tcW w:type="dxa" w:w="443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7"/>
                <w:szCs w:val="17"/>
              </w:rPr>
              <w:t xml:space="preserve">Action / observation</w:t>
            </w:r>
          </w:p>
        </w:tc>
      </w:tr>
      <w:tr>
        <w:trPr>
          <w:cantSplit/>
        </w:trPr>
        <w:tc>
          <w:tcPr>
            <w:tcW w:type="dxa" w:w="404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Missing cells</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None - no imputation needed</w:t>
            </w:r>
          </w:p>
        </w:tc>
      </w:tr>
      <w:tr>
        <w:trPr>
          <w:cantSplit/>
        </w:trPr>
        <w:tc>
          <w:tcPr>
            <w:tcW w:type="dxa" w:w="404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Duplicate rows</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w:t>
            </w:r>
          </w:p>
        </w:tc>
        <w:tc>
          <w:tcPr>
            <w:tcW w:type="dxa" w:w="443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None dropped</w:t>
            </w:r>
          </w:p>
        </w:tc>
      </w:tr>
      <w:tr>
        <w:trPr>
          <w:cantSplit/>
        </w:trPr>
        <w:tc>
          <w:tcPr>
            <w:tcW w:type="dxa" w:w="404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Duplicate person_id</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ID is a unique key</w:t>
            </w:r>
          </w:p>
        </w:tc>
      </w:tr>
      <w:tr>
        <w:trPr>
          <w:cantSplit/>
        </w:trPr>
        <w:tc>
          <w:tcPr>
            <w:tcW w:type="dxa" w:w="404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units_passed + units_failed != units_enrolled</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w:t>
            </w:r>
          </w:p>
        </w:tc>
        <w:tc>
          <w:tcPr>
            <w:tcW w:type="dxa" w:w="443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Logic holds for all rows</w:t>
            </w:r>
          </w:p>
        </w:tc>
      </w:tr>
      <w:tr>
        <w:trPr>
          <w:cantSplit/>
        </w:trPr>
        <w:tc>
          <w:tcPr>
            <w:tcW w:type="dxa" w:w="404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GPA outside 0-4</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All valid</w:t>
            </w:r>
          </w:p>
        </w:tc>
      </w:tr>
      <w:tr>
        <w:trPr>
          <w:cantSplit/>
        </w:trPr>
        <w:tc>
          <w:tcPr>
            <w:tcW w:type="dxa" w:w="404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Rates outside 0-100%</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w:t>
            </w:r>
          </w:p>
        </w:tc>
        <w:tc>
          <w:tcPr>
            <w:tcW w:type="dxa" w:w="443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All valid</w:t>
            </w:r>
          </w:p>
        </w:tc>
      </w:tr>
      <w:tr>
        <w:trPr>
          <w:cantSplit/>
        </w:trPr>
        <w:tc>
          <w:tcPr>
            <w:tcW w:type="dxa" w:w="404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Grades above 200</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All valid (0-200 scale)</w:t>
            </w:r>
          </w:p>
        </w:tc>
      </w:tr>
      <w:tr>
        <w:trPr>
          <w:cantSplit/>
        </w:trPr>
        <w:tc>
          <w:tcPr>
            <w:tcW w:type="dxa" w:w="404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part_time_job inconsistent with weekly_work_hours</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w:t>
            </w:r>
          </w:p>
        </w:tc>
        <w:tc>
          <w:tcPr>
            <w:tcW w:type="dxa" w:w="443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Consistent</w:t>
            </w:r>
          </w:p>
        </w:tc>
      </w:tr>
      <w:tr>
        <w:trPr>
          <w:cantSplit/>
        </w:trPr>
        <w:tc>
          <w:tcPr>
            <w:tcW w:type="dxa" w:w="404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Students aged under 18</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12,758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"Kept - plausible early-entry/dual-enrolment</w:t>
            </w:r>
          </w:p>
        </w:tc>
      </w:tr>
      <w:tr>
        <w:trPr>
          <w:cantSplit/>
        </w:trPr>
        <w:tc>
          <w:tcPr>
            <w:tcW w:type="dxa" w:w="404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attendance_rate capped at 100</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10,556</w:t>
            </w:r>
          </w:p>
        </w:tc>
        <w:tc>
          <w:tcPr>
            <w:tcW w:type="dxa" w:w="443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Ceiling effect noted</w:t>
            </w:r>
          </w:p>
        </w:tc>
      </w:tr>
      <w:tr>
        <w:trPr>
          <w:cantSplit/>
        </w:trPr>
        <w:tc>
          <w:tcPr>
            <w:tcW w:type="dxa" w:w="404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admission_grade capped at 200</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945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Ceiling effect noted</w:t>
            </w:r>
          </w:p>
        </w:tc>
      </w:tr>
      <w:tr>
        <w:trPr>
          <w:cantSplit/>
        </w:trPr>
        <w:tc>
          <w:tcPr>
            <w:tcW w:type="dxa" w:w="404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gpa_semester_1 exactly 0.0</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85</w:t>
            </w:r>
          </w:p>
        </w:tc>
        <w:tc>
          <w:tcPr>
            <w:tcW w:type="dxa" w:w="443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Floor effect noted</w:t>
            </w:r>
          </w:p>
        </w:tc>
      </w:tr>
    </w:tbl>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print(df.isna().sum().sum())                       # 0 missing cells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print(df.duplicated().sum(), df.person_id.duplicated().sum())   # 0 0</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assert (df.units_passed + df.units_failed == df.units_enrolled).all()</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assert df[["gpa_semester_1", "gpa_semester_2"]].between(0, 4).all().all()</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print((df.age &lt; 18).sum())                           # 12,758 students under 18</w:t>
      </w:r>
    </w:p>
    <w:p>
      <w:pPr>
        <w:spacing w:after="80"/>
      </w:pP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The real data-quality issues are not missing cells but plausibility and ceiling effects. 12,758 students (12.8%) are younger than 18; the minimum age is 15. These could be early-entry or dual-enrolment students, so they were flagged and kept rather than deleted. 10,556 students (10.6%) have exactly 100% attendance and 945 have the maximum admission grade of 200, which shows that the variables are capped at their upper limits (a ceiling effect that will appear as a vertical stripe in scatter plots). 85 students have a semester-1 GPA of exactly 0.0 (a floor effect).</w:t>
      </w:r>
    </w:p>
    <w:p>
      <w:pPr>
        <w:pStyle w:val="Heading2"/>
        <w:keepNext/>
      </w:pPr>
      <w:r>
        <w:rPr>
          <w:rFonts w:ascii="Times New Roman" w:cs="Times New Roman" w:eastAsia="Times New Roman" w:hAnsi="Times New Roman"/>
        </w:rPr>
        <w:t xml:space="preserve">3.4 Dataset Slicing</w:t>
      </w:r>
    </w:p>
    <w:p>
      <w:pPr>
        <w:spacing w:after="120" w:line="276"/>
        <w:jc w:val="both"/>
      </w:pPr>
      <w:r>
        <w:rPr>
          <w:rFonts w:ascii="Times New Roman" w:cs="Times New Roman" w:eastAsia="Times New Roman" w:hAnsi="Times New Roman"/>
          <w:sz w:val="22"/>
          <w:szCs w:val="22"/>
        </w:rPr>
        <w:t xml:space="preserve">Slicing selects the rows and columns relevant to a question. Pandas offers label-based selection (loc), position-based selection (iloc) and boolean masks. The table below shows seven slices with their size and dropout rate.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df.loc[:4, ["person_id", "course_type", "gpa_semester_1"]]       # label slice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df.iloc[0:5, 11:15]                                              # positional slice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stem   = df[df["course_type"] == "STEM"]                         # boolean mask</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risky  = df[(df.units_failed &gt;= 5) &amp; (df.attendance_rate &lt; 60)]  # combined condition</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poor   = df[(df.family_income_level == "Low") &amp; (df.scholarship_holder == 0)]</w:t>
      </w:r>
    </w:p>
    <w:p>
      <w:pPr>
        <w:spacing w:after="80"/>
      </w:pPr>
    </w:p>
    <w:p>
      <w:pPr>
        <w:keepNext/>
        <w:spacing w:after="80" w:before="120"/>
        <w:jc w:val="center"/>
      </w:pPr>
      <w:r>
        <w:rPr>
          <w:rFonts w:ascii="Times New Roman" w:cs="Times New Roman" w:eastAsia="Times New Roman" w:hAnsi="Times New Roman"/>
          <w:b/>
          <w:bCs/>
          <w:sz w:val="20"/>
          <w:szCs w:val="20"/>
        </w:rPr>
        <w:t xml:space="preserve">Table 7: Selected slices of the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349"/>
        <w:gridCol w:w="1349"/>
        <w:gridCol w:w="1349"/>
        <w:gridCol w:w="1736"/>
      </w:tblGrid>
      <w:tr>
        <w:trPr>
          <w:cantSplit/>
          <w:tblHeader/>
        </w:trPr>
        <w:tc>
          <w:tcPr>
            <w:tcW w:type="dxa" w:w="385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8"/>
                <w:szCs w:val="18"/>
              </w:rPr>
              <w:t xml:space="preserve">Slice</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Students</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Dropout %</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Mean GPA S2</w:t>
            </w:r>
          </w:p>
        </w:tc>
        <w:tc>
          <w:tcPr>
            <w:tcW w:type="dxa" w:w="173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Mean attendance %</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STEM students</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30,141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32.1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1.98</w:t>
            </w:r>
          </w:p>
        </w:tc>
        <w:tc>
          <w:tcPr>
            <w:tcW w:type="dxa" w:w="173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75.1</w:t>
            </w:r>
          </w:p>
        </w:tc>
      </w:tr>
      <w:tr>
        <w:trPr>
          <w:cantSplit/>
        </w:trPr>
        <w:tc>
          <w:tcPr>
            <w:tcW w:type="dxa" w:w="385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Semester 1 students</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19,995</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33.7</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1.98</w:t>
            </w:r>
          </w:p>
        </w:tc>
        <w:tc>
          <w:tcPr>
            <w:tcW w:type="dxa" w:w="173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75.2</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Online learners</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12,929</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29.2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1.98</w:t>
            </w:r>
          </w:p>
        </w:tc>
        <w:tc>
          <w:tcPr>
            <w:tcW w:type="dxa" w:w="173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72.3</w:t>
            </w:r>
          </w:p>
        </w:tc>
      </w:tr>
      <w:tr>
        <w:trPr>
          <w:cantSplit/>
        </w:trPr>
        <w:tc>
          <w:tcPr>
            <w:tcW w:type="dxa" w:w="385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International students</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18,094</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32.1</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1.98</w:t>
            </w:r>
          </w:p>
        </w:tc>
        <w:tc>
          <w:tcPr>
            <w:tcW w:type="dxa" w:w="173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75.2</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Low income and no scholarship</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10,393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49.1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1.83</w:t>
            </w:r>
          </w:p>
        </w:tc>
        <w:tc>
          <w:tcPr>
            <w:tcW w:type="dxa" w:w="173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73.7</w:t>
            </w:r>
          </w:p>
        </w:tc>
      </w:tr>
      <w:tr>
        <w:trPr>
          <w:cantSplit/>
        </w:trPr>
        <w:tc>
          <w:tcPr>
            <w:tcW w:type="dxa" w:w="385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Tuition not up to date</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21,514</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44.2</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1.94</w:t>
            </w:r>
          </w:p>
        </w:tc>
        <w:tc>
          <w:tcPr>
            <w:tcW w:type="dxa" w:w="173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74.8</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&gt;=5 failed units and attendance &lt; 60%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5,131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81.4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1.21</w:t>
            </w:r>
          </w:p>
        </w:tc>
        <w:tc>
          <w:tcPr>
            <w:tcW w:type="dxa" w:w="173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48.8</w:t>
            </w:r>
          </w:p>
        </w:tc>
      </w:tr>
      <w:tr>
        <w:trPr>
          <w:cantSplit/>
        </w:trPr>
        <w:tc>
          <w:tcPr>
            <w:tcW w:type="dxa" w:w="385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All students</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100,000</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32.0</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1.98</w:t>
            </w:r>
          </w:p>
        </w:tc>
        <w:tc>
          <w:tcPr>
            <w:tcW w:type="dxa" w:w="173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75.1</w:t>
            </w:r>
          </w:p>
        </w:tc>
      </w:tr>
    </w:tbl>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Slicing already reveals the main story. STEM students drop out at about the overall rate (32.1% against 32.0%), so the course does not matter. But students from low-income families without a scholarship drop out 49.1% of the time, students whose tuition is not up to date 44.2%, and the small group (5,131 students) with at least five failed units and attendance below 60% drops out 81.4% of the time.</w:t>
      </w:r>
    </w:p>
    <w:p>
      <w:pPr>
        <w:pStyle w:val="Heading2"/>
        <w:keepNext/>
      </w:pPr>
      <w:r>
        <w:rPr>
          <w:rFonts w:ascii="Times New Roman" w:cs="Times New Roman" w:eastAsia="Times New Roman" w:hAnsi="Times New Roman"/>
        </w:rPr>
        <w:t xml:space="preserve">3.5 Transformation and Grouping</w:t>
      </w:r>
    </w:p>
    <w:p>
      <w:pPr>
        <w:spacing w:after="120" w:line="276"/>
        <w:jc w:val="both"/>
      </w:pPr>
      <w:r>
        <w:rPr>
          <w:rFonts w:ascii="Times New Roman" w:cs="Times New Roman" w:eastAsia="Times New Roman" w:hAnsi="Times New Roman"/>
          <w:sz w:val="22"/>
          <w:szCs w:val="22"/>
        </w:rPr>
        <w:t xml:space="preserve">15 derived variables were created without changing the raw columns: pass_rate, gpa_change, avg_gpa, binned versions of age, work hours, GPA, attendance and failed units, an ordinal income code, three log1p transforms, an engagement_index (the mean of the z-scores of attendance, assignment submission, LMS logins and log library visits) and risk_flags (the number of six warning conditions that apply to a student: at least 4 failed units, attendance below 60%, assignments below 50%, at least 4 missed deadlines, semester-2 GPA below 1.5, and unpaid tuition).</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d["pass_rate"]  = 100 * d.units_passed / d.units_enrolled</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d["avg_gpa"]    = (d.gpa_semester_1 + d.gpa_semester_2) / 2</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d["log_missed_deadlines"] = np.log1p(d.missed_deadlines)       # log transform</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d["income_ord"] = d.family_income_level.map({"Low": 0, "Middle": 1, "High": 2})  # ordinal encoding</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d["attendance_band"] = pd.cut(d.attendance_rate, [-.01, 50, 65, 80, 90, 100])   # binning</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z  = (d.attendance_rate - d.attendance_rate.mean()) / d.attendance_rate.std()    # z-score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mm = (d.attendance_rate - d.attendance_rate.min()) / (d.attendance_rate.max() - d.attendance_rate.min())</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ohe = pd.get_dummies(d[["gender", "nationality", "course_type", "study_mode", "family_income_level"]])  # 29 columns</w:t>
      </w:r>
    </w:p>
    <w:p>
      <w:pPr>
        <w:spacing w:after="80"/>
      </w:pPr>
    </w:p>
    <w:p>
      <w:pPr>
        <w:spacing w:after="120" w:line="276"/>
        <w:jc w:val="both"/>
      </w:pPr>
      <w:r>
        <w:rPr>
          <w:rFonts w:ascii="Times New Roman" w:cs="Times New Roman" w:eastAsia="Times New Roman" w:hAnsi="Times New Roman"/>
          <w:b/>
          <w:bCs/>
          <w:sz w:val="22"/>
          <w:szCs w:val="22"/>
        </w:rPr>
        <w:t xml:space="preserve">Log transformation.</w:t>
      </w:r>
      <w:r>
        <w:rPr>
          <w:rFonts w:ascii="Times New Roman" w:cs="Times New Roman" w:eastAsia="Times New Roman" w:hAnsi="Times New Roman"/>
          <w:sz w:val="22"/>
          <w:szCs w:val="22"/>
        </w:rPr>
        <w:t xml:space="preserve"> Three count variables are strongly right-skewed: missed_deadlines (skewness 1.76), commute_time_mins (1.65) and library_visits_per_month (1.68). After log1p the skewness falls to 0.12, -0.59 and -0.30. </w:t>
      </w:r>
      <w:r>
        <w:rPr>
          <w:rFonts w:ascii="Times New Roman" w:cs="Times New Roman" w:eastAsia="Times New Roman" w:hAnsi="Times New Roman"/>
          <w:b/>
          <w:bCs/>
          <w:sz w:val="22"/>
          <w:szCs w:val="22"/>
        </w:rPr>
        <w:t xml:space="preserve">Scaling.</w:t>
      </w:r>
      <w:r>
        <w:rPr>
          <w:rFonts w:ascii="Times New Roman" w:cs="Times New Roman" w:eastAsia="Times New Roman" w:hAnsi="Times New Roman"/>
          <w:sz w:val="22"/>
          <w:szCs w:val="22"/>
        </w:rPr>
        <w:t xml:space="preserve"> Z-score scaling gives mean 0.00 and standard deviation 1.00, and min-max scaling maps attendance to the range 0 to 1. </w:t>
      </w:r>
      <w:r>
        <w:rPr>
          <w:rFonts w:ascii="Times New Roman" w:cs="Times New Roman" w:eastAsia="Times New Roman" w:hAnsi="Times New Roman"/>
          <w:b/>
          <w:bCs/>
          <w:sz w:val="22"/>
          <w:szCs w:val="22"/>
        </w:rPr>
        <w:t xml:space="preserve">Encoding.</w:t>
      </w:r>
      <w:r>
        <w:rPr>
          <w:rFonts w:ascii="Times New Roman" w:cs="Times New Roman" w:eastAsia="Times New Roman" w:hAnsi="Times New Roman"/>
          <w:sz w:val="22"/>
          <w:szCs w:val="22"/>
        </w:rPr>
        <w:t xml:space="preserve"> Family income is encoded as an ordinal variable, and one-hot encoding of the five categorical variables gives 29 indicator columns.</w:t>
      </w:r>
    </w:p>
    <w:p>
      <w:pPr>
        <w:keepNext/>
        <w:spacing w:after="40" w:before="80"/>
        <w:jc w:val="center"/>
      </w:pPr>
      <w:r>
        <w:drawing>
          <wp:inline distT="0" distB="0" distL="0" distR="0">
            <wp:extent cx="5715000" cy="2228850"/>
            <wp:effectExtent t="0" r="0" b="0" l="0"/>
            <wp:docPr id="1" name="u1_log_transform" descr="Effect of the log1p transformation on skewed count variables (top: raw, bottom: log1p)" title="Effect of the log1p transformation on skewed count variables (top: raw, bottom: log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288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 Effect of the log1p transformation on skewed count variables (top: raw, bottom: log1p)</w:t>
      </w:r>
    </w:p>
    <w:p>
      <w:pPr>
        <w:spacing w:after="120" w:line="276"/>
        <w:jc w:val="both"/>
      </w:pPr>
      <w:r>
        <w:rPr>
          <w:rFonts w:ascii="Times New Roman" w:cs="Times New Roman" w:eastAsia="Times New Roman" w:hAnsi="Times New Roman"/>
          <w:b/>
          <w:bCs/>
          <w:sz w:val="22"/>
          <w:szCs w:val="22"/>
        </w:rPr>
        <w:t xml:space="preserve">Grouping.</w:t>
      </w:r>
      <w:r>
        <w:rPr>
          <w:rFonts w:ascii="Times New Roman" w:cs="Times New Roman" w:eastAsia="Times New Roman" w:hAnsi="Times New Roman"/>
          <w:sz w:val="22"/>
          <w:szCs w:val="22"/>
        </w:rPr>
        <w:t xml:space="preserve"> Grouping with groupby and aggregation summarises dropout, GPA, attendance and failed units for every level of the main categorical variables (table below).</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d.groupby("family_income_level").agg(students=("dropout", "size"),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        dropout_pct=("dropout", lambda s: 100 * s.mean()),</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        gpa_s2=("gpa_semester_2", "mean"), attendance=("attendance_rate", "mean"))</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d.pivot_table(index="family_income_level", columns="study_mode", values="dropout", aggfunc="mean")</w:t>
      </w:r>
    </w:p>
    <w:p>
      <w:pPr>
        <w:spacing w:after="80"/>
      </w:pPr>
    </w:p>
    <w:p>
      <w:pPr>
        <w:keepNext/>
        <w:spacing w:after="80" w:before="120"/>
        <w:jc w:val="center"/>
      </w:pPr>
      <w:r>
        <w:rPr>
          <w:rFonts w:ascii="Times New Roman" w:cs="Times New Roman" w:eastAsia="Times New Roman" w:hAnsi="Times New Roman"/>
          <w:b/>
          <w:bCs/>
          <w:sz w:val="20"/>
          <w:szCs w:val="20"/>
        </w:rPr>
        <w:t xml:space="preserve">Table 8: Group summaries (dropout rate, GPA, attendance, failed units)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735"/>
        <w:gridCol w:w="1157"/>
        <w:gridCol w:w="1157"/>
        <w:gridCol w:w="1157"/>
        <w:gridCol w:w="1253"/>
        <w:gridCol w:w="1251"/>
      </w:tblGrid>
      <w:tr>
        <w:trPr>
          <w:cantSplit/>
          <w:tblHeader/>
        </w:trPr>
        <w:tc>
          <w:tcPr>
            <w:tcW w:type="dxa" w:w="19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7"/>
                <w:szCs w:val="17"/>
              </w:rPr>
              <w:t xml:space="preserve">Grouped by</w:t>
            </w:r>
          </w:p>
        </w:tc>
        <w:tc>
          <w:tcPr>
            <w:tcW w:type="dxa" w:w="173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7"/>
                <w:szCs w:val="17"/>
              </w:rPr>
              <w:t xml:space="preserve">Level</w:t>
            </w:r>
          </w:p>
        </w:tc>
        <w:tc>
          <w:tcPr>
            <w:tcW w:type="dxa" w:w="11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Students</w:t>
            </w:r>
          </w:p>
        </w:tc>
        <w:tc>
          <w:tcPr>
            <w:tcW w:type="dxa" w:w="11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Dropout %</w:t>
            </w:r>
          </w:p>
        </w:tc>
        <w:tc>
          <w:tcPr>
            <w:tcW w:type="dxa" w:w="11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Mean GPA S2</w:t>
            </w:r>
          </w:p>
        </w:tc>
        <w:tc>
          <w:tcPr>
            <w:tcW w:type="dxa" w:w="125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Attendance %</w:t>
            </w:r>
          </w:p>
        </w:tc>
        <w:tc>
          <w:tcPr>
            <w:tcW w:type="dxa" w:w="125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Failed units</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Family income</w:t>
            </w:r>
          </w:p>
        </w:tc>
        <w:tc>
          <w:tcPr>
            <w:tcW w:type="dxa" w:w="173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Low</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34,809</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42.9</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1.83</w:t>
            </w:r>
          </w:p>
        </w:tc>
        <w:tc>
          <w:tcPr>
            <w:tcW w:type="dxa" w:w="125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73.8</w:t>
            </w:r>
          </w:p>
        </w:tc>
        <w:tc>
          <w:tcPr>
            <w:tcW w:type="dxa" w:w="125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2.97</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Family income</w:t>
            </w:r>
          </w:p>
        </w:tc>
        <w:tc>
          <w:tcPr>
            <w:tcW w:type="dxa" w:w="173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Middle</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40,213</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30.0</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2.00</w:t>
            </w:r>
          </w:p>
        </w:tc>
        <w:tc>
          <w:tcPr>
            <w:tcW w:type="dxa" w:w="125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75.2</w:t>
            </w:r>
          </w:p>
        </w:tc>
        <w:tc>
          <w:tcPr>
            <w:tcW w:type="dxa" w:w="125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2.70</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Family income</w:t>
            </w:r>
          </w:p>
        </w:tc>
        <w:tc>
          <w:tcPr>
            <w:tcW w:type="dxa" w:w="173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High</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24,978</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20.0</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2.16</w:t>
            </w:r>
          </w:p>
        </w:tc>
        <w:tc>
          <w:tcPr>
            <w:tcW w:type="dxa" w:w="125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76.7</w:t>
            </w:r>
          </w:p>
        </w:tc>
        <w:tc>
          <w:tcPr>
            <w:tcW w:type="dxa" w:w="125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2.39</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Study mode</w:t>
            </w:r>
          </w:p>
        </w:tc>
        <w:tc>
          <w:tcPr>
            <w:tcW w:type="dxa" w:w="173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Full-time</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65,096</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32.0</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1.98</w:t>
            </w:r>
          </w:p>
        </w:tc>
        <w:tc>
          <w:tcPr>
            <w:tcW w:type="dxa" w:w="125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76.7</w:t>
            </w:r>
          </w:p>
        </w:tc>
        <w:tc>
          <w:tcPr>
            <w:tcW w:type="dxa" w:w="125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3.13</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Study mode</w:t>
            </w:r>
          </w:p>
        </w:tc>
        <w:tc>
          <w:tcPr>
            <w:tcW w:type="dxa" w:w="173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Online</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12,929</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29.2</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1.98</w:t>
            </w:r>
          </w:p>
        </w:tc>
        <w:tc>
          <w:tcPr>
            <w:tcW w:type="dxa" w:w="125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72.3</w:t>
            </w:r>
          </w:p>
        </w:tc>
        <w:tc>
          <w:tcPr>
            <w:tcW w:type="dxa" w:w="125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2.08</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Study mode</w:t>
            </w:r>
          </w:p>
        </w:tc>
        <w:tc>
          <w:tcPr>
            <w:tcW w:type="dxa" w:w="173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Part-time</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21,975</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33.7</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1.98</w:t>
            </w:r>
          </w:p>
        </w:tc>
        <w:tc>
          <w:tcPr>
            <w:tcW w:type="dxa" w:w="125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72.1</w:t>
            </w:r>
          </w:p>
        </w:tc>
        <w:tc>
          <w:tcPr>
            <w:tcW w:type="dxa" w:w="125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1.87</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 type</w:t>
            </w:r>
          </w:p>
        </w:tc>
        <w:tc>
          <w:tcPr>
            <w:tcW w:type="dxa" w:w="173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Arts &amp; Humanities</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18,024</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32.1</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1.99</w:t>
            </w:r>
          </w:p>
        </w:tc>
        <w:tc>
          <w:tcPr>
            <w:tcW w:type="dxa" w:w="125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75.0</w:t>
            </w:r>
          </w:p>
        </w:tc>
        <w:tc>
          <w:tcPr>
            <w:tcW w:type="dxa" w:w="125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2.71</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 type</w:t>
            </w:r>
          </w:p>
        </w:tc>
        <w:tc>
          <w:tcPr>
            <w:tcW w:type="dxa" w:w="173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Business</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24,986</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31.9</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1.98</w:t>
            </w:r>
          </w:p>
        </w:tc>
        <w:tc>
          <w:tcPr>
            <w:tcW w:type="dxa" w:w="125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75.2</w:t>
            </w:r>
          </w:p>
        </w:tc>
        <w:tc>
          <w:tcPr>
            <w:tcW w:type="dxa" w:w="125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2.71</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 type</w:t>
            </w:r>
          </w:p>
        </w:tc>
        <w:tc>
          <w:tcPr>
            <w:tcW w:type="dxa" w:w="173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Health Sciences</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14,941</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32.1</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1.98</w:t>
            </w:r>
          </w:p>
        </w:tc>
        <w:tc>
          <w:tcPr>
            <w:tcW w:type="dxa" w:w="125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75.2</w:t>
            </w:r>
          </w:p>
        </w:tc>
        <w:tc>
          <w:tcPr>
            <w:tcW w:type="dxa" w:w="125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2.72</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 type</w:t>
            </w:r>
          </w:p>
        </w:tc>
        <w:tc>
          <w:tcPr>
            <w:tcW w:type="dxa" w:w="173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Law &amp; Social Sciences</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11,908</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31.7</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1.98</w:t>
            </w:r>
          </w:p>
        </w:tc>
        <w:tc>
          <w:tcPr>
            <w:tcW w:type="dxa" w:w="125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74.8</w:t>
            </w:r>
          </w:p>
        </w:tc>
        <w:tc>
          <w:tcPr>
            <w:tcW w:type="dxa" w:w="125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2.71</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 type</w:t>
            </w:r>
          </w:p>
        </w:tc>
        <w:tc>
          <w:tcPr>
            <w:tcW w:type="dxa" w:w="173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STEM</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30,141</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32.1</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1.98</w:t>
            </w:r>
          </w:p>
        </w:tc>
        <w:tc>
          <w:tcPr>
            <w:tcW w:type="dxa" w:w="125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75.1</w:t>
            </w:r>
          </w:p>
        </w:tc>
        <w:tc>
          <w:tcPr>
            <w:tcW w:type="dxa" w:w="125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2.73</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Tuition up to date (0/1)</w:t>
            </w:r>
          </w:p>
        </w:tc>
        <w:tc>
          <w:tcPr>
            <w:tcW w:type="dxa" w:w="173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0</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21,514</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44.2</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1.94</w:t>
            </w:r>
          </w:p>
        </w:tc>
        <w:tc>
          <w:tcPr>
            <w:tcW w:type="dxa" w:w="125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74.8</w:t>
            </w:r>
          </w:p>
        </w:tc>
        <w:tc>
          <w:tcPr>
            <w:tcW w:type="dxa" w:w="125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2.77</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Tuition up to date (0/1)</w:t>
            </w:r>
          </w:p>
        </w:tc>
        <w:tc>
          <w:tcPr>
            <w:tcW w:type="dxa" w:w="173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78,486</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28.6</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1.99</w:t>
            </w:r>
          </w:p>
        </w:tc>
        <w:tc>
          <w:tcPr>
            <w:tcW w:type="dxa" w:w="125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75.2</w:t>
            </w:r>
          </w:p>
        </w:tc>
        <w:tc>
          <w:tcPr>
            <w:tcW w:type="dxa" w:w="125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2.70</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Scholarship (0/1)</w:t>
            </w:r>
          </w:p>
        </w:tc>
        <w:tc>
          <w:tcPr>
            <w:tcW w:type="dxa" w:w="173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0</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41,030</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33.3</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2.02</w:t>
            </w:r>
          </w:p>
        </w:tc>
        <w:tc>
          <w:tcPr>
            <w:tcW w:type="dxa" w:w="125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75.4</w:t>
            </w:r>
          </w:p>
        </w:tc>
        <w:tc>
          <w:tcPr>
            <w:tcW w:type="dxa" w:w="125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2.65</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Scholarship (0/1)</w:t>
            </w:r>
          </w:p>
        </w:tc>
        <w:tc>
          <w:tcPr>
            <w:tcW w:type="dxa" w:w="173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58,970</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31.1</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1.95</w:t>
            </w:r>
          </w:p>
        </w:tc>
        <w:tc>
          <w:tcPr>
            <w:tcW w:type="dxa" w:w="125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74.9</w:t>
            </w:r>
          </w:p>
        </w:tc>
        <w:tc>
          <w:tcPr>
            <w:tcW w:type="dxa" w:w="125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2.77</w:t>
            </w:r>
          </w:p>
        </w:tc>
      </w:tr>
    </w:tbl>
    <w:p>
      <w:pPr>
        <w:spacing w:after="120"/>
      </w:pPr>
    </w:p>
    <w:p>
      <w:pPr>
        <w:keepNext/>
        <w:spacing w:after="40" w:before="80"/>
        <w:jc w:val="center"/>
      </w:pPr>
      <w:r>
        <w:drawing>
          <wp:inline distT="0" distB="0" distL="0" distR="0">
            <wp:extent cx="5715000" cy="2762250"/>
            <wp:effectExtent t="0" r="0" b="0" l="0"/>
            <wp:docPr id="1" name="u1_group_dropout" descr="Dropout rate by group (dashed line = overall 32.0%)" title="Dropout rate by group (dashed line = overall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622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 Dropout rate by group (dashed line = overall 32.0%)</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Family income is the largest categorical gap (Low 42.9%, Middle 30.0%, High 20.0%), followed by unpaid tuition (44.2% against 28.7%). Course type is flat (31.7% to 32.1%). Online students drop out least (29.2%) and part-time students most (33.7%). Holding a scholarship lowers dropout only slightly (31.1% against 33.2%). Income and study mode combine additively: low-income part-time students reach 45.0%, high-income online students only 17.1%.</w:t>
      </w:r>
    </w:p>
    <w:p>
      <w:pPr>
        <w:pStyle w:val="Heading2"/>
        <w:keepNext/>
      </w:pPr>
      <w:r>
        <w:rPr>
          <w:rFonts w:ascii="Times New Roman" w:cs="Times New Roman" w:eastAsia="Times New Roman" w:hAnsi="Times New Roman"/>
        </w:rPr>
        <w:t xml:space="preserve">3.6 Classical and Bayesian Analysis</w:t>
      </w:r>
    </w:p>
    <w:p>
      <w:pPr>
        <w:spacing w:after="120" w:line="276"/>
        <w:jc w:val="both"/>
      </w:pPr>
      <w:r>
        <w:rPr>
          <w:rFonts w:ascii="Times New Roman" w:cs="Times New Roman" w:eastAsia="Times New Roman" w:hAnsi="Times New Roman"/>
          <w:b/>
          <w:bCs/>
          <w:sz w:val="22"/>
          <w:szCs w:val="22"/>
        </w:rPr>
        <w:t xml:space="preserve">Classical (frequentist) view.</w:t>
      </w:r>
      <w:r>
        <w:rPr>
          <w:rFonts w:ascii="Times New Roman" w:cs="Times New Roman" w:eastAsia="Times New Roman" w:hAnsi="Times New Roman"/>
          <w:sz w:val="22"/>
          <w:szCs w:val="22"/>
        </w:rPr>
        <w:t xml:space="preserve"> The observed dropout proportion is p = 32,004 / 100,000 = 32.00%. A normal-approximation 95% confidence interval is 31.71% to 32.29%. It is interpreted through repeated sampling: 95% of intervals built this way would contain the true proportion. </w:t>
      </w:r>
      <w:r>
        <w:rPr>
          <w:rFonts w:ascii="Times New Roman" w:cs="Times New Roman" w:eastAsia="Times New Roman" w:hAnsi="Times New Roman"/>
          <w:b/>
          <w:bCs/>
          <w:sz w:val="22"/>
          <w:szCs w:val="22"/>
        </w:rPr>
        <w:t xml:space="preserve">Bayesian view.</w:t>
      </w:r>
      <w:r>
        <w:rPr>
          <w:rFonts w:ascii="Times New Roman" w:cs="Times New Roman" w:eastAsia="Times New Roman" w:hAnsi="Times New Roman"/>
          <w:sz w:val="22"/>
          <w:szCs w:val="22"/>
        </w:rPr>
        <w:t xml:space="preserve"> The unknown dropout probability is given a uniform Beta(1, 1) prior. After observing 32,004 dropouts and 67,996 stayers, the posterior is Beta(32,005, 67,997), with posterior mean 32.00% and a 95% credible interval of 31.72% to 32.29%. This interval has a direct probability interpretation.</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from scipy.stats import beta</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 = df["dropout"].sum(); n = len(df)</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posterior = beta(s + 1, (n - s) + 1)            # Beta(32005, 67997)</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print(posterior.mean() * 100)                   # 32.00</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print(posterior.ppf([0.025, 0.975]) * 100)      # [31.72, 32.29]</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 P(dropout rate of group A &gt; group B) by Monte Carlo</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da = beta(sa + 1, na - sa + 1).rvs(200000); db = beta(sb + 1, nb - sb + 1).rvs(200000)</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print((da &gt; db).mean(), np.percentile(da - db, [2.5, 97.5]))</w:t>
      </w:r>
    </w:p>
    <w:p>
      <w:pPr>
        <w:spacing w:after="80"/>
      </w:pPr>
    </w:p>
    <w:p>
      <w:pPr>
        <w:keepNext/>
        <w:spacing w:after="80" w:before="120"/>
        <w:jc w:val="center"/>
      </w:pPr>
      <w:r>
        <w:rPr>
          <w:rFonts w:ascii="Times New Roman" w:cs="Times New Roman" w:eastAsia="Times New Roman" w:hAnsi="Times New Roman"/>
          <w:b/>
          <w:bCs/>
          <w:sz w:val="20"/>
          <w:szCs w:val="20"/>
        </w:rPr>
        <w:t xml:space="preserve">Table 9: Effect of sample size: classical confidence interval versus Bayesian credible interval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964"/>
        <w:gridCol w:w="1349"/>
        <w:gridCol w:w="2120"/>
        <w:gridCol w:w="1542"/>
        <w:gridCol w:w="2506"/>
      </w:tblGrid>
      <w:tr>
        <w:trPr>
          <w:cantSplit/>
          <w:tblHeader/>
        </w:trPr>
        <w:tc>
          <w:tcPr>
            <w:tcW w:type="dxa" w:w="11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7"/>
                <w:szCs w:val="17"/>
              </w:rPr>
              <w:t xml:space="preserve">Sample size</w:t>
            </w:r>
          </w:p>
        </w:tc>
        <w:tc>
          <w:tcPr>
            <w:tcW w:type="dxa" w:w="96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Dropouts</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Observed %</w:t>
            </w:r>
          </w:p>
        </w:tc>
        <w:tc>
          <w:tcPr>
            <w:tcW w:type="dxa" w:w="21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Classical 95% CI (%)</w:t>
            </w:r>
          </w:p>
        </w:tc>
        <w:tc>
          <w:tcPr>
            <w:tcW w:type="dxa" w:w="15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Posterior mean %</w:t>
            </w:r>
          </w:p>
        </w:tc>
        <w:tc>
          <w:tcPr>
            <w:tcW w:type="dxa" w:w="25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Bayesian 95% CrI (%)</w:t>
            </w:r>
          </w:p>
        </w:tc>
      </w:tr>
      <w:tr>
        <w:trPr>
          <w:cantSplit/>
        </w:trP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10</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50.0</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19.0 - 81.0</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50.0</w:t>
            </w:r>
          </w:p>
        </w:tc>
        <w:tc>
          <w:tcPr>
            <w:tcW w:type="dxa" w:w="25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23.4 - 76.6</w:t>
            </w:r>
          </w:p>
        </w:tc>
      </w:tr>
      <w:tr>
        <w:trPr>
          <w:cantSplit/>
        </w:trPr>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50</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15</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30.0</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17.3 - 42.7</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30.77</w:t>
            </w:r>
          </w:p>
        </w:tc>
        <w:tc>
          <w:tcPr>
            <w:tcW w:type="dxa" w:w="25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19.1 - 43.8</w:t>
            </w:r>
          </w:p>
        </w:tc>
      </w:tr>
      <w:tr>
        <w:trPr>
          <w:cantSplit/>
        </w:trP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500</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164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32.8</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28.7 - 36.9</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32.87</w:t>
            </w:r>
          </w:p>
        </w:tc>
        <w:tc>
          <w:tcPr>
            <w:tcW w:type="dxa" w:w="25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28.8 - 37.0</w:t>
            </w:r>
          </w:p>
        </w:tc>
      </w:tr>
      <w:tr>
        <w:trPr>
          <w:cantSplit/>
        </w:trPr>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5,000</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1,604</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32.08</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30.8 - 33.4</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32.09</w:t>
            </w:r>
          </w:p>
        </w:tc>
        <w:tc>
          <w:tcPr>
            <w:tcW w:type="dxa" w:w="25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30.8 - 33.4</w:t>
            </w:r>
          </w:p>
        </w:tc>
      </w:tr>
      <w:tr>
        <w:trPr>
          <w:cantSplit/>
        </w:trP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100,000</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32,004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32.0</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31.7 - 32.3</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32.0</w:t>
            </w:r>
          </w:p>
        </w:tc>
        <w:tc>
          <w:tcPr>
            <w:tcW w:type="dxa" w:w="25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31.7 - 32.3</w:t>
            </w:r>
          </w:p>
        </w:tc>
      </w:tr>
    </w:tbl>
    <w:p>
      <w:pPr>
        <w:spacing w:after="120"/>
      </w:pPr>
    </w:p>
    <w:p>
      <w:pPr>
        <w:keepNext/>
        <w:spacing w:after="80" w:before="120"/>
        <w:jc w:val="center"/>
      </w:pPr>
      <w:r>
        <w:rPr>
          <w:rFonts w:ascii="Times New Roman" w:cs="Times New Roman" w:eastAsia="Times New Roman" w:hAnsi="Times New Roman"/>
          <w:b/>
          <w:bCs/>
          <w:sz w:val="20"/>
          <w:szCs w:val="20"/>
        </w:rPr>
        <w:t xml:space="preserve">Table 10: Bayesian and classical comparison of two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638"/>
        <w:gridCol w:w="1349"/>
        <w:gridCol w:w="1638"/>
        <w:gridCol w:w="1157"/>
        <w:gridCol w:w="1350"/>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6"/>
                <w:szCs w:val="16"/>
              </w:rPr>
              <w:t xml:space="preserve">Comparison</w:t>
            </w:r>
          </w:p>
        </w:tc>
        <w:tc>
          <w:tcPr>
            <w:tcW w:type="dxa" w:w="16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Dropout rates</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Posterior mean diff</w:t>
            </w:r>
          </w:p>
        </w:tc>
        <w:tc>
          <w:tcPr>
            <w:tcW w:type="dxa" w:w="16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95% CrI of diff</w:t>
            </w:r>
          </w:p>
        </w:tc>
        <w:tc>
          <w:tcPr>
            <w:tcW w:type="dxa" w:w="11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P(first group higher)</w:t>
            </w:r>
          </w:p>
        </w:tc>
        <w:tc>
          <w:tcPr>
            <w:tcW w:type="dxa" w:w="13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Classical z-test p</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Scholarship vs no scholarship</w:t>
            </w:r>
          </w:p>
        </w:tc>
        <w:tc>
          <w:tcPr>
            <w:tcW w:type="dxa" w:w="163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31.1% vs 33.2%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-2.11 pp</w:t>
            </w:r>
          </w:p>
        </w:tc>
        <w:tc>
          <w:tcPr>
            <w:tcW w:type="dxa" w:w="163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"[-2.70</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 -1.53]"</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0.0000</w:t>
            </w:r>
          </w:p>
        </w:tc>
      </w:tr>
      <w:tr>
        <w:trPr>
          <w:cantSplit/>
        </w:trPr>
        <w:tc>
          <w:tcPr>
            <w:tcW w:type="dxa" w:w="25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Low vs High family income</w:t>
            </w:r>
          </w:p>
        </w:tc>
        <w:tc>
          <w:tcPr>
            <w:tcW w:type="dxa" w:w="163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42.9% vs 20.0%</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+22.93 pp</w:t>
            </w:r>
          </w:p>
        </w:tc>
        <w:tc>
          <w:tcPr>
            <w:tcW w:type="dxa" w:w="163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"[+22.21</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 +23.65]"</w:t>
            </w:r>
          </w:p>
        </w:tc>
        <w:tc>
          <w:tcPr>
            <w:tcW w:type="dxa" w:w="135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1.0000</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Tuition up to date vs not</w:t>
            </w:r>
          </w:p>
        </w:tc>
        <w:tc>
          <w:tcPr>
            <w:tcW w:type="dxa" w:w="163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28.7% vs 44.2%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-15.57 pp</w:t>
            </w:r>
          </w:p>
        </w:tc>
        <w:tc>
          <w:tcPr>
            <w:tcW w:type="dxa" w:w="163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"[-16.30</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 -14.83]"</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0.0000</w:t>
            </w:r>
          </w:p>
        </w:tc>
      </w:tr>
    </w:tbl>
    <w:p>
      <w:pPr>
        <w:spacing w:after="120"/>
      </w:pPr>
    </w:p>
    <w:p>
      <w:pPr>
        <w:keepNext/>
        <w:spacing w:after="40" w:before="80"/>
        <w:jc w:val="center"/>
      </w:pPr>
      <w:r>
        <w:drawing>
          <wp:inline distT="0" distB="0" distL="0" distR="0">
            <wp:extent cx="5715000" cy="1847850"/>
            <wp:effectExtent t="0" r="0" b="0" l="0"/>
            <wp:docPr id="1" name="u1_bayesian" descr="Posterior distributions: dropout probability by family income (left) and effect of sample size (right)" title="Posterior distributions: dropout probability by family income (left) and effect of sample siz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478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 Posterior distributions: dropout probability by family income (left) and effect of sample size (right)</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With 100,000 students the classical and Bayesian intervals are practically identical because the data overwhelm the weak prior. The difference shows only in small samples: with 10 students the classical interval is 19% to 81% while the Bayesian credible interval is somewhat narrower (23.4% to 76.6%), because the prior pulls the estimate gently toward 50%. For comparisons, the Bayesian answer is easier to communicate: the probability that low-income students have a higher dropout probability than high-income students is essentially 1.0, with a most plausible difference of about 22.9 percentage points (95% credible interval 22.2 to 23.7). Scholarship holders drop out 2.1 percentage points less (interval 1.5 to 2.7), a real but small effect. Students are not independent draws from one population (they share institutions, courses and years), so both kinds of interval are somewhat too narrow.</w:t>
      </w:r>
    </w:p>
    <w:p>
      <w:pPr>
        <w:pStyle w:val="Heading1"/>
        <w:keepNext/>
      </w:pPr>
      <w:r>
        <w:rPr>
          <w:rFonts w:ascii="Times New Roman" w:cs="Times New Roman" w:eastAsia="Times New Roman" w:hAnsi="Times New Roman"/>
        </w:rPr>
        <w:t xml:space="preserve">4. Visualizing Using Matplotlib</w:t>
      </w:r>
    </w:p>
    <w:p>
      <w:pPr>
        <w:pStyle w:val="Heading2"/>
        <w:keepNext/>
      </w:pPr>
      <w:r>
        <w:rPr>
          <w:rFonts w:ascii="Times New Roman" w:cs="Times New Roman" w:eastAsia="Times New Roman" w:hAnsi="Times New Roman"/>
        </w:rPr>
        <w:t xml:space="preserve">4.1 Line Plot and Basic Bar Plots</w:t>
      </w:r>
    </w:p>
    <w:p>
      <w:pPr>
        <w:spacing w:after="120" w:line="276"/>
        <w:jc w:val="both"/>
      </w:pPr>
      <w:r>
        <w:rPr>
          <w:rFonts w:ascii="Times New Roman" w:cs="Times New Roman" w:eastAsia="Times New Roman" w:hAnsi="Times New Roman"/>
          <w:sz w:val="22"/>
          <w:szCs w:val="22"/>
        </w:rPr>
        <w:t xml:space="preserve">Matplotlib is the foundation of Python plotting. A figure is created with plt.subplots(), data are drawn on an Axes object, and titles, labels, legends and annotations are added. A line plot is best for ordered data; here the semester (1 to 8) provides the natural order.</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sem = d.groupby("semester").agg(drop=("dropout", "mean"), g1=("gpa_semester_1", "mean"), g2=("gpa_semester_2", "mean"))</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fig, ax = plt.subplots(1, 2, figsize=(11, 4))</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ax[0].plot(sem.index, 100 * sem["drop"], marker="o", lw=2, color="#e76f51", label="Dropout %")</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ax[0].annotate("Peak: semester 2", (2, 34.2), xytext=(3.2, 34.0), arrowprops=dict(arrowstyle="-&gt;"))</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ax[1].plot(sem.index, sem.g1, marker="s", label="GPA semester 1")</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ax[1].plot(sem.index, sem.g2, marker="^", ls="--", label="GPA semester 2"); ax[1].legend()</w:t>
      </w:r>
    </w:p>
    <w:p>
      <w:pPr>
        <w:spacing w:after="80"/>
      </w:pPr>
    </w:p>
    <w:p>
      <w:pPr>
        <w:keepNext/>
        <w:spacing w:after="40" w:before="80"/>
        <w:jc w:val="center"/>
      </w:pPr>
      <w:r>
        <w:drawing>
          <wp:inline distT="0" distB="0" distL="0" distR="0">
            <wp:extent cx="5715000" cy="2009775"/>
            <wp:effectExtent t="0" r="0" b="0" l="0"/>
            <wp:docPr id="1" name="u2_line_semester" descr="Line plots: dropout rate by semester (left) and mean GPA by semester (right)" title="Line plots: dropout rate by semester (left) and mean GPA by semeste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097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4: Line plots: dropout rate by semester (left) and mean GPA by semester (right)</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The dropout rate peaks in semester 2 (34.2%) and then declines slowly to its lowest value in semester 7 (29.6%), which suggests that early semesters are the riskiest and that students who survive them are more likely to continue. The GPA lines are almost flat across semesters, but semester-2 GPA (mean 1.98) is far below semester-1 GPA (mean 2.57): semester-2 GPA is lower for 90.4% of students, by 0.59 grade points on average. The first-year transition therefore appears to be a systematic difficulty for students.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g = (d.groupby("family_income_level").dropout.mean() * 100).reindex(["Low", "Middle", "High"])</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ax.bar(g.index, g.values, color=["#e76f51", "#e9c46a", "#2a9d8f"]); ax.bar_label(ax.containers[0], fmt="%.1f%%")</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ax.barh(study_mode_rates.index, study_mode_rates.values)      # horizontal bar</w:t>
      </w:r>
    </w:p>
    <w:p>
      <w:pPr>
        <w:spacing w:after="80"/>
      </w:pPr>
    </w:p>
    <w:p>
      <w:pPr>
        <w:keepNext/>
        <w:spacing w:after="40" w:before="80"/>
        <w:jc w:val="center"/>
      </w:pPr>
      <w:r>
        <w:drawing>
          <wp:inline distT="0" distB="0" distL="0" distR="0">
            <wp:extent cx="5334000" cy="1885950"/>
            <wp:effectExtent t="0" r="0" b="0" l="0"/>
            <wp:docPr id="1" name="u2_bar_basic" descr="Basic bar plots: dropout rate by family income and by study mode" title="Basic bar plots: dropout rate by family income and by study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8859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5: Basic bar plots: dropout rate by family income and by study mode</w:t>
      </w:r>
    </w:p>
    <w:p>
      <w:pPr>
        <w:pStyle w:val="Heading2"/>
        <w:keepNext/>
      </w:pPr>
      <w:r>
        <w:rPr>
          <w:rFonts w:ascii="Times New Roman" w:cs="Times New Roman" w:eastAsia="Times New Roman" w:hAnsi="Times New Roman"/>
        </w:rPr>
        <w:t xml:space="preserve">4.2 Scatter Plot with Legends, Colours and Annotation</w:t>
      </w:r>
    </w:p>
    <w:p>
      <w:pPr>
        <w:spacing w:after="120" w:line="276"/>
        <w:jc w:val="both"/>
      </w:pPr>
      <w:r>
        <w:rPr>
          <w:rFonts w:ascii="Times New Roman" w:cs="Times New Roman" w:eastAsia="Times New Roman" w:hAnsi="Times New Roman"/>
          <w:sz w:val="22"/>
          <w:szCs w:val="22"/>
        </w:rPr>
        <w:t xml:space="preserve">A scatter plot shows the relationship between two numeric variables. Colours encode the outcome (green = stayed, orange = dropped out), a legend explains the colours, and ax.annotate() adds text with an arrow to point out zones of interest. A random sample of 3,000 students keeps the plot readable.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smp = d.sample(3000, random_state=42)</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for k, colr in [(0, "#2a9d8f"), (1, "#e76f51")]:</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    s = smp[smp.dropout == k]</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    ax.scatter(s.attendance_rate, s.gpa_semester_2, s=14, alpha=.55, color=colr, label=["Stayed", "Dropped out"][k])</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ax.annotate("High-risk zone:\nlow attendance + low GPA", xy=(52, .6), xytext=(4, 3.1), arrowprops=dict(arrowstyle="-&gt;"))</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ax.legend(title="Outcome")</w:t>
      </w:r>
    </w:p>
    <w:p>
      <w:pPr>
        <w:spacing w:after="80"/>
      </w:pPr>
    </w:p>
    <w:p>
      <w:pPr>
        <w:keepNext/>
        <w:spacing w:after="40" w:before="80"/>
        <w:jc w:val="center"/>
      </w:pPr>
      <w:r>
        <w:drawing>
          <wp:inline distT="0" distB="0" distL="0" distR="0">
            <wp:extent cx="4953000" cy="3171825"/>
            <wp:effectExtent t="0" r="0" b="0" l="0"/>
            <wp:docPr id="1" name="u2_scatter" descr="Scatter plot of attendance versus semester-2 GPA with legend, colours and annotations" title="Scatter plot of attendance versus semester-2 GPA with legend, colours and ann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1718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6: Scatter plot of attendance versus semester-2 GPA with legend, colours and annotations</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The relationship is positive but diffuse (r = 0.222): attendance alone explains only 4.9% of the variation in GPA. Dropouts (orange) concentrate in the lower half of the plot, where GPA is below about 2.0, but they appear at every attendance level. The vertical stripe at 100% attendance is the ceiling effect noted in Section 3.3. The plot shows that GPA separates the outcomes better than attendance does.</w:t>
      </w:r>
    </w:p>
    <w:p>
      <w:pPr>
        <w:pStyle w:val="Heading2"/>
        <w:keepNext/>
      </w:pPr>
      <w:r>
        <w:rPr>
          <w:rFonts w:ascii="Times New Roman" w:cs="Times New Roman" w:eastAsia="Times New Roman" w:hAnsi="Times New Roman"/>
        </w:rPr>
        <w:t xml:space="preserve">4.3 Histogram, Density Plot and Contour Plot</w:t>
      </w:r>
    </w:p>
    <w:p>
      <w:pPr>
        <w:spacing w:after="120" w:line="276"/>
        <w:jc w:val="both"/>
      </w:pPr>
      <w:r>
        <w:rPr>
          <w:rFonts w:ascii="Times New Roman" w:cs="Times New Roman" w:eastAsia="Times New Roman" w:hAnsi="Times New Roman"/>
          <w:sz w:val="22"/>
          <w:szCs w:val="22"/>
        </w:rPr>
        <w:t xml:space="preserve">A histogram counts how many students fall into each value range, a density plot (kernel density estimate, KDE) draws a smooth version of the same distribution, and a contour plot extends the density idea to two variables by drawing lines of equal joint density.</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ax[0].hist(d[d.dropout == k].gpa_semester_2, bins=35, alpha=.6)           # histogram</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sns.kdeplot(d[d.dropout == k].attendance_rate, fill=True, clip=(0, 100))  # density</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kde = gaussian_kde(np.vstack([x, y]))                                      # joint density</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zz = kde(np.vstack([xx.ravel(), yy.ravel()])).reshape(xx.shape)</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plt.contourf(xx, yy, zz, levels=14, cmap="viridis"); plt.colorbar(label="Density")</w:t>
      </w:r>
    </w:p>
    <w:p>
      <w:pPr>
        <w:spacing w:after="80"/>
      </w:pPr>
    </w:p>
    <w:p>
      <w:pPr>
        <w:keepNext/>
        <w:spacing w:after="40" w:before="80"/>
        <w:jc w:val="center"/>
      </w:pPr>
      <w:r>
        <w:drawing>
          <wp:inline distT="0" distB="0" distL="0" distR="0">
            <wp:extent cx="5905500" cy="1590675"/>
            <wp:effectExtent t="0" r="0" b="0" l="0"/>
            <wp:docPr id="1" name="u2_hist_density" descr="Histogram and density plots split by outcome" title="Histogram and density plots split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5906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7: Histogram and density plots split by outcome</w:t>
      </w:r>
    </w:p>
    <w:p>
      <w:pPr>
        <w:keepNext/>
        <w:spacing w:after="40" w:before="80"/>
        <w:jc w:val="center"/>
      </w:pPr>
      <w:r>
        <w:drawing>
          <wp:inline distT="0" distB="0" distL="0" distR="0">
            <wp:extent cx="5334000" cy="1990725"/>
            <wp:effectExtent t="0" r="0" b="0" l="0"/>
            <wp:docPr id="1" name="u2_contour" descr="Filled contour plot of the joint density (left) and contour lines by outcome (right)" title="Filled contour plot of the joint density (left) and contour lines by outcom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9907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8: Filled contour plot of the joint density (left) and contour lines by outcome (right)</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Semester-2 GPA is almost bell-shaped (skewness -0.08); dropouts are shifted to the left by about 0.8 grade points (medians 1.44 against 2.24). Attendance is bunched against the 100% ceiling for both groups, with a longer left tail for dropouts. In the contour plot the densest region for students who stayed sits at attendance of about 80-100% and GPA of about 2.3, while for dropouts it sits at a lower GPA of about 1.4. The two sets of contours overlap heavily, which explains why no single variable separates the groups perfectly.</w:t>
      </w:r>
    </w:p>
    <w:p>
      <w:pPr>
        <w:pStyle w:val="Heading2"/>
        <w:keepNext/>
      </w:pPr>
      <w:r>
        <w:rPr>
          <w:rFonts w:ascii="Times New Roman" w:cs="Times New Roman" w:eastAsia="Times New Roman" w:hAnsi="Times New Roman"/>
        </w:rPr>
        <w:t xml:space="preserve">4.4 Error Bars</w:t>
      </w:r>
    </w:p>
    <w:p>
      <w:pPr>
        <w:spacing w:after="120" w:line="276"/>
        <w:jc w:val="both"/>
      </w:pPr>
      <w:r>
        <w:rPr>
          <w:rFonts w:ascii="Times New Roman" w:cs="Times New Roman" w:eastAsia="Times New Roman" w:hAnsi="Times New Roman"/>
          <w:sz w:val="22"/>
          <w:szCs w:val="22"/>
        </w:rPr>
        <w:t xml:space="preserve">Error bars show the uncertainty of an estimate. Here a 95% confidence interval is drawn around the dropout rate of each course type (a proportion) and around the mean semester-2 GPA of each income group (a mean).</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 = s.mean(); se = np.sqrt(p * (1 - p) / len(s))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ax.errorbar(range(5), rates, yerr=1.96 * ses, fmt="o", capsize=5)     # proportion CI</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ax.errorbar(["Low", "Middle", "High"], means, yerr=1.96 * sem, fmt="s", capsize=5)  # mean CI</w:t>
      </w:r>
    </w:p>
    <w:p>
      <w:pPr>
        <w:spacing w:after="80"/>
      </w:pPr>
    </w:p>
    <w:p>
      <w:pPr>
        <w:keepNext/>
        <w:spacing w:after="40" w:before="80"/>
        <w:jc w:val="center"/>
      </w:pPr>
      <w:r>
        <w:drawing>
          <wp:inline distT="0" distB="0" distL="0" distR="0">
            <wp:extent cx="5524500" cy="2057400"/>
            <wp:effectExtent t="0" r="0" b="0" l="0"/>
            <wp:docPr id="1" name="u2_errorbars" descr="Error bars: dropout rate by course type (left) and mean GPA by family income (right), 95% CI" title="Error bars: dropout rate by course type (left) and mean GPA by family income (right), 95%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0574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9: Error bars: dropout rate by course type (left) and mean GPA by family income (right), 95% CI</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The five course types have dropout rates between 31.7% and 32.1% and their error bars overlap completely, so the course is not a risk factor. In contrast, the mean semester-2 GPA rises clearly with family income (Low 1.83, Middle 2.00, High 2.16) and the intervals are so narrow (n = 100,000) that they are barely visible.</w:t>
      </w:r>
    </w:p>
    <w:p>
      <w:pPr>
        <w:pStyle w:val="Heading2"/>
        <w:keepNext/>
      </w:pPr>
      <w:r>
        <w:rPr>
          <w:rFonts w:ascii="Times New Roman" w:cs="Times New Roman" w:eastAsia="Times New Roman" w:hAnsi="Times New Roman"/>
        </w:rPr>
        <w:t xml:space="preserve">4.5 Subplots</w:t>
      </w:r>
    </w:p>
    <w:p>
      <w:pPr>
        <w:spacing w:after="120" w:line="276"/>
        <w:jc w:val="both"/>
      </w:pPr>
      <w:r>
        <w:rPr>
          <w:rFonts w:ascii="Times New Roman" w:cs="Times New Roman" w:eastAsia="Times New Roman" w:hAnsi="Times New Roman"/>
          <w:sz w:val="22"/>
          <w:szCs w:val="22"/>
        </w:rPr>
        <w:t xml:space="preserve">Subplots place several related views in one figure so that they can be compared directly. The figure below combines a bar chart, a line plot, a scatter plot and a histogram.</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fig, axs = plt.subplots(2, 2, figsize=(11, 7.5))</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axs[0, 0].bar(att_band.index.astype(str), att_band.values)            # bar</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axs[0, 1].plot(sem.index, sem.fail, marker="o")                        # line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axs[1, 0].scatter(smp.assignments_submitted_rate, smp.attendance_rate, s=8, alpha=.35)  # scatter</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axs[1, 1].hist(d.units_failed, bins=range(0, 18))                      # histogram</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fig.suptitle("Subplots: four views in one figure")</w:t>
      </w:r>
    </w:p>
    <w:p>
      <w:pPr>
        <w:spacing w:after="80"/>
      </w:pPr>
    </w:p>
    <w:p>
      <w:pPr>
        <w:keepNext/>
        <w:spacing w:after="40" w:before="80"/>
        <w:jc w:val="center"/>
      </w:pPr>
      <w:r>
        <w:drawing>
          <wp:inline distT="0" distB="0" distL="0" distR="0">
            <wp:extent cx="4953000" cy="3362325"/>
            <wp:effectExtent t="0" r="0" b="0" l="0"/>
            <wp:docPr id="1" name="u2_subplots" descr="Subplot grid with bar, line, scatter and histogram" title="Subplot grid with bar, line, scatter and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3623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10: Subplot grid with bar, line, scatter and histogram</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The bar chart shows that dropout falls steadily as attendance rises (59.2% below 50% attendance, 44.7%, 32.8%, 24.4% and 16.1% for 90-100%). Mean failed units are almost constant across semesters, and the number of failed units is right-skewed with most students failing 0 to 4 units. The scatter of assignments against attendance shows a weak positive relationship.</w:t>
      </w:r>
    </w:p>
    <w:p>
      <w:pPr>
        <w:pStyle w:val="Heading2"/>
        <w:keepNext/>
      </w:pPr>
      <w:r>
        <w:rPr>
          <w:rFonts w:ascii="Times New Roman" w:cs="Times New Roman" w:eastAsia="Times New Roman" w:hAnsi="Times New Roman"/>
        </w:rPr>
        <w:t xml:space="preserve">4.6 Three-Dimensional Plotting</w:t>
      </w:r>
    </w:p>
    <w:p>
      <w:pPr>
        <w:spacing w:after="120" w:line="276"/>
        <w:jc w:val="both"/>
      </w:pPr>
      <w:r>
        <w:rPr>
          <w:rFonts w:ascii="Times New Roman" w:cs="Times New Roman" w:eastAsia="Times New Roman" w:hAnsi="Times New Roman"/>
          <w:sz w:val="22"/>
          <w:szCs w:val="22"/>
        </w:rPr>
        <w:t xml:space="preserve">A 3D scatter plot (mpl_toolkits.mplot3d) displays three numeric variables at once, and a 3D surface shows how a computed quantity, here the dropout rate, changes over two variables.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fig = plt.figure(figsize=(8, 6)); ax = fig.add_subplot(111, projection="3d")</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ax.scatter(s.attendance_rate, s.gpa_semester_2, s.units_failed, c=s.dropout.map(colors), s=9)</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ax.set_xlabel("Attendance %"); ax.set_ylabel("GPA sem 2"); ax.set_zlabel("Units failed")</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ax.plot_surface(X, Y, dropout_pct_grid, cmap="RdYlGn_r")             # surface of dropout %</w:t>
      </w:r>
    </w:p>
    <w:p>
      <w:pPr>
        <w:spacing w:after="80"/>
      </w:pPr>
    </w:p>
    <w:p>
      <w:pPr>
        <w:keepNext/>
        <w:spacing w:after="40" w:before="80"/>
        <w:jc w:val="center"/>
      </w:pPr>
      <w:r>
        <w:drawing>
          <wp:inline distT="0" distB="0" distL="0" distR="0">
            <wp:extent cx="3190875" cy="3238500"/>
            <wp:effectExtent t="0" r="0" b="0" l="0"/>
            <wp:docPr id="1" name="u2_3d" descr="3D scatter of attendance, semester-2 GPA and failed units" title="3D scatter of attendance, semester-2 GPA and failed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90875" cy="32385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11: 3D scatter of attendance, semester-2 GPA and failed units</w:t>
      </w:r>
    </w:p>
    <w:p>
      <w:pPr>
        <w:keepNext/>
        <w:spacing w:after="40" w:before="80"/>
        <w:jc w:val="center"/>
      </w:pPr>
      <w:r>
        <w:drawing>
          <wp:inline distT="0" distB="0" distL="0" distR="0">
            <wp:extent cx="3829050" cy="3238500"/>
            <wp:effectExtent t="0" r="0" b="0" l="0"/>
            <wp:docPr id="1" name="u2_3d_surface" descr="3D surface of the dropout rate over attendance and GPA" title="3D surface of the dropout rate over attendance and G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29050" cy="32385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12: 3D surface of the dropout rate over attendance and GPA</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In the 3D scatter the dropouts (orange) rise toward the upper part of the failed-units axis and the low-GPA side, forming a separate cloud from the students who stayed. The surface makes the interaction visible: the dropout rate is highest (above 90%) in the corner of very low attendance and very low GPA, falls smoothly toward the opposite corner, and is lowest (about 1.5%) where attendance is high and GPA is above 3.0.</w:t>
      </w:r>
    </w:p>
    <w:p>
      <w:pPr>
        <w:pStyle w:val="Heading2"/>
        <w:keepNext/>
      </w:pPr>
      <w:r>
        <w:rPr>
          <w:rFonts w:ascii="Times New Roman" w:cs="Times New Roman" w:eastAsia="Times New Roman" w:hAnsi="Times New Roman"/>
        </w:rPr>
        <w:t xml:space="preserve">4.7 Seaborn</w:t>
      </w:r>
    </w:p>
    <w:p>
      <w:pPr>
        <w:spacing w:after="120" w:line="276"/>
        <w:jc w:val="both"/>
      </w:pPr>
      <w:r>
        <w:rPr>
          <w:rFonts w:ascii="Times New Roman" w:cs="Times New Roman" w:eastAsia="Times New Roman" w:hAnsi="Times New Roman"/>
          <w:sz w:val="22"/>
          <w:szCs w:val="22"/>
        </w:rPr>
        <w:t xml:space="preserve">Seaborn is a statistical visualization library built on Matplotlib. It produces attractive defaults and high-level plots such as histplot with a KDE overlay, regplot with a fitted regression line and confidence band, countplot, boxplot, violinplot, pairplot and heatmap, many of which are used throughout this report.</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import seaborn as sns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sns.set_theme(style="whitegrid")</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sns.histplot(data=d, x="gpa_semester_1", hue="dropout_label", kde=True)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sns.regplot(data=smp, x="attendance_rate", y="gpa_semester_2")</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sns.countplot(data=d, x="study_mode", hue="dropout_label")</w:t>
      </w:r>
    </w:p>
    <w:p>
      <w:pPr>
        <w:spacing w:after="80"/>
      </w:pPr>
    </w:p>
    <w:p>
      <w:pPr>
        <w:keepNext/>
        <w:spacing w:after="40" w:before="80"/>
        <w:jc w:val="center"/>
      </w:pPr>
      <w:r>
        <w:drawing>
          <wp:inline distT="0" distB="0" distL="0" distR="0">
            <wp:extent cx="5905500" cy="1600200"/>
            <wp:effectExtent t="0" r="0" b="0" l="0"/>
            <wp:docPr id="1" name="u2_seaborn" descr="Seaborn histplot with KDE, regplot with confidence band and countplot" title="Seaborn histplot with KDE, regplot with confidence band and count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6002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13: Seaborn histplot with KDE, regplot with confidence band and countplot</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The Seaborn histogram shows two overlapping bell-shaped GPA distributions whose peaks are about one grade point apart. The regression line is shallow (slope 0.0092 GPA points per percentage point of attendance), which confirms the weak attendance-GPA link. The countplot shows that the majority of students in every study mode stay, but the share dropping out is slightly higher for part-time students.</w:t>
      </w:r>
    </w:p>
    <w:p>
      <w:pPr>
        <w:pStyle w:val="Heading2"/>
        <w:keepNext/>
      </w:pPr>
      <w:r>
        <w:rPr>
          <w:rFonts w:ascii="Times New Roman" w:cs="Times New Roman" w:eastAsia="Times New Roman" w:hAnsi="Times New Roman"/>
        </w:rPr>
        <w:t xml:space="preserve">4.8 Plotly and Bokeh (Interactive Visualization)</w:t>
      </w:r>
    </w:p>
    <w:p>
      <w:pPr>
        <w:spacing w:after="120" w:line="276"/>
        <w:jc w:val="both"/>
      </w:pPr>
      <w:r>
        <w:rPr>
          <w:rFonts w:ascii="Times New Roman" w:cs="Times New Roman" w:eastAsia="Times New Roman" w:hAnsi="Times New Roman"/>
          <w:sz w:val="22"/>
          <w:szCs w:val="22"/>
        </w:rPr>
        <w:t xml:space="preserve">Plotly and Bokeh create interactive HTML graphics with hover tooltips, zooming and panning. The interactive files are saved in the interactive/ folder of the repository and can be opened in any browser. A random sample of 2,500 students is used so that the pages stay fast, and the tooltip shows the student ID, course, income level, study mode, failed units and missed deadlines.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import plotly.express as px</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fig = px.scatter(s, x="attendance_rate", y="gpa_semester_2", color="dropout_label",</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                 hover_data=["person_id", "course_type", "family_income_level", "units_failed"])</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fig.write_html("interactive/plotly_attendance_vs_gpa.html")</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 </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from bokeh.plotting import figure, output_file, save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from bokeh.models import HoverTool, ColumnDataSource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src = ColumnDataSource(dict(x=s.attendance_rate, y=s.gpa_semester_2, color=s.dropout.map(PAL), pid=s.person_id))</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 = figure(title="Attendance vs GPA", tools="pan,wheel_zoom,box_zoom,reset,save")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p.scatter("x", "y", source=src, size=6, color="color")</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p.add_tools(HoverTool(tooltips=[("Student", "@pid"), ("Attendance", "@x{0.0}%"), ("GPA S2", "@y{0.00}")]))</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output_file("interactive/bokeh_attendance_vs_gpa.html"); save(p)</w:t>
      </w:r>
    </w:p>
    <w:p>
      <w:pPr>
        <w:spacing w:after="80"/>
      </w:pP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Plotly produces a colour-coded scatter plot, a dropout-rate heatmap by income and course type, and a rotatable 3D scatter; Bokeh produces a hover-enabled scatter plot. Interactivity is valuable here because thousands of students overlap in the middle of the plot, and the user can zoom in and hover over a point to identify the student. A dependency-free HTML version (offline_interactive_scatter.html) is also provided so that the demonstration works even without Plotly or Bokeh installed. </w:t>
      </w:r>
      <w:r>
        <w:rPr>
          <w:rFonts w:ascii="Times New Roman" w:cs="Times New Roman" w:eastAsia="Times New Roman" w:hAnsi="Times New Roman"/>
          <w:b/>
          <w:bCs/>
          <w:sz w:val="21"/>
          <w:szCs w:val="21"/>
        </w:rPr>
        <w:t xml:space="preserve">[Paste screenshots of the Plotly and Bokeh HTML outputs below this paragraph if the faculty requires static evidence.]</w:t>
      </w:r>
    </w:p>
    <w:p>
      <w:pPr>
        <w:pStyle w:val="Heading1"/>
        <w:keepNext/>
      </w:pPr>
      <w:r>
        <w:rPr>
          <w:rFonts w:ascii="Times New Roman" w:cs="Times New Roman" w:eastAsia="Times New Roman" w:hAnsi="Times New Roman"/>
        </w:rPr>
        <w:t xml:space="preserve">5. Univariate Analysis</w:t>
      </w:r>
    </w:p>
    <w:p>
      <w:pPr>
        <w:pStyle w:val="Heading2"/>
        <w:keepNext/>
      </w:pPr>
      <w:r>
        <w:rPr>
          <w:rFonts w:ascii="Times New Roman" w:cs="Times New Roman" w:eastAsia="Times New Roman" w:hAnsi="Times New Roman"/>
        </w:rPr>
        <w:t xml:space="preserve">5.1 Summary Statistics of the Numerical Variables</w:t>
      </w:r>
    </w:p>
    <w:p>
      <w:pPr>
        <w:spacing w:after="120" w:line="276"/>
        <w:jc w:val="both"/>
      </w:pPr>
      <w:r>
        <w:rPr>
          <w:rFonts w:ascii="Times New Roman" w:cs="Times New Roman" w:eastAsia="Times New Roman" w:hAnsi="Times New Roman"/>
          <w:sz w:val="22"/>
          <w:szCs w:val="22"/>
        </w:rPr>
        <w:t xml:space="preserve">Univariate analysis studies one variable at a time. For numerical variables the key measures are the mean and median (central tendency), the standard deviation and variance (spread), the quartiles and IQR (robust spread), and skewness and kurtosis (shape).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 = df["gpa_semester_2"]</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print(s.describe())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print("Skewness:", s.skew(), " Kurtosis:", s.kurt())</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q1, q3 = s.quantile([0.25, 0.75]); iqr = q3 - q1</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print("Fences:", q1 - 1.5 * iqr, q3 + 1.5 * iqr)</w:t>
      </w:r>
    </w:p>
    <w:p>
      <w:pPr>
        <w:spacing w:after="80"/>
      </w:pPr>
    </w:p>
    <w:p>
      <w:pPr>
        <w:keepNext/>
        <w:spacing w:after="80" w:before="120"/>
        <w:jc w:val="center"/>
      </w:pPr>
      <w:r>
        <w:rPr>
          <w:rFonts w:ascii="Times New Roman" w:cs="Times New Roman" w:eastAsia="Times New Roman" w:hAnsi="Times New Roman"/>
          <w:b/>
          <w:bCs/>
          <w:sz w:val="20"/>
          <w:szCs w:val="20"/>
        </w:rPr>
        <w:t xml:space="preserve">Table 11: Descriptive statistics of gpa_semester_2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120"/>
        <w:gridCol w:w="2699"/>
        <w:gridCol w:w="2120"/>
      </w:tblGrid>
      <w:tr>
        <w:trPr>
          <w:cantSplit/>
          <w:tblHeader/>
        </w:trPr>
        <w:tc>
          <w:tcPr>
            <w:tcW w:type="dxa" w:w="269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9"/>
                <w:szCs w:val="19"/>
              </w:rPr>
              <w:t xml:space="preserve">Statistic</w:t>
            </w:r>
          </w:p>
        </w:tc>
        <w:tc>
          <w:tcPr>
            <w:tcW w:type="dxa" w:w="21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9"/>
                <w:szCs w:val="19"/>
              </w:rPr>
              <w:t xml:space="preserve">Value</w:t>
            </w:r>
          </w:p>
        </w:tc>
        <w:tc>
          <w:tcPr>
            <w:tcW w:type="dxa" w:w="269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9"/>
                <w:szCs w:val="19"/>
              </w:rPr>
              <w:t xml:space="preserve">Statistic</w:t>
            </w:r>
          </w:p>
        </w:tc>
        <w:tc>
          <w:tcPr>
            <w:tcW w:type="dxa" w:w="21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9"/>
                <w:szCs w:val="19"/>
              </w:rPr>
              <w:t xml:space="preserve">Value</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Count</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100,000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Minimum</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0.00</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Mean</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1.981</w:t>
            </w:r>
          </w:p>
        </w:tc>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Q1 (25%)</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1.49</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Median</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1.990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Q3 (75%)</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2.49</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Mode</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1.97</w:t>
            </w:r>
          </w:p>
        </w:tc>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IQR</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1.00</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Standard deviation</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0.718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Maximum</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4.00</w:t>
            </w:r>
          </w:p>
        </w:tc>
      </w:tr>
      <w:tr>
        <w:trPr>
          <w:cantSplit/>
        </w:trPr>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Variance</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0.515</w:t>
            </w:r>
          </w:p>
        </w:tc>
        <w:tc>
          <w:tcPr>
            <w:tcW w:type="dxa" w:w="26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Skewness</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-0.081</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9"/>
                <w:szCs w:val="19"/>
              </w:rPr>
              <w:t xml:space="preserve">Coefficient of variation</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36.2%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Kurtosis (excess)</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9"/>
                <w:szCs w:val="19"/>
              </w:rPr>
              <w:t xml:space="preserve">-0.267</w:t>
            </w:r>
          </w:p>
        </w:tc>
      </w:tr>
    </w:tbl>
    <w:p>
      <w:pPr>
        <w:spacing w:after="100" w:line="276"/>
        <w:jc w:val="both"/>
      </w:pPr>
      <w:r>
        <w:rPr>
          <w:rFonts w:ascii="Times New Roman" w:cs="Times New Roman" w:eastAsia="Times New Roman" w:hAnsi="Times New Roman"/>
          <w:sz w:val="22"/>
          <w:szCs w:val="22"/>
        </w:rPr>
        <w:t xml:space="preserve">Mean (1.981) and median (1.990) are almost identical and skewness is close to zero, so semester-2 GPA is approximately symmetric and the mean and standard deviation are appropriate summaries. The slightly negative excess kurtosis (-0.27) means that the tails are slightly lighter than a normal distribution, which is expected for a variable bounded between 0 and 4.</w:t>
      </w:r>
    </w:p>
    <w:p>
      <w:pPr>
        <w:keepNext/>
        <w:spacing w:after="80" w:before="120"/>
        <w:jc w:val="center"/>
      </w:pPr>
      <w:r>
        <w:rPr>
          <w:rFonts w:ascii="Times New Roman" w:cs="Times New Roman" w:eastAsia="Times New Roman" w:hAnsi="Times New Roman"/>
          <w:b/>
          <w:bCs/>
          <w:sz w:val="20"/>
          <w:szCs w:val="20"/>
        </w:rPr>
        <w:t xml:space="preserve">Table 12: Descriptive statistics of all 19 numeric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1"/>
        <w:gridCol w:w="876"/>
        <w:gridCol w:w="876"/>
        <w:gridCol w:w="876"/>
        <w:gridCol w:w="779"/>
        <w:gridCol w:w="779"/>
        <w:gridCol w:w="779"/>
        <w:gridCol w:w="876"/>
        <w:gridCol w:w="876"/>
      </w:tblGrid>
      <w:tr>
        <w:trPr>
          <w:cantSplit/>
          <w:tblHeader/>
        </w:trPr>
        <w:tc>
          <w:tcPr>
            <w:tcW w:type="dxa" w:w="292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6"/>
                <w:szCs w:val="16"/>
              </w:rPr>
              <w:t xml:space="preserve">Variable</w:t>
            </w:r>
          </w:p>
        </w:tc>
        <w:tc>
          <w:tcPr>
            <w:tcW w:type="dxa" w:w="87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Mean</w:t>
            </w:r>
          </w:p>
        </w:tc>
        <w:tc>
          <w:tcPr>
            <w:tcW w:type="dxa" w:w="87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Median</w:t>
            </w:r>
          </w:p>
        </w:tc>
        <w:tc>
          <w:tcPr>
            <w:tcW w:type="dxa" w:w="87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Std</w:t>
            </w:r>
          </w:p>
        </w:tc>
        <w:tc>
          <w:tcPr>
            <w:tcW w:type="dxa" w:w="77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Min</w:t>
            </w:r>
          </w:p>
        </w:tc>
        <w:tc>
          <w:tcPr>
            <w:tcW w:type="dxa" w:w="77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Q1</w:t>
            </w:r>
          </w:p>
        </w:tc>
        <w:tc>
          <w:tcPr>
            <w:tcW w:type="dxa" w:w="77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Q3</w:t>
            </w:r>
          </w:p>
        </w:tc>
        <w:tc>
          <w:tcPr>
            <w:tcW w:type="dxa" w:w="87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Max</w:t>
            </w:r>
          </w:p>
        </w:tc>
        <w:tc>
          <w:tcPr>
            <w:tcW w:type="dxa" w:w="87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Skew</w:t>
            </w:r>
          </w:p>
        </w:tc>
      </w:tr>
      <w:tr>
        <w:trPr>
          <w:cantSplit/>
        </w:trPr>
        <w:tc>
          <w:tcPr>
            <w:tcW w:type="dxa" w:w="29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age</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21.52</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21.00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3.40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15.0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19.00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24.00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0.12</w:t>
            </w:r>
          </w:p>
        </w:tc>
      </w:tr>
      <w:tr>
        <w:trPr>
          <w:cantSplit/>
        </w:trPr>
        <w:tc>
          <w:tcPr>
            <w:tcW w:type="dxa" w:w="29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weekly_work_hours</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8.74</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10.23</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18.00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40.0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0.67</w:t>
            </w:r>
          </w:p>
        </w:tc>
      </w:tr>
      <w:tr>
        <w:trPr>
          <w:cantSplit/>
        </w:trPr>
        <w:tc>
          <w:tcPr>
            <w:tcW w:type="dxa" w:w="29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semester</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3.62</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2.11</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2.00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5.00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0.44</w:t>
            </w:r>
          </w:p>
        </w:tc>
      </w:tr>
      <w:tr>
        <w:trPr>
          <w:cantSplit/>
        </w:trPr>
        <w:tc>
          <w:tcPr>
            <w:tcW w:type="dxa" w:w="29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admission_grade</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133.15</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133.10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28.26</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5.5</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114.10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152.50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200.0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-0.06</w:t>
            </w:r>
          </w:p>
        </w:tc>
      </w:tr>
      <w:tr>
        <w:trPr>
          <w:cantSplit/>
        </w:trPr>
        <w:tc>
          <w:tcPr>
            <w:tcW w:type="dxa" w:w="29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previous_qualification_grade</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139.44</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139.60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25.12</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30.2</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122.30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156.60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200.0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-0.06</w:t>
            </w:r>
          </w:p>
        </w:tc>
      </w:tr>
      <w:tr>
        <w:trPr>
          <w:cantSplit/>
        </w:trPr>
        <w:tc>
          <w:tcPr>
            <w:tcW w:type="dxa" w:w="29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units_enrolled</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13.04</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13.00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3.82</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10.00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16.00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24.0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0.11</w:t>
            </w:r>
          </w:p>
        </w:tc>
      </w:tr>
      <w:tr>
        <w:trPr>
          <w:cantSplit/>
        </w:trPr>
        <w:tc>
          <w:tcPr>
            <w:tcW w:type="dxa" w:w="29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units_passed</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10.33</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3.65</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8.00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13.00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24.0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0.40</w:t>
            </w:r>
          </w:p>
        </w:tc>
      </w:tr>
      <w:tr>
        <w:trPr>
          <w:cantSplit/>
        </w:trPr>
        <w:tc>
          <w:tcPr>
            <w:tcW w:type="dxa" w:w="29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units_failed</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2.72</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2.21</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4.00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17.0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0.90</w:t>
            </w:r>
          </w:p>
        </w:tc>
      </w:tr>
      <w:tr>
        <w:trPr>
          <w:cantSplit/>
        </w:trPr>
        <w:tc>
          <w:tcPr>
            <w:tcW w:type="dxa" w:w="29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gpa_semester_1</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2.57</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2.58</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0.79</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2.03</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3.13</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4.0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-0.20</w:t>
            </w:r>
          </w:p>
        </w:tc>
      </w:tr>
      <w:tr>
        <w:trPr>
          <w:cantSplit/>
        </w:trPr>
        <w:tc>
          <w:tcPr>
            <w:tcW w:type="dxa" w:w="29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gpa_semester_2</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1.98</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1.99</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0.72</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1.49</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2.49</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4.0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-0.08</w:t>
            </w:r>
          </w:p>
        </w:tc>
      </w:tr>
      <w:tr>
        <w:trPr>
          <w:cantSplit/>
        </w:trPr>
        <w:tc>
          <w:tcPr>
            <w:tcW w:type="dxa" w:w="29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attendance_rate</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75.10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76.10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17.43</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63.10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89.00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-0.42</w:t>
            </w:r>
          </w:p>
        </w:tc>
      </w:tr>
      <w:tr>
        <w:trPr>
          <w:cantSplit/>
        </w:trPr>
        <w:tc>
          <w:tcPr>
            <w:tcW w:type="dxa" w:w="29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assignments_submitted_rate</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71.42</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72.60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19.88</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57.80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87.20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-0.42</w:t>
            </w:r>
          </w:p>
        </w:tc>
      </w:tr>
      <w:tr>
        <w:trPr>
          <w:cantSplit/>
        </w:trPr>
        <w:tc>
          <w:tcPr>
            <w:tcW w:type="dxa" w:w="29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library_visits_per_month</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4.37</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3.65</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2.00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6.00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1.68</w:t>
            </w:r>
          </w:p>
        </w:tc>
      </w:tr>
      <w:tr>
        <w:trPr>
          <w:cantSplit/>
        </w:trPr>
        <w:tc>
          <w:tcPr>
            <w:tcW w:type="dxa" w:w="29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lms_logins_per_week</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7.27</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7.10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3.94</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4.50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9.80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29.6</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0.36</w:t>
            </w:r>
          </w:p>
        </w:tc>
      </w:tr>
      <w:tr>
        <w:trPr>
          <w:cantSplit/>
        </w:trPr>
        <w:tc>
          <w:tcPr>
            <w:tcW w:type="dxa" w:w="29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missed_deadlines</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2.37</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2.59</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1.76</w:t>
            </w:r>
          </w:p>
        </w:tc>
      </w:tr>
      <w:tr>
        <w:trPr>
          <w:cantSplit/>
        </w:trPr>
        <w:tc>
          <w:tcPr>
            <w:tcW w:type="dxa" w:w="29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stress_level</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6.45</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7.00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2.15</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5.00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-0.22</w:t>
            </w:r>
          </w:p>
        </w:tc>
      </w:tr>
      <w:tr>
        <w:trPr>
          <w:cantSplit/>
        </w:trPr>
        <w:tc>
          <w:tcPr>
            <w:tcW w:type="dxa" w:w="29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satisfaction_score</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6.32</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6.00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2.08</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5.00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-0.17</w:t>
            </w:r>
          </w:p>
        </w:tc>
      </w:tr>
      <w:tr>
        <w:trPr>
          <w:cantSplit/>
        </w:trPr>
        <w:tc>
          <w:tcPr>
            <w:tcW w:type="dxa" w:w="29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commute_time_mins</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23.26</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16.00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23.93</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6.00</w:t>
            </w:r>
          </w:p>
        </w:tc>
        <w:tc>
          <w:tcPr>
            <w:tcW w:type="dxa" w:w="77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33.00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120.0</w:t>
            </w:r>
          </w:p>
        </w:tc>
        <w:tc>
          <w:tcPr>
            <w:tcW w:type="dxa" w:w="87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1.65</w:t>
            </w:r>
          </w:p>
        </w:tc>
      </w:tr>
      <w:tr>
        <w:trPr>
          <w:cantSplit/>
        </w:trPr>
        <w:tc>
          <w:tcPr>
            <w:tcW w:type="dxa" w:w="29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sleep_hours</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6.56</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6.50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1.20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4.0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5.70</w:t>
            </w:r>
          </w:p>
        </w:tc>
        <w:tc>
          <w:tcPr>
            <w:tcW w:type="dxa" w:w="77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7.40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0.09</w:t>
            </w:r>
          </w:p>
        </w:tc>
      </w:tr>
    </w:tbl>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Only three variables are strongly skewed (skewness above 1): missed_deadlines (1.76), library_visits_per_month (1.68) and commute_time_mins (1.65). Their means are well above their medians (for example commute 23.3 against 16.0 minutes, weekly work hours 8.7 against 0), so the median describes a typical student better than the mean for these variables. All other variables, including both GPAs, attendance and grades, are roughly symmetric.</w:t>
      </w:r>
    </w:p>
    <w:p>
      <w:pPr>
        <w:pStyle w:val="Heading2"/>
        <w:keepNext/>
      </w:pPr>
      <w:r>
        <w:rPr>
          <w:rFonts w:ascii="Times New Roman" w:cs="Times New Roman" w:eastAsia="Times New Roman" w:hAnsi="Times New Roman"/>
        </w:rPr>
        <w:t xml:space="preserve">5.2 Histogram, Box Plot and Density Plot</w:t>
      </w:r>
    </w:p>
    <w:p>
      <w:pPr>
        <w:spacing w:after="120" w:line="276"/>
        <w:jc w:val="both"/>
      </w:pPr>
      <w:r>
        <w:rPr>
          <w:rFonts w:ascii="Times New Roman" w:cs="Times New Roman" w:eastAsia="Times New Roman" w:hAnsi="Times New Roman"/>
          <w:sz w:val="22"/>
          <w:szCs w:val="22"/>
        </w:rPr>
        <w:t xml:space="preserve">Histograms with a KDE curve, box plots and Q-Q plots were drawn for all 19 numeric variables. Dashed red lines mark the mean and green lines mark the median.</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sns.histplot(d[c], bins=30, kde=True)                 # histogram + density</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sns.boxplot(x=d[c])                                   # box plot</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stats.probplot(d[c].sample(5000), dist="norm", plot=ax)   # Q-Q plot</w:t>
      </w:r>
    </w:p>
    <w:p>
      <w:pPr>
        <w:spacing w:after="80"/>
      </w:pPr>
    </w:p>
    <w:p>
      <w:pPr>
        <w:keepNext/>
        <w:spacing w:after="40" w:before="80"/>
        <w:jc w:val="center"/>
      </w:pPr>
      <w:r>
        <w:drawing>
          <wp:inline distT="0" distB="0" distL="0" distR="0">
            <wp:extent cx="5334000" cy="4962525"/>
            <wp:effectExtent t="0" r="0" b="0" l="0"/>
            <wp:docPr id="1" name="u3_histograms_all" descr="Histograms with density curves of all numeric variables (red dashed = mean, green = median)" title="Histograms with density curves of all numeric variables (red dashed = mean, green = me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49625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14: Histograms with density curves of all numeric variables (red dashed = mean, green = median)</w:t>
      </w:r>
    </w:p>
    <w:p>
      <w:pPr>
        <w:keepNext/>
        <w:spacing w:after="40" w:before="80"/>
        <w:jc w:val="center"/>
      </w:pPr>
      <w:r>
        <w:drawing>
          <wp:inline distT="0" distB="0" distL="0" distR="0">
            <wp:extent cx="4953000" cy="3400425"/>
            <wp:effectExtent t="0" r="0" b="0" l="0"/>
            <wp:docPr id="1" name="u3_key_variables" descr="Histogram, box plot and density plot for GPA, attendance and missed deadlines" title="Histogram, box plot and density plot for GPA, attendance and missed dead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34004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15: Histogram, box plot and density plot for GPA, attendance and missed deadlines</w:t>
      </w:r>
    </w:p>
    <w:p>
      <w:pPr>
        <w:keepNext/>
        <w:spacing w:after="40" w:before="80"/>
        <w:jc w:val="center"/>
      </w:pPr>
      <w:r>
        <w:drawing>
          <wp:inline distT="0" distB="0" distL="0" distR="0">
            <wp:extent cx="5715000" cy="1314450"/>
            <wp:effectExtent t="0" r="0" b="0" l="0"/>
            <wp:docPr id="1" name="u3_qq" descr="Q-Q plots against the normal distribution" title="Q-Q plots against the norma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3144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16: Q-Q plots against the normal distribution</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GPA, grades, stress, satisfaction and sleep follow a bell shape and their Q-Q points lie close to the diagonal. Attendance and assignment submission are piled up at 100% (the ceiling effect) and have a longer left tail. Missed deadlines and commute time are right-skewed with many students at 0, and their Q-Q plots curve strongly upward, confirming departure from normality. Because of this, the non-parametric tests of Unit 4 are used alongside parametric ones.</w:t>
      </w:r>
    </w:p>
    <w:p>
      <w:pPr>
        <w:keepNext/>
        <w:spacing w:after="40" w:before="80"/>
        <w:jc w:val="center"/>
      </w:pPr>
      <w:r>
        <w:drawing>
          <wp:inline distT="0" distB="0" distL="0" distR="0">
            <wp:extent cx="5200650" cy="4191000"/>
            <wp:effectExtent t="0" r="0" b="0" l="0"/>
            <wp:docPr id="1" name="u3_boxplots_all" descr="Box plots of all numeric variables" title="Box plots of all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00650" cy="41910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17: Box plots of all numeric variables</w:t>
      </w:r>
    </w:p>
    <w:p>
      <w:pPr>
        <w:pStyle w:val="Heading2"/>
        <w:keepNext/>
      </w:pPr>
      <w:r>
        <w:rPr>
          <w:rFonts w:ascii="Times New Roman" w:cs="Times New Roman" w:eastAsia="Times New Roman" w:hAnsi="Times New Roman"/>
        </w:rPr>
        <w:t xml:space="preserve">5.3 Skewness and Outlier Detection</w:t>
      </w:r>
    </w:p>
    <w:p>
      <w:pPr>
        <w:spacing w:after="120" w:line="276"/>
        <w:jc w:val="both"/>
      </w:pPr>
      <w:r>
        <w:rPr>
          <w:rFonts w:ascii="Times New Roman" w:cs="Times New Roman" w:eastAsia="Times New Roman" w:hAnsi="Times New Roman"/>
          <w:sz w:val="22"/>
          <w:szCs w:val="22"/>
        </w:rPr>
        <w:t xml:space="preserve">Outliers were detected with the IQR rule: values below Q1 - 1.5 x IQR or above Q3 + 1.5 x IQR are flagged.</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q1, q3 = s.quantile([.25, .75]); iqr = q3 - q1</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lo, hi = q1 - 1.5 * iqr, q3 + 1.5 * iqr</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n_out = ((s &lt; lo) | (s &gt; hi)).sum()</w:t>
      </w:r>
    </w:p>
    <w:p>
      <w:pPr>
        <w:spacing w:after="80"/>
      </w:pPr>
    </w:p>
    <w:p>
      <w:pPr>
        <w:keepNext/>
        <w:spacing w:after="80" w:before="120"/>
        <w:jc w:val="center"/>
      </w:pPr>
      <w:r>
        <w:rPr>
          <w:rFonts w:ascii="Times New Roman" w:cs="Times New Roman" w:eastAsia="Times New Roman" w:hAnsi="Times New Roman"/>
          <w:b/>
          <w:bCs/>
          <w:sz w:val="20"/>
          <w:szCs w:val="20"/>
        </w:rPr>
        <w:t xml:space="preserve">Table 13: Skewness and IQR outliers for every numeric variable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2"/>
        <w:gridCol w:w="927"/>
        <w:gridCol w:w="1946"/>
        <w:gridCol w:w="927"/>
        <w:gridCol w:w="927"/>
        <w:gridCol w:w="741"/>
        <w:gridCol w:w="741"/>
        <w:gridCol w:w="927"/>
      </w:tblGrid>
      <w:tr>
        <w:trPr>
          <w:cantSplit/>
          <w:tblHeader/>
        </w:trPr>
        <w:tc>
          <w:tcPr>
            <w:tcW w:type="dxa" w:w="250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5"/>
                <w:szCs w:val="15"/>
              </w:rPr>
              <w:t xml:space="preserve">Variable</w:t>
            </w:r>
          </w:p>
        </w:tc>
        <w:tc>
          <w:tcPr>
            <w:tcW w:type="dxa" w:w="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Skewness</w:t>
            </w:r>
          </w:p>
        </w:tc>
        <w:tc>
          <w:tcPr>
            <w:tcW w:type="dxa" w:w="19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5"/>
                <w:szCs w:val="15"/>
              </w:rPr>
              <w:t xml:space="preserve">Shape</w:t>
            </w:r>
          </w:p>
        </w:tc>
        <w:tc>
          <w:tcPr>
            <w:tcW w:type="dxa" w:w="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Lower fence</w:t>
            </w:r>
          </w:p>
        </w:tc>
        <w:tc>
          <w:tcPr>
            <w:tcW w:type="dxa" w:w="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Upper fence</w:t>
            </w:r>
          </w:p>
        </w:tc>
        <w:tc>
          <w:tcPr>
            <w:tcW w:type="dxa" w:w="7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Below</w:t>
            </w:r>
          </w:p>
        </w:tc>
        <w:tc>
          <w:tcPr>
            <w:tcW w:type="dxa" w:w="7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Above</w:t>
            </w:r>
          </w:p>
        </w:tc>
        <w:tc>
          <w:tcPr>
            <w:tcW w:type="dxa" w:w="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Outlier %</w:t>
            </w:r>
          </w:p>
        </w:tc>
      </w:tr>
      <w:tr>
        <w:trPr>
          <w:cantSplit/>
        </w:trPr>
        <w:tc>
          <w:tcPr>
            <w:tcW w:type="dxa" w:w="250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age</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0.12</w:t>
            </w:r>
          </w:p>
        </w:tc>
        <w:tc>
          <w:tcPr>
            <w:tcW w:type="dxa" w:w="19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11.5</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31.5</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w:t>
            </w:r>
          </w:p>
        </w:tc>
      </w:tr>
      <w:tr>
        <w:trPr>
          <w:cantSplit/>
        </w:trPr>
        <w:tc>
          <w:tcPr>
            <w:tcW w:type="dxa" w:w="250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weekly_work_hours</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0.67</w:t>
            </w:r>
          </w:p>
        </w:tc>
        <w:tc>
          <w:tcPr>
            <w:tcW w:type="dxa" w:w="194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Moderate right skew</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-27.0</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45.0</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w:t>
            </w:r>
          </w:p>
        </w:tc>
      </w:tr>
      <w:tr>
        <w:trPr>
          <w:cantSplit/>
        </w:trPr>
        <w:tc>
          <w:tcPr>
            <w:tcW w:type="dxa" w:w="250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semester</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0.44</w:t>
            </w:r>
          </w:p>
        </w:tc>
        <w:tc>
          <w:tcPr>
            <w:tcW w:type="dxa" w:w="19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-2.5</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9.5</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w:t>
            </w:r>
          </w:p>
        </w:tc>
      </w:tr>
      <w:tr>
        <w:trPr>
          <w:cantSplit/>
        </w:trPr>
        <w:tc>
          <w:tcPr>
            <w:tcW w:type="dxa" w:w="250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admission_grade</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-0.06</w:t>
            </w:r>
          </w:p>
        </w:tc>
        <w:tc>
          <w:tcPr>
            <w:tcW w:type="dxa" w:w="194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56.5</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210.1</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342</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0.34</w:t>
            </w:r>
          </w:p>
        </w:tc>
      </w:tr>
      <w:tr>
        <w:trPr>
          <w:cantSplit/>
        </w:trPr>
        <w:tc>
          <w:tcPr>
            <w:tcW w:type="dxa" w:w="250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previous_qualification_grade</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-0.05</w:t>
            </w:r>
          </w:p>
        </w:tc>
        <w:tc>
          <w:tcPr>
            <w:tcW w:type="dxa" w:w="19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70.85</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208.05</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330</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0.33</w:t>
            </w:r>
          </w:p>
        </w:tc>
      </w:tr>
      <w:tr>
        <w:trPr>
          <w:cantSplit/>
        </w:trPr>
        <w:tc>
          <w:tcPr>
            <w:tcW w:type="dxa" w:w="250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units_enrolled</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0.11</w:t>
            </w:r>
          </w:p>
        </w:tc>
        <w:tc>
          <w:tcPr>
            <w:tcW w:type="dxa" w:w="194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1.0</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25.0</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w:t>
            </w:r>
          </w:p>
        </w:tc>
      </w:tr>
      <w:tr>
        <w:trPr>
          <w:cantSplit/>
        </w:trPr>
        <w:tc>
          <w:tcPr>
            <w:tcW w:type="dxa" w:w="250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units_passed</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0.39</w:t>
            </w:r>
          </w:p>
        </w:tc>
        <w:tc>
          <w:tcPr>
            <w:tcW w:type="dxa" w:w="19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0.5</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20.5</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436</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0.44</w:t>
            </w:r>
          </w:p>
        </w:tc>
      </w:tr>
      <w:tr>
        <w:trPr>
          <w:cantSplit/>
        </w:trPr>
        <w:tc>
          <w:tcPr>
            <w:tcW w:type="dxa" w:w="250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units_failed</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0.9</w:t>
            </w:r>
          </w:p>
        </w:tc>
        <w:tc>
          <w:tcPr>
            <w:tcW w:type="dxa" w:w="194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Moderate right skew</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-3.5</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8.5</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1,628</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1.63</w:t>
            </w:r>
          </w:p>
        </w:tc>
      </w:tr>
      <w:tr>
        <w:trPr>
          <w:cantSplit/>
        </w:trPr>
        <w:tc>
          <w:tcPr>
            <w:tcW w:type="dxa" w:w="250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gpa_semester_1</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-0.2</w:t>
            </w:r>
          </w:p>
        </w:tc>
        <w:tc>
          <w:tcPr>
            <w:tcW w:type="dxa" w:w="19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0.38</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4.78</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359</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0.36</w:t>
            </w:r>
          </w:p>
        </w:tc>
      </w:tr>
      <w:tr>
        <w:trPr>
          <w:cantSplit/>
        </w:trPr>
        <w:tc>
          <w:tcPr>
            <w:tcW w:type="dxa" w:w="250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gpa_semester_2</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-0.08</w:t>
            </w:r>
          </w:p>
        </w:tc>
        <w:tc>
          <w:tcPr>
            <w:tcW w:type="dxa" w:w="194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-0.01</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3.99</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71</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0.07</w:t>
            </w:r>
          </w:p>
        </w:tc>
      </w:tr>
      <w:tr>
        <w:trPr>
          <w:cantSplit/>
        </w:trPr>
        <w:tc>
          <w:tcPr>
            <w:tcW w:type="dxa" w:w="250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attendance_rate</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-0.42</w:t>
            </w:r>
          </w:p>
        </w:tc>
        <w:tc>
          <w:tcPr>
            <w:tcW w:type="dxa" w:w="19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24.25</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127.85</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335</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0.34</w:t>
            </w:r>
          </w:p>
        </w:tc>
      </w:tr>
      <w:tr>
        <w:trPr>
          <w:cantSplit/>
        </w:trPr>
        <w:tc>
          <w:tcPr>
            <w:tcW w:type="dxa" w:w="250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assignments_submitted_rate</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-0.42</w:t>
            </w:r>
          </w:p>
        </w:tc>
        <w:tc>
          <w:tcPr>
            <w:tcW w:type="dxa" w:w="194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13.7</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131.3</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358</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0.36</w:t>
            </w:r>
          </w:p>
        </w:tc>
      </w:tr>
      <w:tr>
        <w:trPr>
          <w:cantSplit/>
        </w:trPr>
        <w:tc>
          <w:tcPr>
            <w:tcW w:type="dxa" w:w="250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library_visits_per_month</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1.68</w:t>
            </w:r>
          </w:p>
        </w:tc>
        <w:tc>
          <w:tcPr>
            <w:tcW w:type="dxa" w:w="19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Strong right skew</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-4.0</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12.0</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3,756</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3.76</w:t>
            </w:r>
          </w:p>
        </w:tc>
      </w:tr>
      <w:tr>
        <w:trPr>
          <w:cantSplit/>
        </w:trPr>
        <w:tc>
          <w:tcPr>
            <w:tcW w:type="dxa" w:w="250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lms_logins_per_week</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0.37</w:t>
            </w:r>
          </w:p>
        </w:tc>
        <w:tc>
          <w:tcPr>
            <w:tcW w:type="dxa" w:w="194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-3.45</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17.75</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823</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0.82</w:t>
            </w:r>
          </w:p>
        </w:tc>
      </w:tr>
      <w:tr>
        <w:trPr>
          <w:cantSplit/>
        </w:trPr>
        <w:tc>
          <w:tcPr>
            <w:tcW w:type="dxa" w:w="250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missed_deadlines</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1.76</w:t>
            </w:r>
          </w:p>
        </w:tc>
        <w:tc>
          <w:tcPr>
            <w:tcW w:type="dxa" w:w="19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Strong right skew</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-4.5</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7.5</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4,903</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4.9</w:t>
            </w:r>
          </w:p>
        </w:tc>
      </w:tr>
      <w:tr>
        <w:trPr>
          <w:cantSplit/>
        </w:trPr>
        <w:tc>
          <w:tcPr>
            <w:tcW w:type="dxa" w:w="250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stress_level</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-0.22</w:t>
            </w:r>
          </w:p>
        </w:tc>
        <w:tc>
          <w:tcPr>
            <w:tcW w:type="dxa" w:w="194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0.5</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12.5</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w:t>
            </w:r>
          </w:p>
        </w:tc>
      </w:tr>
      <w:tr>
        <w:trPr>
          <w:cantSplit/>
        </w:trPr>
        <w:tc>
          <w:tcPr>
            <w:tcW w:type="dxa" w:w="250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satisfaction_score</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-0.17</w:t>
            </w:r>
          </w:p>
        </w:tc>
        <w:tc>
          <w:tcPr>
            <w:tcW w:type="dxa" w:w="19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0.5</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12.5</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w:t>
            </w:r>
          </w:p>
        </w:tc>
      </w:tr>
      <w:tr>
        <w:trPr>
          <w:cantSplit/>
        </w:trPr>
        <w:tc>
          <w:tcPr>
            <w:tcW w:type="dxa" w:w="250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commute_time_mins</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1.65</w:t>
            </w:r>
          </w:p>
        </w:tc>
        <w:tc>
          <w:tcPr>
            <w:tcW w:type="dxa" w:w="194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Strong right skew</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-34.5</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73.5</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4,879</w:t>
            </w:r>
          </w:p>
        </w:tc>
        <w:tc>
          <w:tcPr>
            <w:tcW w:type="dxa" w:w="92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4.88</w:t>
            </w:r>
          </w:p>
        </w:tc>
      </w:tr>
      <w:tr>
        <w:trPr>
          <w:cantSplit/>
        </w:trPr>
        <w:tc>
          <w:tcPr>
            <w:tcW w:type="dxa" w:w="250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sleep_hours</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0.09</w:t>
            </w:r>
          </w:p>
        </w:tc>
        <w:tc>
          <w:tcPr>
            <w:tcW w:type="dxa" w:w="19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Approx. symmetric</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3.15</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9.95</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w:t>
            </w:r>
          </w:p>
        </w:tc>
        <w:tc>
          <w:tcPr>
            <w:tcW w:type="dxa" w:w="74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275</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0.28</w:t>
            </w:r>
          </w:p>
        </w:tc>
      </w:tr>
    </w:tbl>
    <w:p>
      <w:pPr>
        <w:spacing w:after="120"/>
      </w:pPr>
    </w:p>
    <w:p>
      <w:pPr>
        <w:keepNext/>
        <w:spacing w:after="40" w:before="80"/>
        <w:jc w:val="center"/>
      </w:pPr>
      <w:r>
        <w:drawing>
          <wp:inline distT="0" distB="0" distL="0" distR="0">
            <wp:extent cx="5334000" cy="1714500"/>
            <wp:effectExtent t="0" r="0" b="0" l="0"/>
            <wp:docPr id="1" name="u3_outliers_skew" descr="Share of IQR outliers (left) and skewness (right) per variable" title="Share of IQR outliers (left) and skewness (right) per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7145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18: Share of IQR outliers (left) and skewness (right) per variable</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13 of the 19 variables contain IQR outliers, but the proportions are small: the largest is missed_deadlines with 4.9% of students above the fence of 7.5, followed by commute time (4.9%) and library visits (3.8%). Bounded variables behave differently: for attendance and assignment submission the lower fence flags a few hundred students (about 0.3%) with very low values and no values are flagged on the upper side. These outliers are not errors. A student who missed 15 deadlines or commutes for two hours is real, and for a dropout study such students are exactly the ones of interest, so none were removed. Winsorising missed_deadlines at its 99th percentile (11) would change its mean only from 2.37 to 2.34, so the influence of the outliers on summary statistics is small. Log transformation (Section 3.5) is used where a symmetric scale is needed.</w:t>
      </w:r>
    </w:p>
    <w:p>
      <w:pPr>
        <w:pStyle w:val="Heading2"/>
        <w:keepNext/>
      </w:pPr>
      <w:r>
        <w:rPr>
          <w:rFonts w:ascii="Times New Roman" w:cs="Times New Roman" w:eastAsia="Times New Roman" w:hAnsi="Times New Roman"/>
        </w:rPr>
        <w:t xml:space="preserve">5.4 Single Categorical Variable: Bar Chart, Pie Chart and Frequency Table</w:t>
      </w:r>
    </w:p>
    <w:p>
      <w:pPr>
        <w:spacing w:after="120" w:line="276"/>
        <w:jc w:val="both"/>
      </w:pPr>
      <w:r>
        <w:rPr>
          <w:rFonts w:ascii="Times New Roman" w:cs="Times New Roman" w:eastAsia="Times New Roman" w:hAnsi="Times New Roman"/>
          <w:sz w:val="22"/>
          <w:szCs w:val="22"/>
        </w:rPr>
        <w:t xml:space="preserve">For a categorical variable the frequency table counts the occurrences of every category, the bar chart compares those counts accurately, and the pie chart shows each category's share of a whole.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freq = df["course_type"].value_counts()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rel  = df["course_type"].value_counts(normalize=True) * 100</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plt.bar(freq.index, freq.values)</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plt.pie(freq, labels=freq.index, autopct="%1.1f%%")</w:t>
      </w:r>
    </w:p>
    <w:p>
      <w:pPr>
        <w:spacing w:after="80"/>
      </w:pPr>
    </w:p>
    <w:p>
      <w:pPr>
        <w:keepNext/>
        <w:spacing w:after="80" w:before="120"/>
        <w:jc w:val="center"/>
      </w:pPr>
      <w:r>
        <w:rPr>
          <w:rFonts w:ascii="Times New Roman" w:cs="Times New Roman" w:eastAsia="Times New Roman" w:hAnsi="Times New Roman"/>
          <w:b/>
          <w:bCs/>
          <w:sz w:val="20"/>
          <w:szCs w:val="20"/>
        </w:rPr>
        <w:t xml:space="preserve">Table 14: Frequency tables of the main categorical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1542"/>
        <w:gridCol w:w="1542"/>
        <w:gridCol w:w="1928"/>
      </w:tblGrid>
      <w:tr>
        <w:trPr>
          <w:cantSplit/>
          <w:tblHeader/>
        </w:trPr>
        <w:tc>
          <w:tcPr>
            <w:tcW w:type="dxa" w:w="21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7"/>
                <w:szCs w:val="17"/>
              </w:rPr>
              <w:t xml:space="preserve">Variable</w:t>
            </w:r>
          </w:p>
        </w:tc>
        <w:tc>
          <w:tcPr>
            <w:tcW w:type="dxa" w:w="25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7"/>
                <w:szCs w:val="17"/>
              </w:rPr>
              <w:t xml:space="preserve">Category</w:t>
            </w:r>
          </w:p>
        </w:tc>
        <w:tc>
          <w:tcPr>
            <w:tcW w:type="dxa" w:w="15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Count</w:t>
            </w:r>
          </w:p>
        </w:tc>
        <w:tc>
          <w:tcPr>
            <w:tcW w:type="dxa" w:w="15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Percent</w:t>
            </w:r>
          </w:p>
        </w:tc>
        <w:tc>
          <w:tcPr>
            <w:tcW w:type="dxa" w:w="19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Cumulative %</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 type</w:t>
            </w:r>
          </w:p>
        </w:tc>
        <w:tc>
          <w:tcPr>
            <w:tcW w:type="dxa" w:w="25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STEM</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30,141</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30.14</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30.14</w:t>
            </w:r>
          </w:p>
        </w:tc>
      </w:tr>
      <w:tr>
        <w:trPr>
          <w:cantSplit/>
        </w:trPr>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 type</w:t>
            </w:r>
          </w:p>
        </w:tc>
        <w:tc>
          <w:tcPr>
            <w:tcW w:type="dxa" w:w="25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Business</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24,986</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24.99</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55.13</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 type</w:t>
            </w:r>
          </w:p>
        </w:tc>
        <w:tc>
          <w:tcPr>
            <w:tcW w:type="dxa" w:w="25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Arts &amp; Humanities</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18,024</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18.02</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73.15</w:t>
            </w:r>
          </w:p>
        </w:tc>
      </w:tr>
      <w:tr>
        <w:trPr>
          <w:cantSplit/>
        </w:trPr>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 type</w:t>
            </w:r>
          </w:p>
        </w:tc>
        <w:tc>
          <w:tcPr>
            <w:tcW w:type="dxa" w:w="25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Health Sciences</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14,941</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14.94</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88.09</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 type</w:t>
            </w:r>
          </w:p>
        </w:tc>
        <w:tc>
          <w:tcPr>
            <w:tcW w:type="dxa" w:w="25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Law &amp; Social Sciences</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11,908</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11.91</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100.00</w:t>
            </w:r>
          </w:p>
        </w:tc>
      </w:tr>
      <w:tr>
        <w:trPr>
          <w:cantSplit/>
        </w:trPr>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Study mode</w:t>
            </w:r>
          </w:p>
        </w:tc>
        <w:tc>
          <w:tcPr>
            <w:tcW w:type="dxa" w:w="25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Full-time</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65,096</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65.10</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65.10</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Study mode</w:t>
            </w:r>
          </w:p>
        </w:tc>
        <w:tc>
          <w:tcPr>
            <w:tcW w:type="dxa" w:w="25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Part-time</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21,975</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21.98</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87.07</w:t>
            </w:r>
          </w:p>
        </w:tc>
      </w:tr>
      <w:tr>
        <w:trPr>
          <w:cantSplit/>
        </w:trPr>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Study mode</w:t>
            </w:r>
          </w:p>
        </w:tc>
        <w:tc>
          <w:tcPr>
            <w:tcW w:type="dxa" w:w="25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Online</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12,929</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12.93</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100.00</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Family income</w:t>
            </w:r>
          </w:p>
        </w:tc>
        <w:tc>
          <w:tcPr>
            <w:tcW w:type="dxa" w:w="25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Low</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34,809</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34.81</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75.02</w:t>
            </w:r>
          </w:p>
        </w:tc>
      </w:tr>
      <w:tr>
        <w:trPr>
          <w:cantSplit/>
        </w:trPr>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Family income</w:t>
            </w:r>
          </w:p>
        </w:tc>
        <w:tc>
          <w:tcPr>
            <w:tcW w:type="dxa" w:w="25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Middle</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40,213</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40.21</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40.21</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Family income</w:t>
            </w:r>
          </w:p>
        </w:tc>
        <w:tc>
          <w:tcPr>
            <w:tcW w:type="dxa" w:w="25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High</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24,978</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24.98</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100.00</w:t>
            </w:r>
          </w:p>
        </w:tc>
      </w:tr>
      <w:tr>
        <w:trPr>
          <w:cantSplit/>
        </w:trPr>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Gender</w:t>
            </w:r>
          </w:p>
        </w:tc>
        <w:tc>
          <w:tcPr>
            <w:tcW w:type="dxa" w:w="25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Female</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50,731</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50.73</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50.73</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Gender</w:t>
            </w:r>
          </w:p>
        </w:tc>
        <w:tc>
          <w:tcPr>
            <w:tcW w:type="dxa" w:w="25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Male</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47,224</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47.22</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97.96</w:t>
            </w:r>
          </w:p>
        </w:tc>
      </w:tr>
      <w:tr>
        <w:trPr>
          <w:cantSplit/>
        </w:trPr>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Gender</w:t>
            </w:r>
          </w:p>
        </w:tc>
        <w:tc>
          <w:tcPr>
            <w:tcW w:type="dxa" w:w="25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Other</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2,045</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2.04</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100.00</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Dropout (target)</w:t>
            </w:r>
          </w:p>
        </w:tc>
        <w:tc>
          <w:tcPr>
            <w:tcW w:type="dxa" w:w="25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Stayed</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67,996</w:t>
            </w:r>
          </w:p>
        </w:tc>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68.00</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68.00</w:t>
            </w:r>
          </w:p>
        </w:tc>
      </w:tr>
      <w:tr>
        <w:trPr>
          <w:cantSplit/>
        </w:trPr>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Dropout (target)</w:t>
            </w:r>
          </w:p>
        </w:tc>
        <w:tc>
          <w:tcPr>
            <w:tcW w:type="dxa" w:w="25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Dropped out</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32,004</w:t>
            </w:r>
          </w:p>
        </w:tc>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32.00</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100.00</w:t>
            </w:r>
          </w:p>
        </w:tc>
      </w:tr>
    </w:tbl>
    <w:p>
      <w:pPr>
        <w:spacing w:after="120"/>
      </w:pPr>
    </w:p>
    <w:p>
      <w:pPr>
        <w:keepNext/>
        <w:spacing w:after="80" w:before="120"/>
        <w:jc w:val="center"/>
      </w:pPr>
      <w:r>
        <w:rPr>
          <w:rFonts w:ascii="Times New Roman" w:cs="Times New Roman" w:eastAsia="Times New Roman" w:hAnsi="Times New Roman"/>
          <w:b/>
          <w:bCs/>
          <w:sz w:val="20"/>
          <w:szCs w:val="20"/>
        </w:rPr>
        <w:t xml:space="preserve">Table 15: Frequency table of nationality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120"/>
        <w:gridCol w:w="2120"/>
        <w:gridCol w:w="2121"/>
      </w:tblGrid>
      <w:tr>
        <w:trPr>
          <w:cantSplit/>
          <w:tblHeader/>
        </w:trPr>
        <w:tc>
          <w:tcPr>
            <w:tcW w:type="dxa" w:w="327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7"/>
                <w:szCs w:val="17"/>
              </w:rPr>
              <w:t xml:space="preserve">Nationality</w:t>
            </w:r>
          </w:p>
        </w:tc>
        <w:tc>
          <w:tcPr>
            <w:tcW w:type="dxa" w:w="21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Count</w:t>
            </w:r>
          </w:p>
        </w:tc>
        <w:tc>
          <w:tcPr>
            <w:tcW w:type="dxa" w:w="21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Percent</w:t>
            </w:r>
          </w:p>
        </w:tc>
        <w:tc>
          <w:tcPr>
            <w:tcW w:type="dxa" w:w="212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Cumulative %</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USA</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29,979</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29.98</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29.98</w:t>
            </w:r>
          </w:p>
        </w:tc>
      </w:tr>
      <w:tr>
        <w:trPr>
          <w:cantSplit/>
        </w:trPr>
        <w:tc>
          <w:tcPr>
            <w:tcW w:type="dxa" w:w="327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India</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11,994</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11.99</w:t>
            </w:r>
          </w:p>
        </w:tc>
        <w:tc>
          <w:tcPr>
            <w:tcW w:type="dxa" w:w="21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41.97</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China</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10,013</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10.01</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51.99</w:t>
            </w:r>
          </w:p>
        </w:tc>
      </w:tr>
      <w:tr>
        <w:trPr>
          <w:cantSplit/>
        </w:trPr>
        <w:tc>
          <w:tcPr>
            <w:tcW w:type="dxa" w:w="327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Brazil</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6,873</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6.87</w:t>
            </w:r>
          </w:p>
        </w:tc>
        <w:tc>
          <w:tcPr>
            <w:tcW w:type="dxa" w:w="21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58.86</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Mexico</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6,149</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6.15</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65.01</w:t>
            </w:r>
          </w:p>
        </w:tc>
      </w:tr>
      <w:tr>
        <w:trPr>
          <w:cantSplit/>
        </w:trPr>
        <w:tc>
          <w:tcPr>
            <w:tcW w:type="dxa" w:w="327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UK</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6,050</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6.05</w:t>
            </w:r>
          </w:p>
        </w:tc>
        <w:tc>
          <w:tcPr>
            <w:tcW w:type="dxa" w:w="21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71.06</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Nigeria</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5,921</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5.92</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76.98</w:t>
            </w:r>
          </w:p>
        </w:tc>
      </w:tr>
      <w:tr>
        <w:trPr>
          <w:cantSplit/>
        </w:trPr>
        <w:tc>
          <w:tcPr>
            <w:tcW w:type="dxa" w:w="327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Germany</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4,072</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4.07</w:t>
            </w:r>
          </w:p>
        </w:tc>
        <w:tc>
          <w:tcPr>
            <w:tcW w:type="dxa" w:w="21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81.05</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South Korea</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4,060</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4.06</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85.11</w:t>
            </w:r>
          </w:p>
        </w:tc>
      </w:tr>
      <w:tr>
        <w:trPr>
          <w:cantSplit/>
        </w:trPr>
        <w:tc>
          <w:tcPr>
            <w:tcW w:type="dxa" w:w="327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Philippines</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3,956</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3.96</w:t>
            </w:r>
          </w:p>
        </w:tc>
        <w:tc>
          <w:tcPr>
            <w:tcW w:type="dxa" w:w="21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89.07</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Pakistan</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3,030</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3.03</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92.1</w:t>
            </w:r>
          </w:p>
        </w:tc>
      </w:tr>
      <w:tr>
        <w:trPr>
          <w:cantSplit/>
        </w:trPr>
        <w:tc>
          <w:tcPr>
            <w:tcW w:type="dxa" w:w="327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Indonesia</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2,982</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2.98</w:t>
            </w:r>
          </w:p>
        </w:tc>
        <w:tc>
          <w:tcPr>
            <w:tcW w:type="dxa" w:w="21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95.08</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Egypt</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1,985</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1.98</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97.06</w:t>
            </w:r>
          </w:p>
        </w:tc>
      </w:tr>
      <w:tr>
        <w:trPr>
          <w:cantSplit/>
        </w:trPr>
        <w:tc>
          <w:tcPr>
            <w:tcW w:type="dxa" w:w="327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Canada</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1,967</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1.97</w:t>
            </w:r>
          </w:p>
        </w:tc>
        <w:tc>
          <w:tcPr>
            <w:tcW w:type="dxa" w:w="212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99.03</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Australia</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969</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0.97</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100.0</w:t>
            </w:r>
          </w:p>
        </w:tc>
      </w:tr>
    </w:tbl>
    <w:p>
      <w:pPr>
        <w:spacing w:after="120"/>
      </w:pPr>
    </w:p>
    <w:p>
      <w:pPr>
        <w:keepNext/>
        <w:spacing w:after="40" w:before="80"/>
        <w:jc w:val="center"/>
      </w:pPr>
      <w:r>
        <w:drawing>
          <wp:inline distT="0" distB="0" distL="0" distR="0">
            <wp:extent cx="5905500" cy="3343275"/>
            <wp:effectExtent t="0" r="0" b="0" l="0"/>
            <wp:docPr id="1" name="u3_categorical" descr="Bar charts (top) and pie charts (bottom) of the categorical variables" title="Bar charts (top) and pie charts (bottom) of the categorical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3432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19: Bar charts (top) and pie charts (bottom) of the categorical variables</w:t>
      </w:r>
    </w:p>
    <w:p>
      <w:pPr>
        <w:keepNext/>
        <w:spacing w:after="40" w:before="80"/>
        <w:jc w:val="center"/>
      </w:pPr>
      <w:r>
        <w:drawing>
          <wp:inline distT="0" distB="0" distL="0" distR="0">
            <wp:extent cx="5715000" cy="1314450"/>
            <wp:effectExtent t="0" r="0" b="0" l="0"/>
            <wp:docPr id="1" name="u3_binary_bars" descr="Bar charts of binary and small-category variables" title="Bar charts of binary and small-category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3144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20: Bar charts of binary and small-category variables</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Nationality is concentrated: the USA alone supplies 30.0% of students and the top three countries (USA, India, China) 52.0%. Course types are fairly balanced (STEM 30.1% to Law and Social Sciences 11.9%), study mode is dominated by full-time students (65.1%), and gender is almost evenly split (Female 50.7%, Male 47.2%, Other 2.0%). 34.8% of students come from low-income families, 59.0% hold a scholarship, 21.5% have unpaid tuition, 42.0% are first-generation and 20.9% have a registered disability. The target is moderately imbalanced (68.0% stayed, 32.0% dropped out), so accuracy alone will be a misleading metric and the model section also reports precision, recall, F1 and ROC-AUC. The pie chart of the target is easy to read because it has only two slices, whereas the bar chart is better than a pie for the 15 nationalities, whose small slices would be unreadable.</w:t>
      </w:r>
    </w:p>
    <w:p>
      <w:pPr>
        <w:pStyle w:val="Heading1"/>
        <w:keepNext/>
      </w:pPr>
      <w:r>
        <w:rPr>
          <w:rFonts w:ascii="Times New Roman" w:cs="Times New Roman" w:eastAsia="Times New Roman" w:hAnsi="Times New Roman"/>
        </w:rPr>
        <w:t xml:space="preserve">6. Bivariate Analysis</w:t>
      </w:r>
    </w:p>
    <w:p>
      <w:pPr>
        <w:pStyle w:val="Heading2"/>
        <w:keepNext/>
      </w:pPr>
      <w:r>
        <w:rPr>
          <w:rFonts w:ascii="Times New Roman" w:cs="Times New Roman" w:eastAsia="Times New Roman" w:hAnsi="Times New Roman"/>
        </w:rPr>
        <w:t xml:space="preserve">6.1 Two Numerical Variables</w:t>
      </w:r>
    </w:p>
    <w:p>
      <w:pPr>
        <w:spacing w:after="120" w:line="276"/>
        <w:jc w:val="both"/>
      </w:pPr>
      <w:r>
        <w:rPr>
          <w:rFonts w:ascii="Times New Roman" w:cs="Times New Roman" w:eastAsia="Times New Roman" w:hAnsi="Times New Roman"/>
          <w:sz w:val="22"/>
          <w:szCs w:val="22"/>
        </w:rPr>
        <w:t xml:space="preserve">The relationship between pairs of numeric variables is studied with scatter plots, fitted regression lines and two correlation coefficients. </w:t>
      </w:r>
      <w:r>
        <w:rPr>
          <w:rFonts w:ascii="Times New Roman" w:cs="Times New Roman" w:eastAsia="Times New Roman" w:hAnsi="Times New Roman"/>
          <w:b/>
          <w:bCs/>
          <w:sz w:val="22"/>
          <w:szCs w:val="22"/>
        </w:rPr>
        <w:t xml:space="preserve">Pearson's r</w:t>
      </w:r>
      <w:r>
        <w:rPr>
          <w:rFonts w:ascii="Times New Roman" w:cs="Times New Roman" w:eastAsia="Times New Roman" w:hAnsi="Times New Roman"/>
          <w:sz w:val="22"/>
          <w:szCs w:val="22"/>
        </w:rPr>
        <w:t xml:space="preserve"> measures linear association and is sensitive to outliers; </w:t>
      </w:r>
      <w:r>
        <w:rPr>
          <w:rFonts w:ascii="Times New Roman" w:cs="Times New Roman" w:eastAsia="Times New Roman" w:hAnsi="Times New Roman"/>
          <w:b/>
          <w:bCs/>
          <w:sz w:val="22"/>
          <w:szCs w:val="22"/>
        </w:rPr>
        <w:t xml:space="preserve">Spearman's rho</w:t>
      </w:r>
      <w:r>
        <w:rPr>
          <w:rFonts w:ascii="Times New Roman" w:cs="Times New Roman" w:eastAsia="Times New Roman" w:hAnsi="Times New Roman"/>
          <w:sz w:val="22"/>
          <w:szCs w:val="22"/>
        </w:rPr>
        <w:t xml:space="preserve"> measures monotonic association from ranks and is robust to outliers.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from scipy import stats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r, p   = stats.pearsonr(df["attendance_rate"], df["gpa_semester_2"])</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rho, p = stats.spearmanr(df["attendance_rate"], df["gpa_semester_2"])</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fit    = stats.linregress(df["attendance_rate"], df["gpa_semester_2"])</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print(r, rho, fit.slope, fit.intercept, fit.rvalue ** 2)</w:t>
      </w:r>
    </w:p>
    <w:p>
      <w:pPr>
        <w:spacing w:after="80"/>
      </w:pPr>
    </w:p>
    <w:p>
      <w:pPr>
        <w:keepNext/>
        <w:spacing w:after="80" w:before="120"/>
        <w:jc w:val="center"/>
      </w:pPr>
      <w:r>
        <w:rPr>
          <w:rFonts w:ascii="Times New Roman" w:cs="Times New Roman" w:eastAsia="Times New Roman" w:hAnsi="Times New Roman"/>
          <w:b/>
          <w:bCs/>
          <w:sz w:val="20"/>
          <w:szCs w:val="20"/>
        </w:rPr>
        <w:t xml:space="preserve">Table 16: Pearson and Spearman correlation for selected numeric pairs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120"/>
        <w:gridCol w:w="867"/>
        <w:gridCol w:w="964"/>
        <w:gridCol w:w="867"/>
        <w:gridCol w:w="964"/>
        <w:gridCol w:w="964"/>
        <w:gridCol w:w="964"/>
      </w:tblGrid>
      <w:tr>
        <w:trPr>
          <w:cantSplit/>
          <w:tblHeader/>
        </w:trPr>
        <w:tc>
          <w:tcPr>
            <w:tcW w:type="dxa" w:w="19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5"/>
                <w:szCs w:val="15"/>
              </w:rPr>
              <w:t xml:space="preserve">Variable X</w:t>
            </w:r>
          </w:p>
        </w:tc>
        <w:tc>
          <w:tcPr>
            <w:tcW w:type="dxa" w:w="21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5"/>
                <w:szCs w:val="15"/>
              </w:rPr>
              <w:t xml:space="preserve">Variable Y</w:t>
            </w:r>
          </w:p>
        </w:tc>
        <w:tc>
          <w:tcPr>
            <w:tcW w:type="dxa" w:w="86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Pearson r</w:t>
            </w:r>
          </w:p>
        </w:tc>
        <w:tc>
          <w:tcPr>
            <w:tcW w:type="dxa" w:w="96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Spearman rho</w:t>
            </w:r>
          </w:p>
        </w:tc>
        <w:tc>
          <w:tcPr>
            <w:tcW w:type="dxa" w:w="86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Slope</w:t>
            </w:r>
          </w:p>
        </w:tc>
        <w:tc>
          <w:tcPr>
            <w:tcW w:type="dxa" w:w="96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Intercept</w:t>
            </w:r>
          </w:p>
        </w:tc>
        <w:tc>
          <w:tcPr>
            <w:tcW w:type="dxa" w:w="96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R-squared</w:t>
            </w:r>
          </w:p>
        </w:tc>
        <w:tc>
          <w:tcPr>
            <w:tcW w:type="dxa" w:w="96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p-value</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attendance_rate</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assignments_submitted_rate</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0.304</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0.296</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0.3474</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45.332</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0.093</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gpa_semester_1</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gpa_semester_2</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0.83</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0.825</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0.7558</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0.04</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0.69</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attendance_rate</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gpa_semester_2</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0.222</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0.218</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0.0092</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1.293</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0.049</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units_failed</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gpa_semester_2</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-0.62</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-0.632</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-0.2008</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2.526</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0.384</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admission_grade</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previous_qualification_grade</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0.028</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0.026</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0.0246</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136.163</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0.001</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admission_grade</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gpa_semester_1</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0.158</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0.153</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0.0044</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1.979</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0.025</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stress_level</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sleep_hours</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-0.186</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-0.181</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-0.1041</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7.228</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0.035</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weekly_work_hours</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gpa_semester_2</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-0.091</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-0.09</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-0.0064</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2.037</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0.008</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lms_logins_per_week</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library_visits_per_month</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0.075</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0.099</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0.0699</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3.859</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0.006</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missed_deadlines</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assignments_submitted_rate</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-0.108</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-0.137</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-0.8266</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73.386</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0.012</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r>
    </w:tbl>
    <w:p>
      <w:pPr>
        <w:spacing w:after="120"/>
      </w:pPr>
    </w:p>
    <w:p>
      <w:pPr>
        <w:keepNext/>
        <w:spacing w:after="40" w:before="80"/>
        <w:jc w:val="center"/>
      </w:pPr>
      <w:r>
        <w:drawing>
          <wp:inline distT="0" distB="0" distL="0" distR="0">
            <wp:extent cx="5905500" cy="3305175"/>
            <wp:effectExtent t="0" r="0" b="0" l="0"/>
            <wp:docPr id="1" name="u4_scatter_pairs" descr="Scatter plots with fitted regression lines for six numeric pairs (5,000-student sample)" title="Scatter plots with fitted regression lines for six numeric pairs (5,000-student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3051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21: Scatter plots with fitted regression lines for six numeric pairs (5,000-student sample)</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The strongest relationships are between the two GPAs (r = 0.830) and between failed units and GPA (r = -0.620); failing units lowers GPA directly. Attendance and assignment submission are only moderately related (r = 0.304), and attendance explains just 4.9% of the variance in GPA. Several pairs one might expect to be linked are almost independent: admission grade and previous qualification grade (r = 0.028), and LMS logins and library visits (r = 0.075). Pearson and Spearman agree closely for every pair because the variables are not heavily skewed. Working hours reduce GPA slightly (r = -0.091).</w:t>
      </w:r>
    </w:p>
    <w:p>
      <w:pPr>
        <w:spacing w:after="120" w:line="276"/>
        <w:jc w:val="both"/>
      </w:pPr>
      <w:r>
        <w:rPr>
          <w:rFonts w:ascii="Times New Roman" w:cs="Times New Roman" w:eastAsia="Times New Roman" w:hAnsi="Times New Roman"/>
          <w:sz w:val="22"/>
          <w:szCs w:val="22"/>
        </w:rPr>
        <w:t xml:space="preserve">The most important numeric relationship for this project is between each variable and the target. For a binary target the Pearson correlation is the point-biserial correlation.</w:t>
      </w:r>
    </w:p>
    <w:p>
      <w:pPr>
        <w:keepNext/>
        <w:spacing w:after="40" w:before="80"/>
        <w:jc w:val="center"/>
      </w:pPr>
      <w:r>
        <w:drawing>
          <wp:inline distT="0" distB="0" distL="0" distR="0">
            <wp:extent cx="3810000" cy="3800475"/>
            <wp:effectExtent t="0" r="0" b="0" l="0"/>
            <wp:docPr id="1" name="u4_corr_with_dropout" descr="Correlation of every numeric variable with dropout" title="Correlation of every numeric variable with drop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10000" cy="38004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22: Correlation of every numeric variable with dropout</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Protective factors (negative r) are semester-1 GPA (-0.569), semester-2 GPA (-0.521), attendance, assignment submission, units passed, library visits and LMS activity. Risk factors (positive r) are failed units (+0.467), missed deadlines (+0.282), weekly work hours (+0.181), part-time job, stress and first-generation status. Age (0.002), commute time (0.008) and international status (0.001) have essentially zero correlation with dropout. These correlations describe association, not causation: low GPA may cause dropout, but a student who is about to leave may also stop studying.</w:t>
      </w:r>
    </w:p>
    <w:p>
      <w:pPr>
        <w:pStyle w:val="Heading2"/>
        <w:keepNext/>
      </w:pPr>
      <w:r>
        <w:rPr>
          <w:rFonts w:ascii="Times New Roman" w:cs="Times New Roman" w:eastAsia="Times New Roman" w:hAnsi="Times New Roman"/>
        </w:rPr>
        <w:t xml:space="preserve">6.2 Two Categorical Variables</w:t>
      </w:r>
    </w:p>
    <w:p>
      <w:pPr>
        <w:spacing w:after="120" w:line="276"/>
        <w:jc w:val="both"/>
      </w:pPr>
      <w:r>
        <w:rPr>
          <w:rFonts w:ascii="Times New Roman" w:cs="Times New Roman" w:eastAsia="Times New Roman" w:hAnsi="Times New Roman"/>
          <w:sz w:val="22"/>
          <w:szCs w:val="22"/>
        </w:rPr>
        <w:t xml:space="preserve">Two categorical variables are compared with a contingency table (cross-tab), grouped and stacked bar charts, the chi-square test of independence and Cramér's V, which rescales chi-square to a 0-1 strength measure (about 0.1 is small, 0.3 medium and 0.5 large).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ct = pd.crosstab(df["family_income_level"], df["dropout"])</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chi2, p, dof, expected = stats.chi2_contingency(ct)</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cramers_v = np.sqrt(chi2 / (ct.values.sum() * (min(ct.shape) - 1)))</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pd.crosstab(df["family_income_level"], df["dropout"], normalize="index") * 100</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ct_pct.plot(kind="bar", stacked=True)        # stacked bar</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ct.plot(kind="bar")                          # grouped bar</w:t>
      </w:r>
    </w:p>
    <w:p>
      <w:pPr>
        <w:spacing w:after="80"/>
      </w:pPr>
    </w:p>
    <w:p>
      <w:pPr>
        <w:keepNext/>
        <w:spacing w:after="80" w:before="120"/>
        <w:jc w:val="center"/>
      </w:pPr>
      <w:r>
        <w:rPr>
          <w:rFonts w:ascii="Times New Roman" w:cs="Times New Roman" w:eastAsia="Times New Roman" w:hAnsi="Times New Roman"/>
          <w:b/>
          <w:bCs/>
          <w:sz w:val="20"/>
          <w:szCs w:val="20"/>
        </w:rPr>
        <w:t xml:space="preserve">Table 17: Cross-tabulation of family income and dropout (counts and row percentages)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831"/>
        <w:gridCol w:w="1831"/>
        <w:gridCol w:w="1831"/>
        <w:gridCol w:w="1832"/>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8"/>
                <w:szCs w:val="18"/>
              </w:rPr>
              <w:t xml:space="preserve">Family income</w:t>
            </w:r>
          </w:p>
        </w:tc>
        <w:tc>
          <w:tcPr>
            <w:tcW w:type="dxa" w:w="183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Dropped out</w:t>
            </w:r>
          </w:p>
        </w:tc>
        <w:tc>
          <w:tcPr>
            <w:tcW w:type="dxa" w:w="183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Stayed</w:t>
            </w:r>
          </w:p>
        </w:tc>
        <w:tc>
          <w:tcPr>
            <w:tcW w:type="dxa" w:w="183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Dropped out %</w:t>
            </w:r>
          </w:p>
        </w:tc>
        <w:tc>
          <w:tcPr>
            <w:tcW w:type="dxa" w:w="18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Stayed %</w:t>
            </w:r>
          </w:p>
        </w:tc>
      </w:tr>
      <w:tr>
        <w:trPr>
          <w:cantSplit/>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Low</w:t>
            </w:r>
          </w:p>
        </w:tc>
        <w:tc>
          <w:tcPr>
            <w:tcW w:type="dxa" w:w="183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14,940</w:t>
            </w:r>
          </w:p>
        </w:tc>
        <w:tc>
          <w:tcPr>
            <w:tcW w:type="dxa" w:w="183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19,869</w:t>
            </w:r>
          </w:p>
        </w:tc>
        <w:tc>
          <w:tcPr>
            <w:tcW w:type="dxa" w:w="183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42.9</w:t>
            </w:r>
          </w:p>
        </w:tc>
        <w:tc>
          <w:tcPr>
            <w:tcW w:type="dxa" w:w="18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57.1</w:t>
            </w:r>
          </w:p>
        </w:tc>
      </w:tr>
      <w:tr>
        <w:trPr>
          <w:cantSplit/>
        </w:trPr>
        <w:tc>
          <w:tcPr>
            <w:tcW w:type="dxa" w:w="231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Middle</w:t>
            </w:r>
          </w:p>
        </w:tc>
        <w:tc>
          <w:tcPr>
            <w:tcW w:type="dxa" w:w="183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12,071</w:t>
            </w:r>
          </w:p>
        </w:tc>
        <w:tc>
          <w:tcPr>
            <w:tcW w:type="dxa" w:w="183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28,142</w:t>
            </w:r>
          </w:p>
        </w:tc>
        <w:tc>
          <w:tcPr>
            <w:tcW w:type="dxa" w:w="183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30.0</w:t>
            </w:r>
          </w:p>
        </w:tc>
        <w:tc>
          <w:tcPr>
            <w:tcW w:type="dxa" w:w="183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70.0</w:t>
            </w:r>
          </w:p>
        </w:tc>
      </w:tr>
      <w:tr>
        <w:trPr>
          <w:cantSplit/>
        </w:trPr>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High</w:t>
            </w:r>
          </w:p>
        </w:tc>
        <w:tc>
          <w:tcPr>
            <w:tcW w:type="dxa" w:w="183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4,993</w:t>
            </w:r>
          </w:p>
        </w:tc>
        <w:tc>
          <w:tcPr>
            <w:tcW w:type="dxa" w:w="183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19,985</w:t>
            </w:r>
          </w:p>
        </w:tc>
        <w:tc>
          <w:tcPr>
            <w:tcW w:type="dxa" w:w="183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20.0</w:t>
            </w:r>
          </w:p>
        </w:tc>
        <w:tc>
          <w:tcPr>
            <w:tcW w:type="dxa" w:w="18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80.0</w:t>
            </w:r>
          </w:p>
        </w:tc>
      </w:tr>
    </w:tbl>
    <w:p>
      <w:pPr>
        <w:spacing w:after="120"/>
      </w:pPr>
    </w:p>
    <w:p>
      <w:pPr>
        <w:keepNext/>
        <w:spacing w:after="80" w:before="120"/>
        <w:jc w:val="center"/>
      </w:pPr>
      <w:r>
        <w:rPr>
          <w:rFonts w:ascii="Times New Roman" w:cs="Times New Roman" w:eastAsia="Times New Roman" w:hAnsi="Times New Roman"/>
          <w:b/>
          <w:bCs/>
          <w:sz w:val="20"/>
          <w:szCs w:val="20"/>
        </w:rPr>
        <w:t xml:space="preserve">Table 18: Chi-square tests and Cramér's V of each categorical/binary variable against dropout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713"/>
        <w:gridCol w:w="857"/>
        <w:gridCol w:w="1499"/>
        <w:gridCol w:w="1714"/>
      </w:tblGrid>
      <w:tr>
        <w:trPr>
          <w:cantSplit/>
          <w:tblHeader/>
        </w:trPr>
        <w:tc>
          <w:tcPr>
            <w:tcW w:type="dxa" w:w="385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7"/>
                <w:szCs w:val="17"/>
              </w:rPr>
              <w:t xml:space="preserve">Variable</w:t>
            </w:r>
          </w:p>
        </w:tc>
        <w:tc>
          <w:tcPr>
            <w:tcW w:type="dxa" w:w="17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Chi-square</w:t>
            </w:r>
          </w:p>
        </w:tc>
        <w:tc>
          <w:tcPr>
            <w:tcW w:type="dxa" w:w="8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dof</w:t>
            </w:r>
          </w:p>
        </w:tc>
        <w:tc>
          <w:tcPr>
            <w:tcW w:type="dxa" w:w="149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p-value</w:t>
            </w:r>
          </w:p>
        </w:tc>
        <w:tc>
          <w:tcPr>
            <w:tcW w:type="dxa" w:w="17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Cramer's V</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family_income_level</w:t>
            </w:r>
          </w:p>
        </w:tc>
        <w:tc>
          <w:tcPr>
            <w:tcW w:type="dxa" w:w="17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3635.7</w:t>
            </w:r>
          </w:p>
        </w:tc>
        <w:tc>
          <w:tcPr>
            <w:tcW w:type="dxa" w:w="8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w:t>
            </w:r>
          </w:p>
        </w:tc>
        <w:tc>
          <w:tcPr>
            <w:tcW w:type="dxa" w:w="14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&lt;0.001</w:t>
            </w:r>
          </w:p>
        </w:tc>
        <w:tc>
          <w:tcPr>
            <w:tcW w:type="dxa" w:w="17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0.191</w:t>
            </w:r>
          </w:p>
        </w:tc>
      </w:tr>
      <w:tr>
        <w:trPr>
          <w:cantSplit/>
        </w:trPr>
        <w:tc>
          <w:tcPr>
            <w:tcW w:type="dxa" w:w="385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work_load</w:t>
            </w:r>
          </w:p>
        </w:tc>
        <w:tc>
          <w:tcPr>
            <w:tcW w:type="dxa" w:w="171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3099.9</w:t>
            </w:r>
          </w:p>
        </w:tc>
        <w:tc>
          <w:tcPr>
            <w:tcW w:type="dxa" w:w="8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w:t>
            </w:r>
          </w:p>
        </w:tc>
        <w:tc>
          <w:tcPr>
            <w:tcW w:type="dxa" w:w="14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&lt;0.001</w:t>
            </w:r>
          </w:p>
        </w:tc>
        <w:tc>
          <w:tcPr>
            <w:tcW w:type="dxa" w:w="171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0.176</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part_time_job</w:t>
            </w:r>
          </w:p>
        </w:tc>
        <w:tc>
          <w:tcPr>
            <w:tcW w:type="dxa" w:w="17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2617.5</w:t>
            </w:r>
          </w:p>
        </w:tc>
        <w:tc>
          <w:tcPr>
            <w:tcW w:type="dxa" w:w="8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w:t>
            </w:r>
          </w:p>
        </w:tc>
        <w:tc>
          <w:tcPr>
            <w:tcW w:type="dxa" w:w="14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&lt;0.001</w:t>
            </w:r>
          </w:p>
        </w:tc>
        <w:tc>
          <w:tcPr>
            <w:tcW w:type="dxa" w:w="17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0.162</w:t>
            </w:r>
          </w:p>
        </w:tc>
      </w:tr>
      <w:tr>
        <w:trPr>
          <w:cantSplit/>
        </w:trPr>
        <w:tc>
          <w:tcPr>
            <w:tcW w:type="dxa" w:w="385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tuition_up_to_date</w:t>
            </w:r>
          </w:p>
        </w:tc>
        <w:tc>
          <w:tcPr>
            <w:tcW w:type="dxa" w:w="171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1879.8</w:t>
            </w:r>
          </w:p>
        </w:tc>
        <w:tc>
          <w:tcPr>
            <w:tcW w:type="dxa" w:w="8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w:t>
            </w:r>
          </w:p>
        </w:tc>
        <w:tc>
          <w:tcPr>
            <w:tcW w:type="dxa" w:w="14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&lt;0.001</w:t>
            </w:r>
          </w:p>
        </w:tc>
        <w:tc>
          <w:tcPr>
            <w:tcW w:type="dxa" w:w="171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0.137</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first_generation</w:t>
            </w:r>
          </w:p>
        </w:tc>
        <w:tc>
          <w:tcPr>
            <w:tcW w:type="dxa" w:w="17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979.4</w:t>
            </w:r>
          </w:p>
        </w:tc>
        <w:tc>
          <w:tcPr>
            <w:tcW w:type="dxa" w:w="8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w:t>
            </w:r>
          </w:p>
        </w:tc>
        <w:tc>
          <w:tcPr>
            <w:tcW w:type="dxa" w:w="14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&lt;0.001</w:t>
            </w:r>
          </w:p>
        </w:tc>
        <w:tc>
          <w:tcPr>
            <w:tcW w:type="dxa" w:w="17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0.099</w:t>
            </w:r>
          </w:p>
        </w:tc>
      </w:tr>
      <w:tr>
        <w:trPr>
          <w:cantSplit/>
        </w:trPr>
        <w:tc>
          <w:tcPr>
            <w:tcW w:type="dxa" w:w="385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extracurricular_activities</w:t>
            </w:r>
          </w:p>
        </w:tc>
        <w:tc>
          <w:tcPr>
            <w:tcW w:type="dxa" w:w="171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572.1</w:t>
            </w:r>
          </w:p>
        </w:tc>
        <w:tc>
          <w:tcPr>
            <w:tcW w:type="dxa" w:w="8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w:t>
            </w:r>
          </w:p>
        </w:tc>
        <w:tc>
          <w:tcPr>
            <w:tcW w:type="dxa" w:w="14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&lt;0.001</w:t>
            </w:r>
          </w:p>
        </w:tc>
        <w:tc>
          <w:tcPr>
            <w:tcW w:type="dxa" w:w="171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0.076</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disability_status</w:t>
            </w:r>
          </w:p>
        </w:tc>
        <w:tc>
          <w:tcPr>
            <w:tcW w:type="dxa" w:w="17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249.0</w:t>
            </w:r>
          </w:p>
        </w:tc>
        <w:tc>
          <w:tcPr>
            <w:tcW w:type="dxa" w:w="8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w:t>
            </w:r>
          </w:p>
        </w:tc>
        <w:tc>
          <w:tcPr>
            <w:tcW w:type="dxa" w:w="14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&lt;0.001</w:t>
            </w:r>
          </w:p>
        </w:tc>
        <w:tc>
          <w:tcPr>
            <w:tcW w:type="dxa" w:w="17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0.05</w:t>
            </w:r>
          </w:p>
        </w:tc>
      </w:tr>
      <w:tr>
        <w:trPr>
          <w:cantSplit/>
        </w:trPr>
        <w:tc>
          <w:tcPr>
            <w:tcW w:type="dxa" w:w="385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study_mode</w:t>
            </w:r>
          </w:p>
        </w:tc>
        <w:tc>
          <w:tcPr>
            <w:tcW w:type="dxa" w:w="171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74.4</w:t>
            </w:r>
          </w:p>
        </w:tc>
        <w:tc>
          <w:tcPr>
            <w:tcW w:type="dxa" w:w="8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w:t>
            </w:r>
          </w:p>
        </w:tc>
        <w:tc>
          <w:tcPr>
            <w:tcW w:type="dxa" w:w="14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&lt;0.001</w:t>
            </w:r>
          </w:p>
        </w:tc>
        <w:tc>
          <w:tcPr>
            <w:tcW w:type="dxa" w:w="171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0.027</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mental_health_support</w:t>
            </w:r>
          </w:p>
        </w:tc>
        <w:tc>
          <w:tcPr>
            <w:tcW w:type="dxa" w:w="17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59.6</w:t>
            </w:r>
          </w:p>
        </w:tc>
        <w:tc>
          <w:tcPr>
            <w:tcW w:type="dxa" w:w="8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w:t>
            </w:r>
          </w:p>
        </w:tc>
        <w:tc>
          <w:tcPr>
            <w:tcW w:type="dxa" w:w="14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&lt;0.001</w:t>
            </w:r>
          </w:p>
        </w:tc>
        <w:tc>
          <w:tcPr>
            <w:tcW w:type="dxa" w:w="17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0.024</w:t>
            </w:r>
          </w:p>
        </w:tc>
      </w:tr>
      <w:tr>
        <w:trPr>
          <w:cantSplit/>
        </w:trPr>
        <w:tc>
          <w:tcPr>
            <w:tcW w:type="dxa" w:w="385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scholarship_holder</w:t>
            </w:r>
          </w:p>
        </w:tc>
        <w:tc>
          <w:tcPr>
            <w:tcW w:type="dxa" w:w="171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49.4</w:t>
            </w:r>
          </w:p>
        </w:tc>
        <w:tc>
          <w:tcPr>
            <w:tcW w:type="dxa" w:w="8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w:t>
            </w:r>
          </w:p>
        </w:tc>
        <w:tc>
          <w:tcPr>
            <w:tcW w:type="dxa" w:w="14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&lt;0.001</w:t>
            </w:r>
          </w:p>
        </w:tc>
        <w:tc>
          <w:tcPr>
            <w:tcW w:type="dxa" w:w="171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0.022</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nationality</w:t>
            </w:r>
          </w:p>
        </w:tc>
        <w:tc>
          <w:tcPr>
            <w:tcW w:type="dxa" w:w="17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8.7</w:t>
            </w:r>
          </w:p>
        </w:tc>
        <w:tc>
          <w:tcPr>
            <w:tcW w:type="dxa" w:w="8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14</w:t>
            </w:r>
          </w:p>
        </w:tc>
        <w:tc>
          <w:tcPr>
            <w:tcW w:type="dxa" w:w="14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0.85</w:t>
            </w:r>
          </w:p>
        </w:tc>
        <w:tc>
          <w:tcPr>
            <w:tcW w:type="dxa" w:w="17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0.009</w:t>
            </w:r>
          </w:p>
        </w:tc>
      </w:tr>
      <w:tr>
        <w:trPr>
          <w:cantSplit/>
        </w:trPr>
        <w:tc>
          <w:tcPr>
            <w:tcW w:type="dxa" w:w="385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age_group</w:t>
            </w:r>
          </w:p>
        </w:tc>
        <w:tc>
          <w:tcPr>
            <w:tcW w:type="dxa" w:w="171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2.1</w:t>
            </w:r>
          </w:p>
        </w:tc>
        <w:tc>
          <w:tcPr>
            <w:tcW w:type="dxa" w:w="8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w:t>
            </w:r>
          </w:p>
        </w:tc>
        <w:tc>
          <w:tcPr>
            <w:tcW w:type="dxa" w:w="14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0.544</w:t>
            </w:r>
          </w:p>
        </w:tc>
        <w:tc>
          <w:tcPr>
            <w:tcW w:type="dxa" w:w="171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0.005</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gender</w:t>
            </w:r>
          </w:p>
        </w:tc>
        <w:tc>
          <w:tcPr>
            <w:tcW w:type="dxa" w:w="17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w:t>
            </w:r>
          </w:p>
        </w:tc>
        <w:tc>
          <w:tcPr>
            <w:tcW w:type="dxa" w:w="8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w:t>
            </w:r>
          </w:p>
        </w:tc>
        <w:tc>
          <w:tcPr>
            <w:tcW w:type="dxa" w:w="14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0.363</w:t>
            </w:r>
          </w:p>
        </w:tc>
        <w:tc>
          <w:tcPr>
            <w:tcW w:type="dxa" w:w="17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0.005</w:t>
            </w:r>
          </w:p>
        </w:tc>
      </w:tr>
      <w:tr>
        <w:trPr>
          <w:cantSplit/>
        </w:trPr>
        <w:tc>
          <w:tcPr>
            <w:tcW w:type="dxa" w:w="385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course_type</w:t>
            </w:r>
          </w:p>
        </w:tc>
        <w:tc>
          <w:tcPr>
            <w:tcW w:type="dxa" w:w="171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1.3</w:t>
            </w:r>
          </w:p>
        </w:tc>
        <w:tc>
          <w:tcPr>
            <w:tcW w:type="dxa" w:w="8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w:t>
            </w:r>
          </w:p>
        </w:tc>
        <w:tc>
          <w:tcPr>
            <w:tcW w:type="dxa" w:w="149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0.869</w:t>
            </w:r>
          </w:p>
        </w:tc>
        <w:tc>
          <w:tcPr>
            <w:tcW w:type="dxa" w:w="171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0.004</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international_student</w:t>
            </w:r>
          </w:p>
        </w:tc>
        <w:tc>
          <w:tcPr>
            <w:tcW w:type="dxa" w:w="171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0.1</w:t>
            </w:r>
          </w:p>
        </w:tc>
        <w:tc>
          <w:tcPr>
            <w:tcW w:type="dxa" w:w="8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w:t>
            </w:r>
          </w:p>
        </w:tc>
        <w:tc>
          <w:tcPr>
            <w:tcW w:type="dxa" w:w="149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0.769</w:t>
            </w:r>
          </w:p>
        </w:tc>
        <w:tc>
          <w:tcPr>
            <w:tcW w:type="dxa" w:w="17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0.001</w:t>
            </w:r>
          </w:p>
        </w:tc>
      </w:tr>
    </w:tbl>
    <w:p>
      <w:pPr>
        <w:spacing w:after="120"/>
      </w:pPr>
    </w:p>
    <w:p>
      <w:pPr>
        <w:keepNext/>
        <w:spacing w:after="40" w:before="80"/>
        <w:jc w:val="center"/>
      </w:pPr>
      <w:r>
        <w:drawing>
          <wp:inline distT="0" distB="0" distL="0" distR="0">
            <wp:extent cx="5905500" cy="1724025"/>
            <wp:effectExtent t="0" r="0" b="0" l="0"/>
            <wp:docPr id="1" name="u4_catcat_bars" descr="Grouped bar (left) and stacked 100% bars (middle, right) of outcome by income and course type" title="Grouped bar (left) and stacked 100% bars (middle, right) of outcome by income and cours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17240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23: Grouped bar (left) and stacked 100% bars (middle, right) of outcome by income and course type</w:t>
      </w:r>
    </w:p>
    <w:p>
      <w:pPr>
        <w:keepNext/>
        <w:spacing w:after="40" w:before="80"/>
        <w:jc w:val="center"/>
      </w:pPr>
      <w:r>
        <w:drawing>
          <wp:inline distT="0" distB="0" distL="0" distR="0">
            <wp:extent cx="5524500" cy="1771650"/>
            <wp:effectExtent t="0" r="0" b="0" l="0"/>
            <wp:docPr id="1" name="u4_grouped_bars" descr="Grouped bars: dropout rate by income and study mode (left), and by tuition status and scholarship (right)" title="Grouped bars: dropout rate by income and study mode (left), and by tuition status and scholarship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17716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24: Grouped bars: dropout rate by income and study mode (left), and by tuition status and scholarship (right)</w:t>
      </w:r>
    </w:p>
    <w:p>
      <w:pPr>
        <w:keepNext/>
        <w:spacing w:after="40" w:before="80"/>
        <w:jc w:val="center"/>
      </w:pPr>
      <w:r>
        <w:drawing>
          <wp:inline distT="0" distB="0" distL="0" distR="0">
            <wp:extent cx="3810000" cy="2590800"/>
            <wp:effectExtent t="0" r="0" b="0" l="0"/>
            <wp:docPr id="1" name="u4_cramers_v" descr="Cramér's V: strength of association of each variable with dropout" title="Cramér's V: strength of association of each variable with drop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25908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25: Cramér's V: strength of association of each variable with dropout</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Family income gives chi-square = 3635.7 with 2 degrees of freedom and Cramér's V = 0.191, the largest association among the categorical variables, followed by work load (0.176), having a part-time job (0.162), unpaid tuition (0.137) and first-generation status (0.099). The variables with no association at all are course type (V = 0.004, p = 0.869), gender (V = 0.005, p = 0.363) and nationality (V = 0.009, p = 0.85), together with international status and age group. The grouped bars show that the income effect is the same in every study mode, and that tuition and scholarship effects are separate: unpaid-tuition students without a scholarship drop out most. Even the largest V is only about 0.19, which is a small-to-moderate effect, so no single categorical variable is a strong predictor on its own.</w:t>
      </w:r>
    </w:p>
    <w:p>
      <w:pPr>
        <w:pStyle w:val="Heading2"/>
        <w:keepNext/>
      </w:pPr>
      <w:r>
        <w:rPr>
          <w:rFonts w:ascii="Times New Roman" w:cs="Times New Roman" w:eastAsia="Times New Roman" w:hAnsi="Times New Roman"/>
        </w:rPr>
        <w:t xml:space="preserve">6.3 Numerical and Categorical Variables</w:t>
      </w:r>
    </w:p>
    <w:p>
      <w:pPr>
        <w:spacing w:after="120" w:line="276"/>
        <w:jc w:val="both"/>
      </w:pPr>
      <w:r>
        <w:rPr>
          <w:rFonts w:ascii="Times New Roman" w:cs="Times New Roman" w:eastAsia="Times New Roman" w:hAnsi="Times New Roman"/>
          <w:sz w:val="22"/>
          <w:szCs w:val="22"/>
        </w:rPr>
        <w:t xml:space="preserve">Box plots and violin plots compare the distribution of a numeric variable across the groups of a categorical variable; a violin plot adds a kernel density outline to the box. Differences between two groups are tested with the Welch t-test and the non-parametric Mann-Whitney U test, and quantified with Cohen's d (0.2 small, 0.5 medium, 0.8 large). Differences across more than two groups use one-way ANOVA and Kruskal-Wallis with eta-squared as the effect size.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sns.boxplot(data=d, x="dropout_label", y="gpa_semester_2")</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sns.violinplot(data=d, x="dropout_label", y="gpa_semester_2", inner="quartile", cut=0)</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a, b = d[d.dropout == 1].gpa_semester_2, d[d.dropout == 0].gpa_semester_2</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print(stats.ttest_ind(a, b, equal_var=False), stats.mannwhitneyu(a, b))</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cohen_d = (a.mean() - b.mean()) / np.sqrt(((len(a)-1)*a.var() + (len(b)-1)*b.var()) / (len(a)+len(b)-2))</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print(stats.f_oneway(*groups), stats.kruskal(*groups))</w:t>
      </w:r>
    </w:p>
    <w:p>
      <w:pPr>
        <w:spacing w:after="80"/>
      </w:pPr>
    </w:p>
    <w:p>
      <w:pPr>
        <w:keepNext/>
        <w:spacing w:after="40" w:before="80"/>
        <w:jc w:val="center"/>
      </w:pPr>
      <w:r>
        <w:drawing>
          <wp:inline distT="0" distB="0" distL="0" distR="0">
            <wp:extent cx="5905500" cy="2590800"/>
            <wp:effectExtent t="0" r="0" b="0" l="0"/>
            <wp:docPr id="1" name="u4_box_violin_dropout" descr="Box plots (top) and violin plots (bottom) of four variables by outcome" title="Box plots (top) and violin plots (bottom) of four variables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25908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26: Box plots (top) and violin plots (bottom) of four variables by outcome</w:t>
      </w:r>
    </w:p>
    <w:p>
      <w:pPr>
        <w:keepNext/>
        <w:spacing w:after="80" w:before="120"/>
        <w:jc w:val="center"/>
      </w:pPr>
      <w:r>
        <w:rPr>
          <w:rFonts w:ascii="Times New Roman" w:cs="Times New Roman" w:eastAsia="Times New Roman" w:hAnsi="Times New Roman"/>
          <w:b/>
          <w:bCs/>
          <w:sz w:val="20"/>
          <w:szCs w:val="20"/>
        </w:rPr>
        <w:t xml:space="preserve">Table 19: Students who stayed versus dropped out: tests and effect sizes (top 12 by |Cohen's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0"/>
        <w:gridCol w:w="983"/>
        <w:gridCol w:w="983"/>
        <w:gridCol w:w="885"/>
        <w:gridCol w:w="983"/>
        <w:gridCol w:w="1180"/>
        <w:gridCol w:w="1082"/>
        <w:gridCol w:w="1182"/>
      </w:tblGrid>
      <w:tr>
        <w:trPr>
          <w:cantSplit/>
          <w:tblHeader/>
        </w:trPr>
        <w:tc>
          <w:tcPr>
            <w:tcW w:type="dxa" w:w="23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5"/>
                <w:szCs w:val="15"/>
              </w:rPr>
              <w:t xml:space="preserve">Variable</w:t>
            </w:r>
          </w:p>
        </w:tc>
        <w:tc>
          <w:tcPr>
            <w:tcW w:type="dxa" w:w="98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Mean (stayed)</w:t>
            </w:r>
          </w:p>
        </w:tc>
        <w:tc>
          <w:tcPr>
            <w:tcW w:type="dxa" w:w="98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Mean (dropped)</w:t>
            </w:r>
          </w:p>
        </w:tc>
        <w:tc>
          <w:tcPr>
            <w:tcW w:type="dxa" w:w="88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Welch t</w:t>
            </w:r>
          </w:p>
        </w:tc>
        <w:tc>
          <w:tcPr>
            <w:tcW w:type="dxa" w:w="98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t-test p</w:t>
            </w:r>
          </w:p>
        </w:tc>
        <w:tc>
          <w:tcPr>
            <w:tcW w:type="dxa" w:w="11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Mann-Whitney p</w:t>
            </w:r>
          </w:p>
        </w:tc>
        <w:tc>
          <w:tcPr>
            <w:tcW w:type="dxa" w:w="108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Cohen's d</w:t>
            </w:r>
          </w:p>
        </w:tc>
        <w:tc>
          <w:tcPr>
            <w:tcW w:type="dxa" w:w="118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Effect size</w:t>
            </w:r>
          </w:p>
        </w:tc>
      </w:tr>
      <w:tr>
        <w:trPr>
          <w:cantSplit/>
        </w:trPr>
        <w:tc>
          <w:tcPr>
            <w:tcW w:type="dxa" w:w="23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gpa_semester_1</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2.88</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1.91</w:t>
            </w:r>
          </w:p>
        </w:tc>
        <w:tc>
          <w:tcPr>
            <w:tcW w:type="dxa" w:w="88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-218.6</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0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-1.48</w:t>
            </w:r>
          </w:p>
        </w:tc>
        <w:tc>
          <w:tcPr>
            <w:tcW w:type="dxa" w:w="11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large</w:t>
            </w:r>
          </w:p>
        </w:tc>
      </w:tr>
      <w:tr>
        <w:trPr>
          <w:cantSplit/>
        </w:trPr>
        <w:tc>
          <w:tcPr>
            <w:tcW w:type="dxa" w:w="23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gpa_semester_2</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2.24</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1.44</w:t>
            </w:r>
          </w:p>
        </w:tc>
        <w:tc>
          <w:tcPr>
            <w:tcW w:type="dxa" w:w="88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-195.1</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18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0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-1.31</w:t>
            </w:r>
          </w:p>
        </w:tc>
        <w:tc>
          <w:tcPr>
            <w:tcW w:type="dxa" w:w="11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large</w:t>
            </w:r>
          </w:p>
        </w:tc>
      </w:tr>
      <w:tr>
        <w:trPr>
          <w:cantSplit/>
        </w:trPr>
        <w:tc>
          <w:tcPr>
            <w:tcW w:type="dxa" w:w="23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units_failed</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2.01</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4.22</w:t>
            </w:r>
          </w:p>
        </w:tc>
        <w:tc>
          <w:tcPr>
            <w:tcW w:type="dxa" w:w="88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152.7</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0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1.13</w:t>
            </w:r>
          </w:p>
        </w:tc>
        <w:tc>
          <w:tcPr>
            <w:tcW w:type="dxa" w:w="11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large</w:t>
            </w:r>
          </w:p>
        </w:tc>
      </w:tr>
      <w:tr>
        <w:trPr>
          <w:cantSplit/>
        </w:trPr>
        <w:tc>
          <w:tcPr>
            <w:tcW w:type="dxa" w:w="23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attendance_rate</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78.5</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67.87</w:t>
            </w:r>
          </w:p>
        </w:tc>
        <w:tc>
          <w:tcPr>
            <w:tcW w:type="dxa" w:w="88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-91.1</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18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0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-0.64</w:t>
            </w:r>
          </w:p>
        </w:tc>
        <w:tc>
          <w:tcPr>
            <w:tcW w:type="dxa" w:w="11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medium</w:t>
            </w:r>
          </w:p>
        </w:tc>
      </w:tr>
      <w:tr>
        <w:trPr>
          <w:cantSplit/>
        </w:trPr>
        <w:tc>
          <w:tcPr>
            <w:tcW w:type="dxa" w:w="23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missed_deadlines</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1.87</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3.44</w:t>
            </w:r>
          </w:p>
        </w:tc>
        <w:tc>
          <w:tcPr>
            <w:tcW w:type="dxa" w:w="88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86.6</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0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0.63</w:t>
            </w:r>
          </w:p>
        </w:tc>
        <w:tc>
          <w:tcPr>
            <w:tcW w:type="dxa" w:w="11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medium</w:t>
            </w:r>
          </w:p>
        </w:tc>
      </w:tr>
      <w:tr>
        <w:trPr>
          <w:cantSplit/>
        </w:trPr>
        <w:tc>
          <w:tcPr>
            <w:tcW w:type="dxa" w:w="23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assignments_submitted_rate</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75.18</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63.44</w:t>
            </w:r>
          </w:p>
        </w:tc>
        <w:tc>
          <w:tcPr>
            <w:tcW w:type="dxa" w:w="88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-88.0</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18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0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-0.61</w:t>
            </w:r>
          </w:p>
        </w:tc>
        <w:tc>
          <w:tcPr>
            <w:tcW w:type="dxa" w:w="11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medium</w:t>
            </w:r>
          </w:p>
        </w:tc>
      </w:tr>
      <w:tr>
        <w:trPr>
          <w:cantSplit/>
        </w:trPr>
        <w:tc>
          <w:tcPr>
            <w:tcW w:type="dxa" w:w="23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units_passed</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10.98</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8.94</w:t>
            </w:r>
          </w:p>
        </w:tc>
        <w:tc>
          <w:tcPr>
            <w:tcW w:type="dxa" w:w="88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-89.5</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0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-0.58</w:t>
            </w:r>
          </w:p>
        </w:tc>
        <w:tc>
          <w:tcPr>
            <w:tcW w:type="dxa" w:w="11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medium</w:t>
            </w:r>
          </w:p>
        </w:tc>
      </w:tr>
      <w:tr>
        <w:trPr>
          <w:cantSplit/>
        </w:trPr>
        <w:tc>
          <w:tcPr>
            <w:tcW w:type="dxa" w:w="23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library_visits_per_month</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4.93</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3.17</w:t>
            </w:r>
          </w:p>
        </w:tc>
        <w:tc>
          <w:tcPr>
            <w:tcW w:type="dxa" w:w="88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-76.1</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18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0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-0.49</w:t>
            </w:r>
          </w:p>
        </w:tc>
        <w:tc>
          <w:tcPr>
            <w:tcW w:type="dxa" w:w="11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small</w:t>
            </w:r>
          </w:p>
        </w:tc>
      </w:tr>
      <w:tr>
        <w:trPr>
          <w:cantSplit/>
        </w:trPr>
        <w:tc>
          <w:tcPr>
            <w:tcW w:type="dxa" w:w="23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lms_logins_per_week</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7.82</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6.12</w:t>
            </w:r>
          </w:p>
        </w:tc>
        <w:tc>
          <w:tcPr>
            <w:tcW w:type="dxa" w:w="88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-66.3</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0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-0.44</w:t>
            </w:r>
          </w:p>
        </w:tc>
        <w:tc>
          <w:tcPr>
            <w:tcW w:type="dxa" w:w="11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small</w:t>
            </w:r>
          </w:p>
        </w:tc>
      </w:tr>
      <w:tr>
        <w:trPr>
          <w:cantSplit/>
        </w:trPr>
        <w:tc>
          <w:tcPr>
            <w:tcW w:type="dxa" w:w="23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weekly_work_hours</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7.47</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11.45</w:t>
            </w:r>
          </w:p>
        </w:tc>
        <w:tc>
          <w:tcPr>
            <w:tcW w:type="dxa" w:w="88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56.2</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18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0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0.39</w:t>
            </w:r>
          </w:p>
        </w:tc>
        <w:tc>
          <w:tcPr>
            <w:tcW w:type="dxa" w:w="11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small</w:t>
            </w:r>
          </w:p>
        </w:tc>
      </w:tr>
      <w:tr>
        <w:trPr>
          <w:cantSplit/>
        </w:trPr>
        <w:tc>
          <w:tcPr>
            <w:tcW w:type="dxa" w:w="23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stress_level</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6.26</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6.86</w:t>
            </w:r>
          </w:p>
        </w:tc>
        <w:tc>
          <w:tcPr>
            <w:tcW w:type="dxa" w:w="88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42.1</w:t>
            </w:r>
          </w:p>
        </w:tc>
        <w:tc>
          <w:tcPr>
            <w:tcW w:type="dxa" w:w="98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0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0.28</w:t>
            </w:r>
          </w:p>
        </w:tc>
        <w:tc>
          <w:tcPr>
            <w:tcW w:type="dxa" w:w="11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small</w:t>
            </w:r>
          </w:p>
        </w:tc>
      </w:tr>
      <w:tr>
        <w:trPr>
          <w:cantSplit/>
        </w:trPr>
        <w:tc>
          <w:tcPr>
            <w:tcW w:type="dxa" w:w="23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admission_grade</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135.63</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127.87</w:t>
            </w:r>
          </w:p>
        </w:tc>
        <w:tc>
          <w:tcPr>
            <w:tcW w:type="dxa" w:w="88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-40.7</w:t>
            </w:r>
          </w:p>
        </w:tc>
        <w:tc>
          <w:tcPr>
            <w:tcW w:type="dxa" w:w="98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18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&lt;0.001</w:t>
            </w:r>
          </w:p>
        </w:tc>
        <w:tc>
          <w:tcPr>
            <w:tcW w:type="dxa" w:w="10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-0.28</w:t>
            </w:r>
          </w:p>
        </w:tc>
        <w:tc>
          <w:tcPr>
            <w:tcW w:type="dxa" w:w="11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small</w:t>
            </w:r>
          </w:p>
        </w:tc>
      </w:tr>
    </w:tbl>
    <w:p>
      <w:pPr>
        <w:spacing w:after="120"/>
      </w:pP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17 of the 19 variables differ significantly (p &lt; 0.001) between the two groups, but significance is not importance: with 100,000 students even a difference of 0.4 units of units_enrolled is "significant". Cohen's d separates the variables clearly: 3 have a large effect (semester-1 GPA d = -1.48, semester-2 GPA d = -1.31, failed units d = +1.13), 4 medium (attendance, missed deadlines, assignment submission, units passed), 5 small and 7 negligible, including age, commute time and units enrolled. On average dropouts have a semester-2 GPA of 1.44 against 2.24, 4.22 failed units against 2.01, and attendance of 67.9% against 78.5%. The Mann-Whitney results agree with the t-tests, so the conclusions do not depend on normality.</w:t>
      </w:r>
    </w:p>
    <w:p>
      <w:pPr>
        <w:keepNext/>
        <w:spacing w:after="40" w:before="80"/>
        <w:jc w:val="center"/>
      </w:pPr>
      <w:r>
        <w:drawing>
          <wp:inline distT="0" distB="0" distL="0" distR="0">
            <wp:extent cx="5905500" cy="2933700"/>
            <wp:effectExtent t="0" r="0" b="0" l="0"/>
            <wp:docPr id="1" name="u4_box_violin_groups" descr="Box and violin plots of numeric variables across income, study mode, course and semester" title="Box and violin plots of numeric variables across income, study mode, course and sem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29337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27: Box and violin plots of numeric variables across income, study mode, course and semester</w:t>
      </w:r>
    </w:p>
    <w:p>
      <w:pPr>
        <w:keepNext/>
        <w:spacing w:after="80" w:before="120"/>
        <w:jc w:val="center"/>
      </w:pPr>
      <w:r>
        <w:rPr>
          <w:rFonts w:ascii="Times New Roman" w:cs="Times New Roman" w:eastAsia="Times New Roman" w:hAnsi="Times New Roman"/>
          <w:b/>
          <w:bCs/>
          <w:sz w:val="20"/>
          <w:szCs w:val="20"/>
        </w:rPr>
        <w:t xml:space="preserve">Table 20: ANOVA and Kruskal-Wallis tests across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1060"/>
        <w:gridCol w:w="1060"/>
        <w:gridCol w:w="1060"/>
        <w:gridCol w:w="1060"/>
        <w:gridCol w:w="1158"/>
      </w:tblGrid>
      <w:tr>
        <w:trPr>
          <w:cantSplit/>
          <w:tblHeader/>
        </w:trPr>
        <w:tc>
          <w:tcPr>
            <w:tcW w:type="dxa" w:w="21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6"/>
                <w:szCs w:val="16"/>
              </w:rPr>
              <w:t xml:space="preserve">Numeric variable</w:t>
            </w:r>
          </w:p>
        </w:tc>
        <w:tc>
          <w:tcPr>
            <w:tcW w:type="dxa" w:w="21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6"/>
                <w:szCs w:val="16"/>
              </w:rPr>
              <w:t xml:space="preserve">Grouped by</w:t>
            </w:r>
          </w:p>
        </w:tc>
        <w:tc>
          <w:tcPr>
            <w:tcW w:type="dxa" w:w="1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ANOVA F</w:t>
            </w:r>
          </w:p>
        </w:tc>
        <w:tc>
          <w:tcPr>
            <w:tcW w:type="dxa" w:w="1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ANOVA p</w:t>
            </w:r>
          </w:p>
        </w:tc>
        <w:tc>
          <w:tcPr>
            <w:tcW w:type="dxa" w:w="1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Kruskal H</w:t>
            </w:r>
          </w:p>
        </w:tc>
        <w:tc>
          <w:tcPr>
            <w:tcW w:type="dxa" w:w="1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Kruskal p</w:t>
            </w:r>
          </w:p>
        </w:tc>
        <w:tc>
          <w:tcPr>
            <w:tcW w:type="dxa" w:w="115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Eta-squared</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gpa_semester_2</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family_income_level</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1625.9</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&lt;0.001</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3008.5</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&lt;0.001</w:t>
            </w:r>
          </w:p>
        </w:tc>
        <w:tc>
          <w:tcPr>
            <w:tcW w:type="dxa" w:w="115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0.0315</w:t>
            </w:r>
          </w:p>
        </w:tc>
      </w:tr>
      <w:tr>
        <w:trPr>
          <w:cantSplit/>
        </w:trPr>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gpa_semester_2</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course_type</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0.5</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0.748</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1.6</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0.815</w:t>
            </w:r>
          </w:p>
        </w:tc>
        <w:tc>
          <w:tcPr>
            <w:tcW w:type="dxa" w:w="115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attendance_rate</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study_mode</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763.5</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&lt;0.001</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1451.7</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&lt;0.001</w:t>
            </w:r>
          </w:p>
        </w:tc>
        <w:tc>
          <w:tcPr>
            <w:tcW w:type="dxa" w:w="115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0.015</w:t>
            </w:r>
          </w:p>
        </w:tc>
      </w:tr>
      <w:tr>
        <w:trPr>
          <w:cantSplit/>
        </w:trPr>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weekly_work_hours</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study_mode</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3.0</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0.047</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6.2</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0.045</w:t>
            </w:r>
          </w:p>
        </w:tc>
        <w:tc>
          <w:tcPr>
            <w:tcW w:type="dxa" w:w="115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0.0001</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gpa_semester_1</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semester</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0.413</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7.0</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0.433</w:t>
            </w:r>
          </w:p>
        </w:tc>
        <w:tc>
          <w:tcPr>
            <w:tcW w:type="dxa" w:w="115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0.0001</w:t>
            </w:r>
          </w:p>
        </w:tc>
      </w:tr>
      <w:tr>
        <w:trPr>
          <w:cantSplit/>
        </w:trPr>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units_failed</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family_income_level</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503.1</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&lt;0.001</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1063.7</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&lt;0.001</w:t>
            </w:r>
          </w:p>
        </w:tc>
        <w:tc>
          <w:tcPr>
            <w:tcW w:type="dxa" w:w="115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0.01</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admission_grade</w:t>
            </w:r>
          </w:p>
        </w:tc>
        <w:tc>
          <w:tcPr>
            <w:tcW w:type="dxa" w:w="212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course_type</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0.9</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0.485</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3.3</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0.509</w:t>
            </w:r>
          </w:p>
        </w:tc>
        <w:tc>
          <w:tcPr>
            <w:tcW w:type="dxa" w:w="115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w:t>
            </w:r>
          </w:p>
        </w:tc>
      </w:tr>
      <w:tr>
        <w:trPr>
          <w:cantSplit/>
        </w:trPr>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stress_level</w:t>
            </w:r>
          </w:p>
        </w:tc>
        <w:tc>
          <w:tcPr>
            <w:tcW w:type="dxa" w:w="212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work_load</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841.3</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&lt;0.001</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1631.7</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&lt;0.001</w:t>
            </w:r>
          </w:p>
        </w:tc>
        <w:tc>
          <w:tcPr>
            <w:tcW w:type="dxa" w:w="115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0.0165</w:t>
            </w:r>
          </w:p>
        </w:tc>
      </w:tr>
    </w:tbl>
    <w:p>
      <w:pPr>
        <w:spacing w:after="120"/>
      </w:pP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Semester-2 GPA differs strongly across income groups (F = 1,626, eta-squared = 0.0315, so income explains about 3% of GPA variance), but not at all across course types (p = 0.748, eta-squared = 0.0000) and admission grade does not differ by course. Attendance differs by study mode (eta-squared 0.015), and stress differs by work load (0.017). Both ANOVA and Kruskal-Wallis lead to the same conclusions. All eta-squared values are small (below 0.04): group membership explains little of the variation within any single variable.</w:t>
      </w:r>
    </w:p>
    <w:p>
      <w:pPr>
        <w:pStyle w:val="Heading1"/>
        <w:keepNext/>
      </w:pPr>
      <w:r>
        <w:rPr>
          <w:rFonts w:ascii="Times New Roman" w:cs="Times New Roman" w:eastAsia="Times New Roman" w:hAnsi="Times New Roman"/>
        </w:rPr>
        <w:t xml:space="preserve">7. Multivariate Analysis and Insights</w:t>
      </w:r>
    </w:p>
    <w:p>
      <w:pPr>
        <w:pStyle w:val="Heading2"/>
        <w:keepNext/>
      </w:pPr>
      <w:r>
        <w:rPr>
          <w:rFonts w:ascii="Times New Roman" w:cs="Times New Roman" w:eastAsia="Times New Roman" w:hAnsi="Times New Roman"/>
        </w:rPr>
        <w:t xml:space="preserve">7.1 Pair Plot (Scatter Matrix)</w:t>
      </w:r>
    </w:p>
    <w:p>
      <w:pPr>
        <w:spacing w:after="120" w:line="276"/>
        <w:jc w:val="both"/>
      </w:pPr>
      <w:r>
        <w:rPr>
          <w:rFonts w:ascii="Times New Roman" w:cs="Times New Roman" w:eastAsia="Times New Roman" w:hAnsi="Times New Roman"/>
          <w:sz w:val="22"/>
          <w:szCs w:val="22"/>
        </w:rPr>
        <w:t xml:space="preserve">A pair plot draws all pairwise scatter plots of several variables and the distribution of each variable on the diagonal. Five key academic variables are plotted for a random sample of 1,500 students, coloured by outcome. Only the lower triangle is drawn (corner=True) because the matrix is symmetric.</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 = d.sample(1500, random_state=42)[pp_vars + ["dropout_label"]]</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sns.pairplot(s, hue="dropout_label", corner=True, diag_kind="kde", palette={"Stayed": "#2a9d8f", "Dropped out": "#e76f51"})</w:t>
      </w:r>
    </w:p>
    <w:p>
      <w:pPr>
        <w:spacing w:after="80"/>
      </w:pPr>
    </w:p>
    <w:p>
      <w:pPr>
        <w:keepNext/>
        <w:spacing w:after="40" w:before="80"/>
        <w:jc w:val="center"/>
      </w:pPr>
      <w:r>
        <w:drawing>
          <wp:inline distT="0" distB="0" distL="0" distR="0">
            <wp:extent cx="5334000" cy="4838700"/>
            <wp:effectExtent t="0" r="0" b="0" l="0"/>
            <wp:docPr id="1" name="u5_pairplot" descr="Pair plot of key academic variables coloured by outcome" title="Pair plot of key academic variables coloured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8387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28: Pair plot of key academic variables coloured by outcome</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The diagonal KDEs show that the two groups are best separated on GPA (both semesters) and failed units, and only partially on attendance and assignment submission. The GPA1-GPA2 panel shows a tight upward band and the failed-units panels show a downward trend. In every panel the orange (dropout) points occupy the lower-left or lower region but overlap heavily with the green points: dropout is a probabilistic outcome, not a deterministic one.</w:t>
      </w:r>
    </w:p>
    <w:p>
      <w:pPr>
        <w:pStyle w:val="Heading2"/>
        <w:keepNext/>
      </w:pPr>
      <w:r>
        <w:rPr>
          <w:rFonts w:ascii="Times New Roman" w:cs="Times New Roman" w:eastAsia="Times New Roman" w:hAnsi="Times New Roman"/>
        </w:rPr>
        <w:t xml:space="preserve">7.2 Correlation Heatmaps</w:t>
      </w:r>
    </w:p>
    <w:p>
      <w:pPr>
        <w:spacing w:after="120" w:line="276"/>
        <w:jc w:val="both"/>
      </w:pPr>
      <w:r>
        <w:rPr>
          <w:rFonts w:ascii="Times New Roman" w:cs="Times New Roman" w:eastAsia="Times New Roman" w:hAnsi="Times New Roman"/>
          <w:sz w:val="22"/>
          <w:szCs w:val="22"/>
        </w:rPr>
        <w:t xml:space="preserve">A correlation heatmap summarises all pairwise correlations in a colour-coded matrix. The figures below show the full Pearson matrix of 27 variables plus the target, and a focused Pearson and Spearman comparison for 13 key variables.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corr = d[num_cols + ["dropout"]].corr()</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sns.heatmap(corr, cmap="coolwarm", center=0, vmin=-1, vmax=1, annot=True, fmt=".2f")</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sns.heatmap(d[focus].corr("spearman"), cmap="coolwarm", center=0, annot=True)</w:t>
      </w:r>
    </w:p>
    <w:p>
      <w:pPr>
        <w:spacing w:after="80"/>
      </w:pPr>
    </w:p>
    <w:p>
      <w:pPr>
        <w:keepNext/>
        <w:spacing w:after="40" w:before="80"/>
        <w:jc w:val="center"/>
      </w:pPr>
      <w:r>
        <w:drawing>
          <wp:inline distT="0" distB="0" distL="0" distR="0">
            <wp:extent cx="5524500" cy="4953000"/>
            <wp:effectExtent t="0" r="0" b="0" l="0"/>
            <wp:docPr id="1" name="u5_heatmap_full" descr="Full Pearson correlation heatmap (27 variables and dropout)" title="Full Pearson correlation heatmap (27 variables and drop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24500" cy="49530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29: Full Pearson correlation heatmap (27 variables and dropout)</w:t>
      </w:r>
    </w:p>
    <w:p>
      <w:pPr>
        <w:keepNext/>
        <w:spacing w:after="40" w:before="80"/>
        <w:jc w:val="center"/>
      </w:pPr>
      <w:r>
        <w:drawing>
          <wp:inline distT="0" distB="0" distL="0" distR="0">
            <wp:extent cx="5905500" cy="2362200"/>
            <wp:effectExtent t="0" r="0" b="0" l="0"/>
            <wp:docPr id="1" name="u5_heatmap_focus" descr="Pearson (left) and Spearman (right) correlation heatmaps of 13 key variables" title="Pearson (left) and Spearman (right) correlation heatmaps of 13 key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23622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30: Pearson (left) and Spearman (right) correlation heatmaps of 13 key variables</w:t>
      </w:r>
    </w:p>
    <w:p>
      <w:pPr>
        <w:keepNext/>
        <w:spacing w:after="80" w:before="120"/>
        <w:jc w:val="center"/>
      </w:pPr>
      <w:r>
        <w:rPr>
          <w:rFonts w:ascii="Times New Roman" w:cs="Times New Roman" w:eastAsia="Times New Roman" w:hAnsi="Times New Roman"/>
          <w:b/>
          <w:bCs/>
          <w:sz w:val="20"/>
          <w:szCs w:val="20"/>
        </w:rPr>
        <w:t xml:space="preserve">Table 21: Strongest correlations in the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3662"/>
        <w:gridCol w:w="2314"/>
      </w:tblGrid>
      <w:tr>
        <w:trPr>
          <w:cantSplit/>
          <w:tblHeader/>
        </w:trPr>
        <w:tc>
          <w:tcPr>
            <w:tcW w:type="dxa" w:w="366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8"/>
                <w:szCs w:val="18"/>
              </w:rPr>
              <w:t xml:space="preserve">Variable A</w:t>
            </w:r>
          </w:p>
        </w:tc>
        <w:tc>
          <w:tcPr>
            <w:tcW w:type="dxa" w:w="366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8"/>
                <w:szCs w:val="18"/>
              </w:rPr>
              <w:t xml:space="preserve">Variable B</w:t>
            </w:r>
          </w:p>
        </w:tc>
        <w:tc>
          <w:tcPr>
            <w:tcW w:type="dxa" w:w="23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Pearson r</w:t>
            </w:r>
          </w:p>
        </w:tc>
      </w:tr>
      <w:tr>
        <w:trPr>
          <w:cantSplit/>
        </w:trPr>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weekly_work_hours</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part_time_job</w:t>
            </w:r>
          </w:p>
        </w:tc>
        <w:tc>
          <w:tcPr>
            <w:tcW w:type="dxa" w:w="23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0.886</w:t>
            </w:r>
          </w:p>
        </w:tc>
      </w:tr>
      <w:tr>
        <w:trPr>
          <w:cantSplit/>
        </w:trPr>
        <w:tc>
          <w:tcPr>
            <w:tcW w:type="dxa" w:w="366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gpa_semester_1</w:t>
            </w:r>
          </w:p>
        </w:tc>
        <w:tc>
          <w:tcPr>
            <w:tcW w:type="dxa" w:w="366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gpa_semester_2</w:t>
            </w:r>
          </w:p>
        </w:tc>
        <w:tc>
          <w:tcPr>
            <w:tcW w:type="dxa" w:w="231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0.83</w:t>
            </w:r>
          </w:p>
        </w:tc>
      </w:tr>
      <w:tr>
        <w:trPr>
          <w:cantSplit/>
        </w:trPr>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units_enrolled</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units_passed</w:t>
            </w:r>
          </w:p>
        </w:tc>
        <w:tc>
          <w:tcPr>
            <w:tcW w:type="dxa" w:w="23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0.825</w:t>
            </w:r>
          </w:p>
        </w:tc>
      </w:tr>
      <w:tr>
        <w:trPr>
          <w:cantSplit/>
        </w:trPr>
        <w:tc>
          <w:tcPr>
            <w:tcW w:type="dxa" w:w="366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units_failed</w:t>
            </w:r>
          </w:p>
        </w:tc>
        <w:tc>
          <w:tcPr>
            <w:tcW w:type="dxa" w:w="366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gpa_semester_1</w:t>
            </w:r>
          </w:p>
        </w:tc>
        <w:tc>
          <w:tcPr>
            <w:tcW w:type="dxa" w:w="231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-0.746</w:t>
            </w:r>
          </w:p>
        </w:tc>
      </w:tr>
      <w:tr>
        <w:trPr>
          <w:cantSplit/>
        </w:trPr>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units_failed</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gpa_semester_2</w:t>
            </w:r>
          </w:p>
        </w:tc>
        <w:tc>
          <w:tcPr>
            <w:tcW w:type="dxa" w:w="23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-0.62</w:t>
            </w:r>
          </w:p>
        </w:tc>
      </w:tr>
      <w:tr>
        <w:trPr>
          <w:cantSplit/>
        </w:trPr>
        <w:tc>
          <w:tcPr>
            <w:tcW w:type="dxa" w:w="366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gpa_semester_1</w:t>
            </w:r>
          </w:p>
        </w:tc>
        <w:tc>
          <w:tcPr>
            <w:tcW w:type="dxa" w:w="366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dropout</w:t>
            </w:r>
          </w:p>
        </w:tc>
        <w:tc>
          <w:tcPr>
            <w:tcW w:type="dxa" w:w="231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-0.569</w:t>
            </w:r>
          </w:p>
        </w:tc>
      </w:tr>
      <w:tr>
        <w:trPr>
          <w:cantSplit/>
        </w:trPr>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gpa_semester_2</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dropout</w:t>
            </w:r>
          </w:p>
        </w:tc>
        <w:tc>
          <w:tcPr>
            <w:tcW w:type="dxa" w:w="23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-0.521</w:t>
            </w:r>
          </w:p>
        </w:tc>
      </w:tr>
      <w:tr>
        <w:trPr>
          <w:cantSplit/>
        </w:trPr>
        <w:tc>
          <w:tcPr>
            <w:tcW w:type="dxa" w:w="366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units_failed</w:t>
            </w:r>
          </w:p>
        </w:tc>
        <w:tc>
          <w:tcPr>
            <w:tcW w:type="dxa" w:w="366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dropout</w:t>
            </w:r>
          </w:p>
        </w:tc>
        <w:tc>
          <w:tcPr>
            <w:tcW w:type="dxa" w:w="231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0.467</w:t>
            </w:r>
          </w:p>
        </w:tc>
      </w:tr>
      <w:tr>
        <w:trPr>
          <w:cantSplit/>
        </w:trPr>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units_passed</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gpa_semester_1</w:t>
            </w:r>
          </w:p>
        </w:tc>
        <w:tc>
          <w:tcPr>
            <w:tcW w:type="dxa" w:w="231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0.449</w:t>
            </w:r>
          </w:p>
        </w:tc>
      </w:tr>
      <w:tr>
        <w:trPr>
          <w:cantSplit/>
        </w:trPr>
        <w:tc>
          <w:tcPr>
            <w:tcW w:type="dxa" w:w="366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units_passed</w:t>
            </w:r>
          </w:p>
        </w:tc>
        <w:tc>
          <w:tcPr>
            <w:tcW w:type="dxa" w:w="366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gpa_semester_2</w:t>
            </w:r>
          </w:p>
        </w:tc>
        <w:tc>
          <w:tcPr>
            <w:tcW w:type="dxa" w:w="231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0.37</w:t>
            </w:r>
          </w:p>
        </w:tc>
      </w:tr>
    </w:tbl>
    <w:p>
      <w:pPr>
        <w:spacing w:after="120"/>
      </w:pP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Most variable pairs are only weakly correlated: only 5 of the 351 pairs of predictors exceed |r| = 0.5. The strongest are structural: weekly_work_hours with part_time_job (r = 0.886, because hours are 0 when there is no job) and units_enrolled with units_passed (0.825). The meaningful ones are GPA1 with GPA2 (0.830) and failed units with GPA1 (-0.746). The three strongest correlations with the target are semester-1 GPA, semester-2 GPA and failed units. Because predictor-predictor correlation is low apart from these academic variables, multicollinearity is only a mild concern for models, in contrast with datasets of nested counts. Spearman and Pearson matrices are nearly identical.</w:t>
      </w:r>
    </w:p>
    <w:p>
      <w:pPr>
        <w:pStyle w:val="Heading2"/>
        <w:keepNext/>
      </w:pPr>
      <w:r>
        <w:rPr>
          <w:rFonts w:ascii="Times New Roman" w:cs="Times New Roman" w:eastAsia="Times New Roman" w:hAnsi="Times New Roman"/>
        </w:rPr>
        <w:t xml:space="preserve">7.3 Grouped Multivariate Visualizations</w:t>
      </w:r>
    </w:p>
    <w:p>
      <w:pPr>
        <w:spacing w:after="120" w:line="276"/>
        <w:jc w:val="both"/>
      </w:pPr>
      <w:r>
        <w:rPr>
          <w:rFonts w:ascii="Times New Roman" w:cs="Times New Roman" w:eastAsia="Times New Roman" w:hAnsi="Times New Roman"/>
          <w:sz w:val="22"/>
          <w:szCs w:val="22"/>
        </w:rPr>
        <w:t xml:space="preserve">Grouping by two or three variables at once reveals interactions that single-variable views hide. Heatmaps of the dropout rate over attendance band by GPA band, failed-unit band by work load, and income by study mode are shown below.</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p2 = d.pivot_table(index="attendance_band", columns="gpa_band", values="dropout", aggfunc="mean") * 100</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sns.heatmap(p2.iloc[::-1], annot=True, fmt=".0f", cmap="YlOrRd")</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rf = d.groupby("risk_flags").dropout.agg(["size", "mean"])</w:t>
      </w:r>
    </w:p>
    <w:p>
      <w:pPr>
        <w:spacing w:after="80"/>
      </w:pPr>
    </w:p>
    <w:p>
      <w:pPr>
        <w:keepNext/>
        <w:spacing w:after="40" w:before="80"/>
        <w:jc w:val="center"/>
      </w:pPr>
      <w:r>
        <w:drawing>
          <wp:inline distT="0" distB="0" distL="0" distR="0">
            <wp:extent cx="5905500" cy="1638300"/>
            <wp:effectExtent t="0" r="0" b="0" l="0"/>
            <wp:docPr id="1" name="u5_grouped_heatmaps" descr="Dropout rate (%) over pairs of grouping variables" title="Dropout rate (%) over pairs of grouping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16383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31: Dropout rate (%) over pairs of grouping variables</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Risk compounds. Students with attendance below 50% and an average GPA below 1.5 drop out 92.0% of the time, while those with attendance of 90-100% and GPA of 3.0-4.0 drop out only 1.5% of the time. GPA dominates attendance: within the lowest GPA band even 90-100% attendance leaves a 67% dropout rate, but within the highest GPA band even attendance below 50% leaves only 5.7%. Failed units and work load add together: with no failed units a heavy workload raises dropout only from 3.1% to 8.4%, but with five or more failed units it raises it from 58.0% to 78.4%. Income and study mode simply add (no interaction).</w:t>
      </w:r>
    </w:p>
    <w:p>
      <w:pPr>
        <w:keepNext/>
        <w:spacing w:after="80" w:before="120"/>
        <w:jc w:val="center"/>
      </w:pPr>
      <w:r>
        <w:rPr>
          <w:rFonts w:ascii="Times New Roman" w:cs="Times New Roman" w:eastAsia="Times New Roman" w:hAnsi="Times New Roman"/>
          <w:b/>
          <w:bCs/>
          <w:sz w:val="20"/>
          <w:szCs w:val="20"/>
        </w:rPr>
        <w:t xml:space="preserve">Table 22: Dropout rate by number of risk flags (0-6)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8"/>
                <w:szCs w:val="18"/>
              </w:rPr>
              <w:t xml:space="preserve">Risk flags</w:t>
            </w:r>
          </w:p>
        </w:tc>
        <w:tc>
          <w:tcPr>
            <w:tcW w:type="dxa" w:w="337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Students</w:t>
            </w:r>
          </w:p>
        </w:tc>
        <w:tc>
          <w:tcPr>
            <w:tcW w:type="dxa" w:w="337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Dropout %</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0</w:t>
            </w:r>
          </w:p>
        </w:tc>
        <w:tc>
          <w:tcPr>
            <w:tcW w:type="dxa" w:w="337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29,419</w:t>
            </w:r>
          </w:p>
        </w:tc>
        <w:tc>
          <w:tcPr>
            <w:tcW w:type="dxa" w:w="337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7.2</w:t>
            </w:r>
          </w:p>
        </w:tc>
      </w:tr>
      <w:tr>
        <w:trPr>
          <w:cantSplit/>
        </w:trPr>
        <w:tc>
          <w:tcPr>
            <w:tcW w:type="dxa" w:w="289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1</w:t>
            </w:r>
          </w:p>
        </w:tc>
        <w:tc>
          <w:tcPr>
            <w:tcW w:type="dxa" w:w="337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30,854</w:t>
            </w:r>
          </w:p>
        </w:tc>
        <w:tc>
          <w:tcPr>
            <w:tcW w:type="dxa" w:w="337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19.8</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2</w:t>
            </w:r>
          </w:p>
        </w:tc>
        <w:tc>
          <w:tcPr>
            <w:tcW w:type="dxa" w:w="337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20,854</w:t>
            </w:r>
          </w:p>
        </w:tc>
        <w:tc>
          <w:tcPr>
            <w:tcW w:type="dxa" w:w="337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44.4</w:t>
            </w:r>
          </w:p>
        </w:tc>
      </w:tr>
      <w:tr>
        <w:trPr>
          <w:cantSplit/>
        </w:trPr>
        <w:tc>
          <w:tcPr>
            <w:tcW w:type="dxa" w:w="289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3</w:t>
            </w:r>
          </w:p>
        </w:tc>
        <w:tc>
          <w:tcPr>
            <w:tcW w:type="dxa" w:w="337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11,889</w:t>
            </w:r>
          </w:p>
        </w:tc>
        <w:tc>
          <w:tcPr>
            <w:tcW w:type="dxa" w:w="337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70.0</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4</w:t>
            </w:r>
          </w:p>
        </w:tc>
        <w:tc>
          <w:tcPr>
            <w:tcW w:type="dxa" w:w="337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5,236</w:t>
            </w:r>
          </w:p>
        </w:tc>
        <w:tc>
          <w:tcPr>
            <w:tcW w:type="dxa" w:w="337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86.3</w:t>
            </w:r>
          </w:p>
        </w:tc>
      </w:tr>
      <w:tr>
        <w:trPr>
          <w:cantSplit/>
        </w:trPr>
        <w:tc>
          <w:tcPr>
            <w:tcW w:type="dxa" w:w="289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5</w:t>
            </w:r>
          </w:p>
        </w:tc>
        <w:tc>
          <w:tcPr>
            <w:tcW w:type="dxa" w:w="337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1,545</w:t>
            </w:r>
          </w:p>
        </w:tc>
        <w:tc>
          <w:tcPr>
            <w:tcW w:type="dxa" w:w="337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94.6</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6</w:t>
            </w:r>
          </w:p>
        </w:tc>
        <w:tc>
          <w:tcPr>
            <w:tcW w:type="dxa" w:w="337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203</w:t>
            </w:r>
          </w:p>
        </w:tc>
        <w:tc>
          <w:tcPr>
            <w:tcW w:type="dxa" w:w="337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98.0</w:t>
            </w:r>
          </w:p>
        </w:tc>
      </w:tr>
    </w:tbl>
    <w:p>
      <w:pPr>
        <w:spacing w:after="120"/>
      </w:pPr>
    </w:p>
    <w:p>
      <w:pPr>
        <w:keepNext/>
        <w:spacing w:after="40" w:before="80"/>
        <w:jc w:val="center"/>
      </w:pPr>
      <w:r>
        <w:drawing>
          <wp:inline distT="0" distB="0" distL="0" distR="0">
            <wp:extent cx="5334000" cy="1752600"/>
            <wp:effectExtent t="0" r="0" b="0" l="0"/>
            <wp:docPr id="1" name="u5_risk_flags" descr="Dropout rate rises with each additional risk flag" title="Dropout rate rises with each additional risk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17526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32: Dropout rate rises with each additional risk flag</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A simple rule-based count of six warning signs (at least 4 failed units, attendance below 60%, assignments below 50%, at least 4 missed deadlines, semester-2 GPA below 1.5, unpaid tuition) already separates students very well: 7.2% dropout with no flags, 70.0% with three flags and 98.0% with all six. This is an interpretable early-warning rule that advisers could apply without any machine-learning model.</w:t>
      </w:r>
    </w:p>
    <w:p>
      <w:pPr>
        <w:keepNext/>
        <w:spacing w:after="40" w:before="80"/>
        <w:jc w:val="center"/>
      </w:pPr>
      <w:r>
        <w:drawing>
          <wp:inline distT="0" distB="0" distL="0" distR="0">
            <wp:extent cx="2714625" cy="3810000"/>
            <wp:effectExtent t="0" r="0" b="0" l="0"/>
            <wp:docPr id="1" name="u5_profile_heatmap" descr="Standardised group profile: students who stayed versus dropped out" title="Standardised group profile: students who stayed versus dropp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14625" cy="38100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33: Standardised group profile: students who stayed versus dropped out</w:t>
      </w:r>
    </w:p>
    <w:p>
      <w:pPr>
        <w:pStyle w:val="Heading2"/>
        <w:keepNext/>
      </w:pPr>
      <w:r>
        <w:rPr>
          <w:rFonts w:ascii="Times New Roman" w:cs="Times New Roman" w:eastAsia="Times New Roman" w:hAnsi="Times New Roman"/>
        </w:rPr>
        <w:t xml:space="preserve">7.4 Dimensionality Reduction using PCA</w:t>
      </w:r>
    </w:p>
    <w:p>
      <w:pPr>
        <w:spacing w:after="120" w:line="276"/>
        <w:jc w:val="both"/>
      </w:pPr>
      <w:r>
        <w:rPr>
          <w:rFonts w:ascii="Times New Roman" w:cs="Times New Roman" w:eastAsia="Times New Roman" w:hAnsi="Times New Roman"/>
          <w:sz w:val="22"/>
          <w:szCs w:val="22"/>
        </w:rPr>
        <w:t xml:space="preserve">Principal Component Analysis rotates the data into new, uncorrelated axes (principal components) ordered by the variance they explain. The 27 numeric and binary variables were standardised (mean 0, standard deviation 1) because PCA is sensitive to scale, and the target was excluded.</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from sklearn.preprocessing import StandardScaler</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from sklearn.decomposition import PCA</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Xs  = StandardScaler().fit_transform(d[num_cols])      # 27 features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pca = PCA().fit(Xs); print(pca.explained_variance_ratio_)</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Z   = PCA(n_components=2).fit_transform(Xs)</w:t>
      </w:r>
    </w:p>
    <w:p>
      <w:pPr>
        <w:spacing w:after="80"/>
      </w:pPr>
    </w:p>
    <w:p>
      <w:pPr>
        <w:keepNext/>
        <w:spacing w:after="80" w:before="120"/>
        <w:jc w:val="center"/>
      </w:pPr>
      <w:r>
        <w:rPr>
          <w:rFonts w:ascii="Times New Roman" w:cs="Times New Roman" w:eastAsia="Times New Roman" w:hAnsi="Times New Roman"/>
          <w:b/>
          <w:bCs/>
          <w:sz w:val="20"/>
          <w:szCs w:val="20"/>
        </w:rPr>
        <w:t xml:space="preserve">Table 23: Variance explained by the first ten principal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8"/>
                <w:szCs w:val="18"/>
              </w:rPr>
              <w:t xml:space="preserve">Component</w:t>
            </w:r>
          </w:p>
        </w:tc>
        <w:tc>
          <w:tcPr>
            <w:tcW w:type="dxa" w:w="337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Explained %</w:t>
            </w:r>
          </w:p>
        </w:tc>
        <w:tc>
          <w:tcPr>
            <w:tcW w:type="dxa" w:w="337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Cumulative %</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PC1</w:t>
            </w:r>
          </w:p>
        </w:tc>
        <w:tc>
          <w:tcPr>
            <w:tcW w:type="dxa" w:w="337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12.63</w:t>
            </w:r>
          </w:p>
        </w:tc>
        <w:tc>
          <w:tcPr>
            <w:tcW w:type="dxa" w:w="337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12.63</w:t>
            </w:r>
          </w:p>
        </w:tc>
      </w:tr>
      <w:tr>
        <w:trPr>
          <w:cantSplit/>
        </w:trPr>
        <w:tc>
          <w:tcPr>
            <w:tcW w:type="dxa" w:w="289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PC2</w:t>
            </w:r>
          </w:p>
        </w:tc>
        <w:tc>
          <w:tcPr>
            <w:tcW w:type="dxa" w:w="337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7.46</w:t>
            </w:r>
          </w:p>
        </w:tc>
        <w:tc>
          <w:tcPr>
            <w:tcW w:type="dxa" w:w="337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20.09</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PC3</w:t>
            </w:r>
          </w:p>
        </w:tc>
        <w:tc>
          <w:tcPr>
            <w:tcW w:type="dxa" w:w="337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6.95</w:t>
            </w:r>
          </w:p>
        </w:tc>
        <w:tc>
          <w:tcPr>
            <w:tcW w:type="dxa" w:w="337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27.03</w:t>
            </w:r>
          </w:p>
        </w:tc>
      </w:tr>
      <w:tr>
        <w:trPr>
          <w:cantSplit/>
        </w:trPr>
        <w:tc>
          <w:tcPr>
            <w:tcW w:type="dxa" w:w="289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PC4</w:t>
            </w:r>
          </w:p>
        </w:tc>
        <w:tc>
          <w:tcPr>
            <w:tcW w:type="dxa" w:w="337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5.38</w:t>
            </w:r>
          </w:p>
        </w:tc>
        <w:tc>
          <w:tcPr>
            <w:tcW w:type="dxa" w:w="337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32.42</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PC5</w:t>
            </w:r>
          </w:p>
        </w:tc>
        <w:tc>
          <w:tcPr>
            <w:tcW w:type="dxa" w:w="337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4.24</w:t>
            </w:r>
          </w:p>
        </w:tc>
        <w:tc>
          <w:tcPr>
            <w:tcW w:type="dxa" w:w="337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36.66</w:t>
            </w:r>
          </w:p>
        </w:tc>
      </w:tr>
      <w:tr>
        <w:trPr>
          <w:cantSplit/>
        </w:trPr>
        <w:tc>
          <w:tcPr>
            <w:tcW w:type="dxa" w:w="289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PC6</w:t>
            </w:r>
          </w:p>
        </w:tc>
        <w:tc>
          <w:tcPr>
            <w:tcW w:type="dxa" w:w="337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4.19</w:t>
            </w:r>
          </w:p>
        </w:tc>
        <w:tc>
          <w:tcPr>
            <w:tcW w:type="dxa" w:w="337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40.85</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PC7</w:t>
            </w:r>
          </w:p>
        </w:tc>
        <w:tc>
          <w:tcPr>
            <w:tcW w:type="dxa" w:w="337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4.09</w:t>
            </w:r>
          </w:p>
        </w:tc>
        <w:tc>
          <w:tcPr>
            <w:tcW w:type="dxa" w:w="337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44.94</w:t>
            </w:r>
          </w:p>
        </w:tc>
      </w:tr>
      <w:tr>
        <w:trPr>
          <w:cantSplit/>
        </w:trPr>
        <w:tc>
          <w:tcPr>
            <w:tcW w:type="dxa" w:w="289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PC8</w:t>
            </w:r>
          </w:p>
        </w:tc>
        <w:tc>
          <w:tcPr>
            <w:tcW w:type="dxa" w:w="337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3.91</w:t>
            </w:r>
          </w:p>
        </w:tc>
        <w:tc>
          <w:tcPr>
            <w:tcW w:type="dxa" w:w="337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48.86</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PC9</w:t>
            </w:r>
          </w:p>
        </w:tc>
        <w:tc>
          <w:tcPr>
            <w:tcW w:type="dxa" w:w="337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3.88</w:t>
            </w:r>
          </w:p>
        </w:tc>
        <w:tc>
          <w:tcPr>
            <w:tcW w:type="dxa" w:w="337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52.73</w:t>
            </w:r>
          </w:p>
        </w:tc>
      </w:tr>
      <w:tr>
        <w:trPr>
          <w:cantSplit/>
        </w:trPr>
        <w:tc>
          <w:tcPr>
            <w:tcW w:type="dxa" w:w="289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PC10</w:t>
            </w:r>
          </w:p>
        </w:tc>
        <w:tc>
          <w:tcPr>
            <w:tcW w:type="dxa" w:w="337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3.8</w:t>
            </w:r>
          </w:p>
        </w:tc>
        <w:tc>
          <w:tcPr>
            <w:tcW w:type="dxa" w:w="337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56.54</w:t>
            </w:r>
          </w:p>
        </w:tc>
      </w:tr>
    </w:tbl>
    <w:p>
      <w:pPr>
        <w:spacing w:after="120"/>
      </w:pPr>
    </w:p>
    <w:p>
      <w:pPr>
        <w:keepNext/>
        <w:spacing w:after="40" w:before="80"/>
        <w:jc w:val="center"/>
      </w:pPr>
      <w:r>
        <w:drawing>
          <wp:inline distT="0" distB="0" distL="0" distR="0">
            <wp:extent cx="5905500" cy="1628775"/>
            <wp:effectExtent t="0" r="0" b="0" l="0"/>
            <wp:docPr id="1" name="u5_pca" descr="Scree plot, PCA projection coloured by outcome, and loading plot" title="Scree plot, PCA projection coloured by outcome, and loading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16287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34: Scree plot, PCA projection coloured by outcome, and loading plot</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PC1 explains only 12.6% and PC2 7.5% of the variance, 20.1% together, and 17 components are needed to reach 80% (20 for 90%). The variables are therefore not redundant, and PCA is of limited use for compressing this dataset. It is still informative: PC1 is an academic-performance axis (loadings: GPA1 0.49, GPA2 0.45, failed units -0.40) and correlates r = -0.62 with dropout, while PC2 is a work and stress axis (work hours 0.59, part-time job 0.59, stress 0.25) that is uncorrelated with dropout (r = 0.00). In the projection the two outcomes separate mainly along PC1 but overlap in the middle, which previews the limit of any classifier.</w:t>
      </w:r>
    </w:p>
    <w:p>
      <w:pPr>
        <w:pStyle w:val="Heading2"/>
        <w:keepNext/>
      </w:pPr>
      <w:r>
        <w:rPr>
          <w:rFonts w:ascii="Times New Roman" w:cs="Times New Roman" w:eastAsia="Times New Roman" w:hAnsi="Times New Roman"/>
        </w:rPr>
        <w:t xml:space="preserve">7.5 K-Means Clustering</w:t>
      </w:r>
    </w:p>
    <w:p>
      <w:pPr>
        <w:spacing w:after="120" w:line="276"/>
        <w:jc w:val="both"/>
      </w:pPr>
      <w:r>
        <w:rPr>
          <w:rFonts w:ascii="Times New Roman" w:cs="Times New Roman" w:eastAsia="Times New Roman" w:hAnsi="Times New Roman"/>
          <w:sz w:val="22"/>
          <w:szCs w:val="22"/>
        </w:rPr>
        <w:t xml:space="preserve">K-Means groups observations into k clusters by minimising the distance to the cluster centres. It was applied to the eight standardised academic and engagement variables (both GPAs, attendance, assignment submission, failed units, missed deadlines, LMS logins, library visits). The outcome was not used for clustering, so dropout rates per cluster are an independent check.</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from sklearn.cluster import KMeans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from sklearn.metrics import silhouette_score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for k in range(2, 9):</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    km = KMeans(n_clusters=k, n_init=5, random_state=42).fit(Xk)</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    inertia.append(km.inertia_); sil.append(silhouette_score(Xk[sub], km.labels_[sub]))</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km = KMeans(n_clusters=4, n_init=10, random_state=42).fit(Xk)</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d["cluster"] = km.labels_</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d.groupby("cluster").dropout.agg(["size", "mean"])</w:t>
      </w:r>
    </w:p>
    <w:p>
      <w:pPr>
        <w:spacing w:after="80"/>
      </w:pPr>
    </w:p>
    <w:p>
      <w:pPr>
        <w:keepNext/>
        <w:spacing w:after="40" w:before="80"/>
        <w:jc w:val="center"/>
      </w:pPr>
      <w:r>
        <w:drawing>
          <wp:inline distT="0" distB="0" distL="0" distR="0">
            <wp:extent cx="4572000" cy="1571625"/>
            <wp:effectExtent t="0" r="0" b="0" l="0"/>
            <wp:docPr id="1" name="u5_kmeans_selection" descr="Elbow method and silhouette scores for k = 2 to 8" title="Elbow method and silhouette scores for k = 2 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15716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35: Elbow method and silhouette scores for k = 2 to 8</w:t>
      </w:r>
    </w:p>
    <w:p>
      <w:pPr>
        <w:spacing w:after="120" w:line="276"/>
        <w:jc w:val="both"/>
      </w:pPr>
      <w:r>
        <w:rPr>
          <w:rFonts w:ascii="Times New Roman" w:cs="Times New Roman" w:eastAsia="Times New Roman" w:hAnsi="Times New Roman"/>
          <w:sz w:val="22"/>
          <w:szCs w:val="22"/>
        </w:rPr>
        <w:t xml:space="preserve">The elbow curve has no sharp bend and the silhouette score is highest for k = 2 (0.22) and low overall (0.14 for k = 4), which means that the students form a continuum rather than naturally separated groups. k = 4 was nevertheless chosen because it gives segments that are interpretable and useful for intervention; this is a pragmatic segmentation, not proof of four true groups.</w:t>
      </w:r>
    </w:p>
    <w:p>
      <w:pPr>
        <w:keepNext/>
        <w:spacing w:after="80" w:before="120"/>
        <w:jc w:val="center"/>
      </w:pPr>
      <w:r>
        <w:rPr>
          <w:rFonts w:ascii="Times New Roman" w:cs="Times New Roman" w:eastAsia="Times New Roman" w:hAnsi="Times New Roman"/>
          <w:b/>
          <w:bCs/>
          <w:sz w:val="20"/>
          <w:szCs w:val="20"/>
        </w:rPr>
        <w:t xml:space="preserve">Table 24: Profile of the four K-Means segments (sorted by dropout 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157"/>
        <w:gridCol w:w="1157"/>
        <w:gridCol w:w="867"/>
        <w:gridCol w:w="867"/>
        <w:gridCol w:w="1060"/>
        <w:gridCol w:w="1060"/>
        <w:gridCol w:w="964"/>
        <w:gridCol w:w="964"/>
      </w:tblGrid>
      <w:tr>
        <w:trPr>
          <w:cantSplit/>
          <w:tblHeader/>
        </w:trPr>
        <w:tc>
          <w:tcPr>
            <w:tcW w:type="dxa" w:w="15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6"/>
                <w:szCs w:val="16"/>
              </w:rPr>
              <w:t xml:space="preserve">Segment</w:t>
            </w:r>
          </w:p>
        </w:tc>
        <w:tc>
          <w:tcPr>
            <w:tcW w:type="dxa" w:w="11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Students</w:t>
            </w:r>
          </w:p>
        </w:tc>
        <w:tc>
          <w:tcPr>
            <w:tcW w:type="dxa" w:w="11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Dropout %</w:t>
            </w:r>
          </w:p>
        </w:tc>
        <w:tc>
          <w:tcPr>
            <w:tcW w:type="dxa" w:w="86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GPA S1</w:t>
            </w:r>
          </w:p>
        </w:tc>
        <w:tc>
          <w:tcPr>
            <w:tcW w:type="dxa" w:w="86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GPA S2</w:t>
            </w:r>
          </w:p>
        </w:tc>
        <w:tc>
          <w:tcPr>
            <w:tcW w:type="dxa" w:w="1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Attend. %</w:t>
            </w:r>
          </w:p>
        </w:tc>
        <w:tc>
          <w:tcPr>
            <w:tcW w:type="dxa" w:w="1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Assign. %</w:t>
            </w:r>
          </w:p>
        </w:tc>
        <w:tc>
          <w:tcPr>
            <w:tcW w:type="dxa" w:w="96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Failed</w:t>
            </w:r>
          </w:p>
        </w:tc>
        <w:tc>
          <w:tcPr>
            <w:tcW w:type="dxa" w:w="96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6"/>
                <w:szCs w:val="16"/>
              </w:rPr>
              <w:t xml:space="preserve">Missed</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High-risk</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19,878</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80.75</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1.53</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1.12</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65.83</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58.29</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5.51</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4.18</w:t>
            </w:r>
          </w:p>
        </w:tc>
      </w:tr>
      <w:tr>
        <w:trPr>
          <w:cantSplit/>
        </w:trPr>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At-risk</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23,560</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31.06</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2.59</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2.01</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61.11</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58.27</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2.24</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2.15</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Moderate</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27,683</w:t>
            </w:r>
          </w:p>
        </w:tc>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27.75</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2.4</w:t>
            </w:r>
          </w:p>
        </w:tc>
        <w:tc>
          <w:tcPr>
            <w:tcW w:type="dxa" w:w="86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1.82</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84.72</w:t>
            </w:r>
          </w:p>
        </w:tc>
        <w:tc>
          <w:tcPr>
            <w:tcW w:type="dxa" w:w="10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80.78</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3.12</w:t>
            </w:r>
          </w:p>
        </w:tc>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2.43</w:t>
            </w:r>
          </w:p>
        </w:tc>
      </w:tr>
      <w:tr>
        <w:trPr>
          <w:cantSplit/>
        </w:trPr>
        <w:tc>
          <w:tcPr>
            <w:tcW w:type="dxa" w:w="15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6"/>
                <w:szCs w:val="16"/>
              </w:rPr>
              <w:t xml:space="preserve">Low-risk</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28,879</w:t>
            </w:r>
          </w:p>
        </w:tc>
        <w:tc>
          <w:tcPr>
            <w:tcW w:type="dxa" w:w="115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3.3</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3.42</w:t>
            </w:r>
          </w:p>
        </w:tc>
        <w:tc>
          <w:tcPr>
            <w:tcW w:type="dxa" w:w="86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2.7</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83.69</w:t>
            </w:r>
          </w:p>
        </w:tc>
        <w:tc>
          <w:tcPr>
            <w:tcW w:type="dxa" w:w="10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82.23</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0.8</w:t>
            </w:r>
          </w:p>
        </w:tc>
        <w:tc>
          <w:tcPr>
            <w:tcW w:type="dxa" w:w="964"/>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6"/>
                <w:szCs w:val="16"/>
              </w:rPr>
              <w:t xml:space="preserve">1.24</w:t>
            </w:r>
          </w:p>
        </w:tc>
      </w:tr>
    </w:tbl>
    <w:p>
      <w:pPr>
        <w:spacing w:after="120"/>
      </w:pPr>
    </w:p>
    <w:p>
      <w:pPr>
        <w:keepNext/>
        <w:spacing w:after="40" w:before="80"/>
        <w:jc w:val="center"/>
      </w:pPr>
      <w:r>
        <w:drawing>
          <wp:inline distT="0" distB="0" distL="0" distR="0">
            <wp:extent cx="5905500" cy="1619250"/>
            <wp:effectExtent t="0" r="0" b="0" l="0"/>
            <wp:docPr id="1" name="u5_kmeans_clusters" descr="K-Means segments in PCA space, dropout rate per segment and standardised cluster centres" title="K-Means segments in PCA space, dropout rate per segment and standardised cluster cen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16192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36: K-Means segments in PCA space, dropout rate per segment and standardised cluster centres</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The segments differ greatly in outcome although the algorithm never saw the target. The high-risk segment (19,878 students, 80.8% dropout) has the lowest GPA, the most failed units and weak attendance. The low-risk segment (28,879 students, only 3.3% dropout) has high GPA, almost no failures and heavy use of the library and LMS. The two middle segments are the most interesting: the "at-risk" segment has acceptable grades but poor attendance (61%) and assignment submission (58%) with 31.1% dropout, while the "moderate" segment attends well but fails more units, with 27.8% dropout. They need different interventions: engagement support for the first, academic tutoring for the second.</w:t>
      </w:r>
    </w:p>
    <w:p>
      <w:pPr>
        <w:pStyle w:val="Heading2"/>
        <w:keepNext/>
      </w:pPr>
      <w:r>
        <w:rPr>
          <w:rFonts w:ascii="Times New Roman" w:cs="Times New Roman" w:eastAsia="Times New Roman" w:hAnsi="Times New Roman"/>
        </w:rPr>
        <w:t xml:space="preserve">7.6 Scikit-learn Model Development</w:t>
      </w:r>
    </w:p>
    <w:p>
      <w:pPr>
        <w:spacing w:after="120" w:line="276"/>
        <w:jc w:val="both"/>
      </w:pPr>
      <w:r>
        <w:rPr>
          <w:rFonts w:ascii="Times New Roman" w:cs="Times New Roman" w:eastAsia="Times New Roman" w:hAnsi="Times New Roman"/>
          <w:sz w:val="22"/>
          <w:szCs w:val="22"/>
        </w:rPr>
        <w:t xml:space="preserve">Three classifiers were trained to predict dropout from the 32 predictors: logistic regression (scaled numerics, one-hot categoricals), a random forest (120 trees, depth 12) and a histogram gradient-boosting classifier. The data were split 80/20 with stratification on the target (80,000 training and 20,000 test students, random_state = 42). Because the target is imbalanced, models are judged on precision, recall, F1 and ROC-AUC as well as accuracy, with the majority-class baseline (68.0% accuracy) as reference. Five-fold stratified cross-validation of ROC-AUC on the training set checks stability.</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from sklearn.model_selection import train_test_split, cross_val_score, StratifiedKFold</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from sklearn.pipeline import Pipeline</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from sklearn.compose import ColumnTransformer</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from sklearn.linear_model import LogisticRegression</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X_tr, X_te, y_tr, y_te = train_test_split(X, y, test_size=0.20, stratify=y, random_state=42)</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model = Pipeline([("pre", ColumnTransformer([("cat", OneHotEncoder(handle_unknown="ignore"), cat_cols),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                                              ("num", StandardScaler(), num_cols)])),</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                  ("clf", LogisticRegression(max_iter=1000))]).fit(X_tr, y_tr)</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proba = model.predict_proba(X_te)[:, 1]</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print(roc_auc_score(y_te, proba), accuracy_score(y_te, proba &gt;= .5))</w:t>
      </w:r>
    </w:p>
    <w:p>
      <w:pPr>
        <w:keepNext/>
        <w:keepLines/>
        <w:pBdr>
          <w:left w:val="single" w:color="A6A6A6" w:sz="12" w:space="4"/>
        </w:pBdr>
        <w:shd w:fill="F2F2F2" w:color="auto" w:val="clear"/>
        <w:spacing w:after="0" w:line="228"/>
        <w:ind w:left="100"/>
      </w:pPr>
      <w:r>
        <w:rPr>
          <w:rFonts w:ascii="Consolas" w:cs="Consolas" w:eastAsia="Consolas" w:hAnsi="Consolas"/>
          <w:sz w:val="16"/>
          <w:szCs w:val="16"/>
        </w:rPr>
        <w:t xml:space="preserve">skf = StratifiedKFold(5, shuffle=True, random_state=42)</w:t>
      </w:r>
    </w:p>
    <w:p>
      <w:pPr>
        <w:keepNext w:val="false"/>
        <w:keepLines/>
        <w:pBdr>
          <w:left w:val="single" w:color="A6A6A6" w:sz="12" w:space="4"/>
        </w:pBdr>
        <w:shd w:fill="F2F2F2" w:color="auto" w:val="clear"/>
        <w:spacing w:after="0" w:line="228"/>
        <w:ind w:left="100"/>
      </w:pPr>
      <w:r>
        <w:rPr>
          <w:rFonts w:ascii="Consolas" w:cs="Consolas" w:eastAsia="Consolas" w:hAnsi="Consolas"/>
          <w:sz w:val="16"/>
          <w:szCs w:val="16"/>
        </w:rPr>
        <w:t xml:space="preserve">print(cross_val_score(model, X_tr, y_tr, cv=skf, scoring="roc_auc"))</w:t>
      </w:r>
    </w:p>
    <w:p>
      <w:pPr>
        <w:spacing w:after="80"/>
      </w:pPr>
    </w:p>
    <w:p>
      <w:pPr>
        <w:keepNext/>
        <w:spacing w:after="80" w:before="120"/>
        <w:jc w:val="center"/>
      </w:pPr>
      <w:r>
        <w:rPr>
          <w:rFonts w:ascii="Times New Roman" w:cs="Times New Roman" w:eastAsia="Times New Roman" w:hAnsi="Times New Roman"/>
          <w:b/>
          <w:bCs/>
          <w:sz w:val="20"/>
          <w:szCs w:val="20"/>
        </w:rPr>
        <w:t xml:space="preserve">Table 25: Model results on the 20% test set and 5-fold cross-validation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6"/>
        <w:gridCol w:w="842"/>
        <w:gridCol w:w="842"/>
        <w:gridCol w:w="842"/>
        <w:gridCol w:w="749"/>
        <w:gridCol w:w="842"/>
        <w:gridCol w:w="842"/>
        <w:gridCol w:w="842"/>
        <w:gridCol w:w="749"/>
        <w:gridCol w:w="842"/>
      </w:tblGrid>
      <w:tr>
        <w:trPr>
          <w:cantSplit/>
          <w:tblHeader/>
        </w:trPr>
        <w:tc>
          <w:tcPr>
            <w:tcW w:type="dxa" w:w="22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5"/>
                <w:szCs w:val="15"/>
              </w:rPr>
              <w:t xml:space="preserve">Model</w:t>
            </w:r>
          </w:p>
        </w:tc>
        <w:tc>
          <w:tcPr>
            <w:tcW w:type="dxa" w:w="8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Accuracy</w:t>
            </w:r>
          </w:p>
        </w:tc>
        <w:tc>
          <w:tcPr>
            <w:tcW w:type="dxa" w:w="8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Precision</w:t>
            </w:r>
          </w:p>
        </w:tc>
        <w:tc>
          <w:tcPr>
            <w:tcW w:type="dxa" w:w="8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Recall</w:t>
            </w:r>
          </w:p>
        </w:tc>
        <w:tc>
          <w:tcPr>
            <w:tcW w:type="dxa" w:w="7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F1</w:t>
            </w:r>
          </w:p>
        </w:tc>
        <w:tc>
          <w:tcPr>
            <w:tcW w:type="dxa" w:w="8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ROC-AUC</w:t>
            </w:r>
          </w:p>
        </w:tc>
        <w:tc>
          <w:tcPr>
            <w:tcW w:type="dxa" w:w="8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PR-AUC</w:t>
            </w:r>
          </w:p>
        </w:tc>
        <w:tc>
          <w:tcPr>
            <w:tcW w:type="dxa" w:w="8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CV AUC</w:t>
            </w:r>
          </w:p>
        </w:tc>
        <w:tc>
          <w:tcPr>
            <w:tcW w:type="dxa" w:w="7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CV std</w:t>
            </w:r>
          </w:p>
        </w:tc>
        <w:tc>
          <w:tcPr>
            <w:tcW w:type="dxa" w:w="8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Train AUC</w:t>
            </w:r>
          </w:p>
        </w:tc>
      </w:tr>
      <w:tr>
        <w:trPr>
          <w:cantSplit/>
        </w:trPr>
        <w:tc>
          <w:tcPr>
            <w:tcW w:type="dxa" w:w="22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Logistic Regression</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0.840</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0.781</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0.695</w:t>
            </w:r>
          </w:p>
        </w:tc>
        <w:tc>
          <w:tcPr>
            <w:tcW w:type="dxa" w:w="7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0.736</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0.903</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0.832</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0.904</w:t>
            </w:r>
          </w:p>
        </w:tc>
        <w:tc>
          <w:tcPr>
            <w:tcW w:type="dxa" w:w="7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0.0017</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0.904</w:t>
            </w:r>
          </w:p>
        </w:tc>
      </w:tr>
      <w:tr>
        <w:trPr>
          <w:cantSplit/>
        </w:trPr>
        <w:tc>
          <w:tcPr>
            <w:tcW w:type="dxa" w:w="224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Random Forest</w:t>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0.831</w:t>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0.788</w:t>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0.644</w:t>
            </w:r>
          </w:p>
        </w:tc>
        <w:tc>
          <w:tcPr>
            <w:tcW w:type="dxa" w:w="7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0.709</w:t>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0.894</w:t>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0.815</w:t>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0.893</w:t>
            </w:r>
          </w:p>
        </w:tc>
        <w:tc>
          <w:tcPr>
            <w:tcW w:type="dxa" w:w="7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0.0020</w:t>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0.922</w:t>
            </w:r>
          </w:p>
        </w:tc>
      </w:tr>
      <w:tr>
        <w:trPr>
          <w:cantSplit/>
        </w:trPr>
        <w:tc>
          <w:tcPr>
            <w:tcW w:type="dxa" w:w="224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Gradient Boosting</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0.839</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0.779</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0.692</w:t>
            </w:r>
          </w:p>
        </w:tc>
        <w:tc>
          <w:tcPr>
            <w:tcW w:type="dxa" w:w="7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0.733</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0.900</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0.826</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0.900</w:t>
            </w:r>
          </w:p>
        </w:tc>
        <w:tc>
          <w:tcPr>
            <w:tcW w:type="dxa" w:w="7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0.0016</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0.920</w:t>
            </w:r>
          </w:p>
        </w:tc>
      </w:tr>
      <w:tr>
        <w:trPr>
          <w:cantSplit/>
        </w:trPr>
        <w:tc>
          <w:tcPr>
            <w:tcW w:type="dxa" w:w="224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Majority-class baseline</w:t>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0.680</w:t>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0.000</w:t>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0.000</w:t>
            </w:r>
          </w:p>
        </w:tc>
        <w:tc>
          <w:tcPr>
            <w:tcW w:type="dxa" w:w="7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0.000</w:t>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0.500</w:t>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0.320</w:t>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
            </w:r>
          </w:p>
        </w:tc>
        <w:tc>
          <w:tcPr>
            <w:tcW w:type="dxa" w:w="7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
            </w:r>
          </w:p>
        </w:tc>
        <w:tc>
          <w:tcPr>
            <w:tcW w:type="dxa" w:w="84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
            </w:r>
          </w:p>
        </w:tc>
      </w:tr>
    </w:tbl>
    <w:p>
      <w:pPr>
        <w:spacing w:after="120"/>
      </w:pPr>
    </w:p>
    <w:p>
      <w:pPr>
        <w:keepNext/>
        <w:spacing w:after="40" w:before="80"/>
        <w:jc w:val="center"/>
      </w:pPr>
      <w:r>
        <w:drawing>
          <wp:inline distT="0" distB="0" distL="0" distR="0">
            <wp:extent cx="5905500" cy="1619250"/>
            <wp:effectExtent t="0" r="0" b="0" l="0"/>
            <wp:docPr id="1" name="u5_model_evaluation" descr="ROC curves, confusion matrix of the best model and precision-recall trade-off" title="ROC curves, confusion matrix of the best model and precision-recall 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16192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37: ROC curves, confusion matrix of the best model and precision-recall trade-off</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All three models are far better than the baseline (accuracy 0.84 against 0.68) and very close to one another (AUC 0.894 to 0.903). </w:t>
      </w:r>
      <w:r>
        <w:rPr>
          <w:rFonts w:ascii="Times New Roman" w:cs="Times New Roman" w:eastAsia="Times New Roman" w:hAnsi="Times New Roman"/>
          <w:b/>
          <w:bCs/>
          <w:sz w:val="21"/>
          <w:szCs w:val="21"/>
        </w:rPr>
        <w:t xml:space="preserve">The simplest model, logistic regression, is the best</w:t>
      </w:r>
      <w:r>
        <w:rPr>
          <w:rFonts w:ascii="Times New Roman" w:cs="Times New Roman" w:eastAsia="Times New Roman" w:hAnsi="Times New Roman"/>
          <w:sz w:val="21"/>
          <w:szCs w:val="21"/>
        </w:rPr>
        <w:t xml:space="preserve"> (AUC 0.903, accuracy 0.840, precision 0.781, recall 0.695, F1 0.736). The random forest and gradient boosting do no better and show a larger gap between training AUC (0.92) and test AUC (0.89-0.90), a sign of mild over-fitting, whereas for logistic regression train AUC (0.904) and test AUC match. This indicates that the relationships are largely additive and linear and that there are no strong hidden interactions to exploit. Cross-validation (0.904 +/- 0.0017) agrees with the test score, so the result is stable and not an accident of one split. Remaining errors (1,950 missed dropouts and 1,246 false alarms among 20,000 test students) reflect the heavy overlap seen in all earlier plots.</w:t>
      </w:r>
    </w:p>
    <w:p>
      <w:pPr>
        <w:keepNext/>
        <w:spacing w:after="80" w:before="120"/>
        <w:jc w:val="center"/>
      </w:pPr>
      <w:r>
        <w:rPr>
          <w:rFonts w:ascii="Times New Roman" w:cs="Times New Roman" w:eastAsia="Times New Roman" w:hAnsi="Times New Roman"/>
          <w:b/>
          <w:bCs/>
          <w:sz w:val="20"/>
          <w:szCs w:val="20"/>
        </w:rPr>
        <w:t xml:space="preserve">Table 26: Effect of the decision threshold (best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1928"/>
        <w:gridCol w:w="1928"/>
        <w:gridCol w:w="1926"/>
      </w:tblGrid>
      <w:tr>
        <w:trPr>
          <w:cantSplit/>
          <w:tblHeader/>
        </w:trPr>
        <w:tc>
          <w:tcPr>
            <w:tcW w:type="dxa" w:w="19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8"/>
                <w:szCs w:val="18"/>
              </w:rPr>
              <w:t xml:space="preserve">Threshold</w:t>
            </w:r>
          </w:p>
        </w:tc>
        <w:tc>
          <w:tcPr>
            <w:tcW w:type="dxa" w:w="19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Accuracy</w:t>
            </w:r>
          </w:p>
        </w:tc>
        <w:tc>
          <w:tcPr>
            <w:tcW w:type="dxa" w:w="19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Precision</w:t>
            </w:r>
          </w:p>
        </w:tc>
        <w:tc>
          <w:tcPr>
            <w:tcW w:type="dxa" w:w="19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Recall</w:t>
            </w:r>
          </w:p>
        </w:tc>
        <w:tc>
          <w:tcPr>
            <w:tcW w:type="dxa" w:w="192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8"/>
                <w:szCs w:val="18"/>
              </w:rPr>
              <w:t xml:space="preserve">F1</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0.2</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0.771</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0.594</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0.9</w:t>
            </w:r>
          </w:p>
        </w:tc>
        <w:tc>
          <w:tcPr>
            <w:tcW w:type="dxa" w:w="192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0.716</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0.3</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0.815</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0.667</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0.839</w:t>
            </w:r>
          </w:p>
        </w:tc>
        <w:tc>
          <w:tcPr>
            <w:tcW w:type="dxa" w:w="192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0.743</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0.4</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0.837</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0.733</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0.771</w:t>
            </w:r>
          </w:p>
        </w:tc>
        <w:tc>
          <w:tcPr>
            <w:tcW w:type="dxa" w:w="192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0.751</w:t>
            </w:r>
          </w:p>
        </w:tc>
      </w:tr>
      <w:tr>
        <w:trPr>
          <w:cantSplit/>
        </w:trPr>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0.5</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0.84</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0.781</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0.695</w:t>
            </w:r>
          </w:p>
        </w:tc>
        <w:tc>
          <w:tcPr>
            <w:tcW w:type="dxa" w:w="192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0.736</w:t>
            </w:r>
          </w:p>
        </w:tc>
      </w:tr>
      <w:tr>
        <w:trPr>
          <w:cantSplit/>
        </w:trP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8"/>
                <w:szCs w:val="18"/>
              </w:rPr>
              <w:t xml:space="preserve">0.6</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0.836</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0.834</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0.608</w:t>
            </w:r>
          </w:p>
        </w:tc>
        <w:tc>
          <w:tcPr>
            <w:tcW w:type="dxa" w:w="192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8"/>
                <w:szCs w:val="18"/>
              </w:rPr>
              <w:t xml:space="preserve">0.703</w:t>
            </w:r>
          </w:p>
        </w:tc>
      </w:tr>
    </w:tbl>
    <w:p>
      <w:pPr>
        <w:spacing w:after="120"/>
      </w:pPr>
    </w:p>
    <w:p>
      <w:pPr>
        <w:spacing w:after="120" w:line="276"/>
        <w:jc w:val="both"/>
      </w:pPr>
      <w:r>
        <w:rPr>
          <w:rFonts w:ascii="Times New Roman" w:cs="Times New Roman" w:eastAsia="Times New Roman" w:hAnsi="Times New Roman"/>
          <w:sz w:val="22"/>
          <w:szCs w:val="22"/>
        </w:rPr>
        <w:t xml:space="preserve">The default threshold of 0.5 gives recall of 69.5% at precision 78.1%. For an early-warning system, missing a student who will drop out is usually worse than a false alarm, so a lower threshold is sensible: at 0.3 recall rises to 83.9% while precision falls to 66.7%. The right threshold depends on the cost of support and the capacity of advisers.</w:t>
      </w:r>
    </w:p>
    <w:p>
      <w:pPr>
        <w:keepNext/>
        <w:spacing w:after="40" w:before="80"/>
        <w:jc w:val="center"/>
      </w:pPr>
      <w:r>
        <w:drawing>
          <wp:inline distT="0" distB="0" distL="0" distR="0">
            <wp:extent cx="3724275" cy="3238500"/>
            <wp:effectExtent t="0" r="0" b="0" l="0"/>
            <wp:docPr id="1" name="u5_feature_importance" descr="Permutation importance of the best model (drop in ROC-AUC when a feature is shuffled)" title="Permutation importance of the best model (drop in ROC-AUC when a feature is shuff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724275" cy="32385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38: Permutation importance of the best model (drop in ROC-AUC when a feature is shuffled)</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Semester-1 GPA is by far the most important feature (AUC falls by 0.058 when it is shuffled), followed by semester-2 GPA, attendance, tuition status, failed units, LMS logins, family income and missed deadlines. Permutation importance understates features that share information, such as the two GPAs and failed units, so the real weight of academic performance is larger than the individual bars suggest. The ranking agrees with the correlation and effect-size analysis of Unit 4.</w:t>
      </w:r>
    </w:p>
    <w:p>
      <w:pPr>
        <w:keepNext/>
        <w:spacing w:after="80" w:before="120"/>
        <w:jc w:val="center"/>
      </w:pPr>
      <w:r>
        <w:rPr>
          <w:rFonts w:ascii="Times New Roman" w:cs="Times New Roman" w:eastAsia="Times New Roman" w:hAnsi="Times New Roman"/>
          <w:b/>
          <w:bCs/>
          <w:sz w:val="20"/>
          <w:szCs w:val="20"/>
        </w:rPr>
        <w:t xml:space="preserve">Table 27: Risk deciles of the best model on the test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928"/>
        <w:gridCol w:w="2217"/>
        <w:gridCol w:w="2216"/>
      </w:tblGrid>
      <w:tr>
        <w:trPr>
          <w:cantSplit/>
          <w:tblHeader/>
        </w:trPr>
        <w:tc>
          <w:tcPr>
            <w:tcW w:type="dxa" w:w="327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7"/>
                <w:szCs w:val="17"/>
              </w:rPr>
              <w:t xml:space="preserve">Decile (10 = highest risk)</w:t>
            </w:r>
          </w:p>
        </w:tc>
        <w:tc>
          <w:tcPr>
            <w:tcW w:type="dxa" w:w="19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Students</w:t>
            </w:r>
          </w:p>
        </w:tc>
        <w:tc>
          <w:tcPr>
            <w:tcW w:type="dxa" w:w="22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Predicted risk %</w:t>
            </w:r>
          </w:p>
        </w:tc>
        <w:tc>
          <w:tcPr>
            <w:tcW w:type="dxa" w:w="221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Actual dropout %</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2,000</w:t>
            </w:r>
          </w:p>
        </w:tc>
        <w:tc>
          <w:tcPr>
            <w:tcW w:type="dxa" w:w="221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0.48</w:t>
            </w:r>
          </w:p>
        </w:tc>
        <w:tc>
          <w:tcPr>
            <w:tcW w:type="dxa" w:w="22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1.15</w:t>
            </w:r>
          </w:p>
        </w:tc>
      </w:tr>
      <w:tr>
        <w:trPr>
          <w:cantSplit/>
        </w:trPr>
        <w:tc>
          <w:tcPr>
            <w:tcW w:type="dxa" w:w="327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2</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2,000</w:t>
            </w:r>
          </w:p>
        </w:tc>
        <w:tc>
          <w:tcPr>
            <w:tcW w:type="dxa" w:w="221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1.69</w:t>
            </w:r>
          </w:p>
        </w:tc>
        <w:tc>
          <w:tcPr>
            <w:tcW w:type="dxa" w:w="221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1.9</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3</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2,000</w:t>
            </w:r>
          </w:p>
        </w:tc>
        <w:tc>
          <w:tcPr>
            <w:tcW w:type="dxa" w:w="221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3.99</w:t>
            </w:r>
          </w:p>
        </w:tc>
        <w:tc>
          <w:tcPr>
            <w:tcW w:type="dxa" w:w="22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4.05</w:t>
            </w:r>
          </w:p>
        </w:tc>
      </w:tr>
      <w:tr>
        <w:trPr>
          <w:cantSplit/>
        </w:trPr>
        <w:tc>
          <w:tcPr>
            <w:tcW w:type="dxa" w:w="327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4</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2,000</w:t>
            </w:r>
          </w:p>
        </w:tc>
        <w:tc>
          <w:tcPr>
            <w:tcW w:type="dxa" w:w="221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7.73</w:t>
            </w:r>
          </w:p>
        </w:tc>
        <w:tc>
          <w:tcPr>
            <w:tcW w:type="dxa" w:w="221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8.1</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5</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2,000</w:t>
            </w:r>
          </w:p>
        </w:tc>
        <w:tc>
          <w:tcPr>
            <w:tcW w:type="dxa" w:w="221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14.0</w:t>
            </w:r>
          </w:p>
        </w:tc>
        <w:tc>
          <w:tcPr>
            <w:tcW w:type="dxa" w:w="22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14.0</w:t>
            </w:r>
          </w:p>
        </w:tc>
      </w:tr>
      <w:tr>
        <w:trPr>
          <w:cantSplit/>
        </w:trPr>
        <w:tc>
          <w:tcPr>
            <w:tcW w:type="dxa" w:w="327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6</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2,000</w:t>
            </w:r>
          </w:p>
        </w:tc>
        <w:tc>
          <w:tcPr>
            <w:tcW w:type="dxa" w:w="221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24.09</w:t>
            </w:r>
          </w:p>
        </w:tc>
        <w:tc>
          <w:tcPr>
            <w:tcW w:type="dxa" w:w="221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23.1</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7</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2,000</w:t>
            </w:r>
          </w:p>
        </w:tc>
        <w:tc>
          <w:tcPr>
            <w:tcW w:type="dxa" w:w="221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38.09</w:t>
            </w:r>
          </w:p>
        </w:tc>
        <w:tc>
          <w:tcPr>
            <w:tcW w:type="dxa" w:w="22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37.5</w:t>
            </w:r>
          </w:p>
        </w:tc>
      </w:tr>
      <w:tr>
        <w:trPr>
          <w:cantSplit/>
        </w:trPr>
        <w:tc>
          <w:tcPr>
            <w:tcW w:type="dxa" w:w="327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8</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2,000</w:t>
            </w:r>
          </w:p>
        </w:tc>
        <w:tc>
          <w:tcPr>
            <w:tcW w:type="dxa" w:w="221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56.81</w:t>
            </w:r>
          </w:p>
        </w:tc>
        <w:tc>
          <w:tcPr>
            <w:tcW w:type="dxa" w:w="221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57.15</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9</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2,000</w:t>
            </w:r>
          </w:p>
        </w:tc>
        <w:tc>
          <w:tcPr>
            <w:tcW w:type="dxa" w:w="221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77.36</w:t>
            </w:r>
          </w:p>
        </w:tc>
        <w:tc>
          <w:tcPr>
            <w:tcW w:type="dxa" w:w="221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78.9</w:t>
            </w:r>
          </w:p>
        </w:tc>
      </w:tr>
      <w:tr>
        <w:trPr>
          <w:cantSplit/>
        </w:trPr>
        <w:tc>
          <w:tcPr>
            <w:tcW w:type="dxa" w:w="327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10</w:t>
            </w:r>
          </w:p>
        </w:tc>
        <w:tc>
          <w:tcPr>
            <w:tcW w:type="dxa" w:w="1928"/>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2,000</w:t>
            </w:r>
          </w:p>
        </w:tc>
        <w:tc>
          <w:tcPr>
            <w:tcW w:type="dxa" w:w="221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94.12</w:t>
            </w:r>
          </w:p>
        </w:tc>
        <w:tc>
          <w:tcPr>
            <w:tcW w:type="dxa" w:w="221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94.2</w:t>
            </w:r>
          </w:p>
        </w:tc>
      </w:tr>
    </w:tbl>
    <w:p>
      <w:pPr>
        <w:spacing w:after="120"/>
      </w:pPr>
    </w:p>
    <w:p>
      <w:pPr>
        <w:keepNext/>
        <w:spacing w:after="40" w:before="80"/>
        <w:jc w:val="center"/>
      </w:pPr>
      <w:r>
        <w:drawing>
          <wp:inline distT="0" distB="0" distL="0" distR="0">
            <wp:extent cx="3810000" cy="2085975"/>
            <wp:effectExtent t="0" r="0" b="0" l="0"/>
            <wp:docPr id="1" name="u5_risk_deciles" descr="Actual dropout rate by predicted-risk decile" title="Actual dropout rate by predicted-risk dec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810000" cy="20859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39: Actual dropout rate by predicted-risk decile</w:t>
      </w: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Ranking students by predicted risk works very well. Actual dropout rises from 1.1% in the lowest-risk decile to 94.2% in the highest, and the predicted risk is well calibrated (for example 57.2% observed against 56.8% predicted in decile 8). If advisers could contact only the 20% of students with the highest predicted risk, they would reach 54.1% of all students who actually drop out, against 20% by random selection (a lift of 2.7).</w:t>
      </w:r>
    </w:p>
    <w:p>
      <w:pPr>
        <w:pStyle w:val="Heading2"/>
        <w:keepNext/>
      </w:pPr>
      <w:r>
        <w:rPr>
          <w:rFonts w:ascii="Times New Roman" w:cs="Times New Roman" w:eastAsia="Times New Roman" w:hAnsi="Times New Roman"/>
        </w:rPr>
        <w:t xml:space="preserve">7.7 Fairness Audit and Sensitive Attributes</w:t>
      </w:r>
    </w:p>
    <w:p>
      <w:pPr>
        <w:spacing w:after="120" w:line="276"/>
        <w:jc w:val="both"/>
      </w:pPr>
      <w:r>
        <w:rPr>
          <w:rFonts w:ascii="Times New Roman" w:cs="Times New Roman" w:eastAsia="Times New Roman" w:hAnsi="Times New Roman"/>
          <w:sz w:val="22"/>
          <w:szCs w:val="22"/>
        </w:rPr>
        <w:t xml:space="preserve">A model that is accurate on average can still treat groups differently. The best model's predictions on the test set were therefore compared across gender, family income, origin, disability and first-generation status. For each group the table reports the actual dropout rate, the share of students flagged, recall (true-positive rate) and false-positive rate.</w:t>
      </w:r>
    </w:p>
    <w:p>
      <w:pPr>
        <w:keepNext/>
        <w:spacing w:after="80" w:before="120"/>
        <w:jc w:val="center"/>
      </w:pPr>
      <w:r>
        <w:rPr>
          <w:rFonts w:ascii="Times New Roman" w:cs="Times New Roman" w:eastAsia="Times New Roman" w:hAnsi="Times New Roman"/>
          <w:b/>
          <w:bCs/>
          <w:sz w:val="20"/>
          <w:szCs w:val="20"/>
        </w:rPr>
        <w:t xml:space="preserve">Table 28: Fairness audit of the best model (threshold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5"/>
        <w:gridCol w:w="1606"/>
        <w:gridCol w:w="803"/>
        <w:gridCol w:w="1160"/>
        <w:gridCol w:w="982"/>
        <w:gridCol w:w="1160"/>
        <w:gridCol w:w="1249"/>
        <w:gridCol w:w="893"/>
      </w:tblGrid>
      <w:tr>
        <w:trPr>
          <w:cantSplit/>
          <w:tblHeader/>
        </w:trPr>
        <w:tc>
          <w:tcPr>
            <w:tcW w:type="dxa" w:w="178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5"/>
                <w:szCs w:val="15"/>
              </w:rPr>
              <w:t xml:space="preserve">Attribute</w:t>
            </w:r>
          </w:p>
        </w:tc>
        <w:tc>
          <w:tcPr>
            <w:tcW w:type="dxa" w:w="16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5"/>
                <w:szCs w:val="15"/>
              </w:rPr>
              <w:t xml:space="preserve">Group</w:t>
            </w:r>
          </w:p>
        </w:tc>
        <w:tc>
          <w:tcPr>
            <w:tcW w:type="dxa" w:w="80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n</w:t>
            </w:r>
          </w:p>
        </w:tc>
        <w:tc>
          <w:tcPr>
            <w:tcW w:type="dxa" w:w="11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Actual dropout %</w:t>
            </w:r>
          </w:p>
        </w:tc>
        <w:tc>
          <w:tcPr>
            <w:tcW w:type="dxa" w:w="98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Flagged %</w:t>
            </w:r>
          </w:p>
        </w:tc>
        <w:tc>
          <w:tcPr>
            <w:tcW w:type="dxa" w:w="11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Recall %</w:t>
            </w:r>
          </w:p>
        </w:tc>
        <w:tc>
          <w:tcPr>
            <w:tcW w:type="dxa" w:w="12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False-pos. %</w:t>
            </w:r>
          </w:p>
        </w:tc>
        <w:tc>
          <w:tcPr>
            <w:tcW w:type="dxa" w:w="89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5"/>
                <w:szCs w:val="15"/>
              </w:rPr>
              <w:t xml:space="preserve">Accuracy %</w:t>
            </w:r>
          </w:p>
        </w:tc>
      </w:tr>
      <w:tr>
        <w:trPr>
          <w:cantSplit/>
        </w:trPr>
        <w:tc>
          <w:tcPr>
            <w:tcW w:type="dxa" w:w="178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gender</w:t>
            </w:r>
          </w:p>
        </w:tc>
        <w:tc>
          <w:tcPr>
            <w:tcW w:type="dxa" w:w="16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Female</w:t>
            </w:r>
          </w:p>
        </w:tc>
        <w:tc>
          <w:tcPr>
            <w:tcW w:type="dxa" w:w="80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10,117</w:t>
            </w:r>
          </w:p>
        </w:tc>
        <w:tc>
          <w:tcPr>
            <w:tcW w:type="dxa" w:w="11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31.6</w:t>
            </w:r>
          </w:p>
        </w:tc>
        <w:tc>
          <w:tcPr>
            <w:tcW w:type="dxa" w:w="9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28.3</w:t>
            </w:r>
          </w:p>
        </w:tc>
        <w:tc>
          <w:tcPr>
            <w:tcW w:type="dxa" w:w="11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69.6</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9.3</w:t>
            </w:r>
          </w:p>
        </w:tc>
        <w:tc>
          <w:tcPr>
            <w:tcW w:type="dxa" w:w="89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84.0</w:t>
            </w:r>
          </w:p>
        </w:tc>
      </w:tr>
      <w:tr>
        <w:trPr>
          <w:cantSplit/>
        </w:trPr>
        <w:tc>
          <w:tcPr>
            <w:tcW w:type="dxa" w:w="178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gender</w:t>
            </w:r>
          </w:p>
        </w:tc>
        <w:tc>
          <w:tcPr>
            <w:tcW w:type="dxa" w:w="16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Male</w:t>
            </w:r>
          </w:p>
        </w:tc>
        <w:tc>
          <w:tcPr>
            <w:tcW w:type="dxa" w:w="80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9,530</w:t>
            </w:r>
          </w:p>
        </w:tc>
        <w:tc>
          <w:tcPr>
            <w:tcW w:type="dxa" w:w="11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32.4</w:t>
            </w:r>
          </w:p>
        </w:tc>
        <w:tc>
          <w:tcPr>
            <w:tcW w:type="dxa" w:w="9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28.7</w:t>
            </w:r>
          </w:p>
        </w:tc>
        <w:tc>
          <w:tcPr>
            <w:tcW w:type="dxa" w:w="11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69.4</w:t>
            </w:r>
          </w:p>
        </w:tc>
        <w:tc>
          <w:tcPr>
            <w:tcW w:type="dxa" w:w="12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9.2</w:t>
            </w:r>
          </w:p>
        </w:tc>
        <w:tc>
          <w:tcPr>
            <w:tcW w:type="dxa" w:w="89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83.9</w:t>
            </w:r>
          </w:p>
        </w:tc>
      </w:tr>
      <w:tr>
        <w:trPr>
          <w:cantSplit/>
        </w:trPr>
        <w:tc>
          <w:tcPr>
            <w:tcW w:type="dxa" w:w="178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gender</w:t>
            </w:r>
          </w:p>
        </w:tc>
        <w:tc>
          <w:tcPr>
            <w:tcW w:type="dxa" w:w="16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Other</w:t>
            </w:r>
          </w:p>
        </w:tc>
        <w:tc>
          <w:tcPr>
            <w:tcW w:type="dxa" w:w="80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353</w:t>
            </w:r>
          </w:p>
        </w:tc>
        <w:tc>
          <w:tcPr>
            <w:tcW w:type="dxa" w:w="11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32.3</w:t>
            </w:r>
          </w:p>
        </w:tc>
        <w:tc>
          <w:tcPr>
            <w:tcW w:type="dxa" w:w="9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27.8</w:t>
            </w:r>
          </w:p>
        </w:tc>
        <w:tc>
          <w:tcPr>
            <w:tcW w:type="dxa" w:w="11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72.8</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6.3</w:t>
            </w:r>
          </w:p>
        </w:tc>
        <w:tc>
          <w:tcPr>
            <w:tcW w:type="dxa" w:w="89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87.0</w:t>
            </w:r>
          </w:p>
        </w:tc>
      </w:tr>
      <w:tr>
        <w:trPr>
          <w:cantSplit/>
        </w:trPr>
        <w:tc>
          <w:tcPr>
            <w:tcW w:type="dxa" w:w="178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family_income_level</w:t>
            </w:r>
          </w:p>
        </w:tc>
        <w:tc>
          <w:tcPr>
            <w:tcW w:type="dxa" w:w="16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High</w:t>
            </w:r>
          </w:p>
        </w:tc>
        <w:tc>
          <w:tcPr>
            <w:tcW w:type="dxa" w:w="80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4,975</w:t>
            </w:r>
          </w:p>
        </w:tc>
        <w:tc>
          <w:tcPr>
            <w:tcW w:type="dxa" w:w="11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19.8</w:t>
            </w:r>
          </w:p>
        </w:tc>
        <w:tc>
          <w:tcPr>
            <w:tcW w:type="dxa" w:w="9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15.0</w:t>
            </w:r>
          </w:p>
        </w:tc>
        <w:tc>
          <w:tcPr>
            <w:tcW w:type="dxa" w:w="11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55.7</w:t>
            </w:r>
          </w:p>
        </w:tc>
        <w:tc>
          <w:tcPr>
            <w:tcW w:type="dxa" w:w="12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5.0</w:t>
            </w:r>
          </w:p>
        </w:tc>
        <w:tc>
          <w:tcPr>
            <w:tcW w:type="dxa" w:w="89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87.2</w:t>
            </w:r>
          </w:p>
        </w:tc>
      </w:tr>
      <w:tr>
        <w:trPr>
          <w:cantSplit/>
        </w:trPr>
        <w:tc>
          <w:tcPr>
            <w:tcW w:type="dxa" w:w="178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family_income_level</w:t>
            </w:r>
          </w:p>
        </w:tc>
        <w:tc>
          <w:tcPr>
            <w:tcW w:type="dxa" w:w="16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Low</w:t>
            </w:r>
          </w:p>
        </w:tc>
        <w:tc>
          <w:tcPr>
            <w:tcW w:type="dxa" w:w="80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6,932</w:t>
            </w:r>
          </w:p>
        </w:tc>
        <w:tc>
          <w:tcPr>
            <w:tcW w:type="dxa" w:w="11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42.9</w:t>
            </w:r>
          </w:p>
        </w:tc>
        <w:tc>
          <w:tcPr>
            <w:tcW w:type="dxa" w:w="9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41.0</w:t>
            </w:r>
          </w:p>
        </w:tc>
        <w:tc>
          <w:tcPr>
            <w:tcW w:type="dxa" w:w="11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76.8</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14.1</w:t>
            </w:r>
          </w:p>
        </w:tc>
        <w:tc>
          <w:tcPr>
            <w:tcW w:type="dxa" w:w="89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82.0</w:t>
            </w:r>
          </w:p>
        </w:tc>
      </w:tr>
      <w:tr>
        <w:trPr>
          <w:cantSplit/>
        </w:trPr>
        <w:tc>
          <w:tcPr>
            <w:tcW w:type="dxa" w:w="178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family_income_level</w:t>
            </w:r>
          </w:p>
        </w:tc>
        <w:tc>
          <w:tcPr>
            <w:tcW w:type="dxa" w:w="16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Middle</w:t>
            </w:r>
          </w:p>
        </w:tc>
        <w:tc>
          <w:tcPr>
            <w:tcW w:type="dxa" w:w="80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8,093</w:t>
            </w:r>
          </w:p>
        </w:tc>
        <w:tc>
          <w:tcPr>
            <w:tcW w:type="dxa" w:w="11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30.2</w:t>
            </w:r>
          </w:p>
        </w:tc>
        <w:tc>
          <w:tcPr>
            <w:tcW w:type="dxa" w:w="9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26.0</w:t>
            </w:r>
          </w:p>
        </w:tc>
        <w:tc>
          <w:tcPr>
            <w:tcW w:type="dxa" w:w="11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66.3</w:t>
            </w:r>
          </w:p>
        </w:tc>
        <w:tc>
          <w:tcPr>
            <w:tcW w:type="dxa" w:w="12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8.6</w:t>
            </w:r>
          </w:p>
        </w:tc>
        <w:tc>
          <w:tcPr>
            <w:tcW w:type="dxa" w:w="89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83.8</w:t>
            </w:r>
          </w:p>
        </w:tc>
      </w:tr>
      <w:tr>
        <w:trPr>
          <w:cantSplit/>
        </w:trPr>
        <w:tc>
          <w:tcPr>
            <w:tcW w:type="dxa" w:w="178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intl</w:t>
            </w:r>
          </w:p>
        </w:tc>
        <w:tc>
          <w:tcPr>
            <w:tcW w:type="dxa" w:w="16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Domestic</w:t>
            </w:r>
          </w:p>
        </w:tc>
        <w:tc>
          <w:tcPr>
            <w:tcW w:type="dxa" w:w="80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16,409</w:t>
            </w:r>
          </w:p>
        </w:tc>
        <w:tc>
          <w:tcPr>
            <w:tcW w:type="dxa" w:w="11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31.8</w:t>
            </w:r>
          </w:p>
        </w:tc>
        <w:tc>
          <w:tcPr>
            <w:tcW w:type="dxa" w:w="9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28.5</w:t>
            </w:r>
          </w:p>
        </w:tc>
        <w:tc>
          <w:tcPr>
            <w:tcW w:type="dxa" w:w="11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69.8</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9.3</w:t>
            </w:r>
          </w:p>
        </w:tc>
        <w:tc>
          <w:tcPr>
            <w:tcW w:type="dxa" w:w="89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84.1</w:t>
            </w:r>
          </w:p>
        </w:tc>
      </w:tr>
      <w:tr>
        <w:trPr>
          <w:cantSplit/>
        </w:trPr>
        <w:tc>
          <w:tcPr>
            <w:tcW w:type="dxa" w:w="178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intl</w:t>
            </w:r>
          </w:p>
        </w:tc>
        <w:tc>
          <w:tcPr>
            <w:tcW w:type="dxa" w:w="16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International</w:t>
            </w:r>
          </w:p>
        </w:tc>
        <w:tc>
          <w:tcPr>
            <w:tcW w:type="dxa" w:w="80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3,591</w:t>
            </w:r>
          </w:p>
        </w:tc>
        <w:tc>
          <w:tcPr>
            <w:tcW w:type="dxa" w:w="11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33.1</w:t>
            </w:r>
          </w:p>
        </w:tc>
        <w:tc>
          <w:tcPr>
            <w:tcW w:type="dxa" w:w="9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28.3</w:t>
            </w:r>
          </w:p>
        </w:tc>
        <w:tc>
          <w:tcPr>
            <w:tcW w:type="dxa" w:w="11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68.4</w:t>
            </w:r>
          </w:p>
        </w:tc>
        <w:tc>
          <w:tcPr>
            <w:tcW w:type="dxa" w:w="12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8.5</w:t>
            </w:r>
          </w:p>
        </w:tc>
        <w:tc>
          <w:tcPr>
            <w:tcW w:type="dxa" w:w="89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83.8</w:t>
            </w:r>
          </w:p>
        </w:tc>
      </w:tr>
      <w:tr>
        <w:trPr>
          <w:cantSplit/>
        </w:trPr>
        <w:tc>
          <w:tcPr>
            <w:tcW w:type="dxa" w:w="178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dis</w:t>
            </w:r>
          </w:p>
        </w:tc>
        <w:tc>
          <w:tcPr>
            <w:tcW w:type="dxa" w:w="16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Disability</w:t>
            </w:r>
          </w:p>
        </w:tc>
        <w:tc>
          <w:tcPr>
            <w:tcW w:type="dxa" w:w="80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4,187</w:t>
            </w:r>
          </w:p>
        </w:tc>
        <w:tc>
          <w:tcPr>
            <w:tcW w:type="dxa" w:w="11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36.4</w:t>
            </w:r>
          </w:p>
        </w:tc>
        <w:tc>
          <w:tcPr>
            <w:tcW w:type="dxa" w:w="9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33.8</w:t>
            </w:r>
          </w:p>
        </w:tc>
        <w:tc>
          <w:tcPr>
            <w:tcW w:type="dxa" w:w="11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73.8</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10.8</w:t>
            </w:r>
          </w:p>
        </w:tc>
        <w:tc>
          <w:tcPr>
            <w:tcW w:type="dxa" w:w="89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83.6</w:t>
            </w:r>
          </w:p>
        </w:tc>
      </w:tr>
      <w:tr>
        <w:trPr>
          <w:cantSplit/>
        </w:trPr>
        <w:tc>
          <w:tcPr>
            <w:tcW w:type="dxa" w:w="178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dis</w:t>
            </w:r>
          </w:p>
        </w:tc>
        <w:tc>
          <w:tcPr>
            <w:tcW w:type="dxa" w:w="16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No disability</w:t>
            </w:r>
          </w:p>
        </w:tc>
        <w:tc>
          <w:tcPr>
            <w:tcW w:type="dxa" w:w="80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15,813</w:t>
            </w:r>
          </w:p>
        </w:tc>
        <w:tc>
          <w:tcPr>
            <w:tcW w:type="dxa" w:w="11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30.8</w:t>
            </w:r>
          </w:p>
        </w:tc>
        <w:tc>
          <w:tcPr>
            <w:tcW w:type="dxa" w:w="9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27.1</w:t>
            </w:r>
          </w:p>
        </w:tc>
        <w:tc>
          <w:tcPr>
            <w:tcW w:type="dxa" w:w="11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68.2</w:t>
            </w:r>
          </w:p>
        </w:tc>
        <w:tc>
          <w:tcPr>
            <w:tcW w:type="dxa" w:w="12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8.8</w:t>
            </w:r>
          </w:p>
        </w:tc>
        <w:tc>
          <w:tcPr>
            <w:tcW w:type="dxa" w:w="89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84.1</w:t>
            </w:r>
          </w:p>
        </w:tc>
      </w:tr>
      <w:tr>
        <w:trPr>
          <w:cantSplit/>
        </w:trPr>
        <w:tc>
          <w:tcPr>
            <w:tcW w:type="dxa" w:w="1785"/>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fg</w:t>
            </w:r>
          </w:p>
        </w:tc>
        <w:tc>
          <w:tcPr>
            <w:tcW w:type="dxa" w:w="1606"/>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First-gen</w:t>
            </w:r>
          </w:p>
        </w:tc>
        <w:tc>
          <w:tcPr>
            <w:tcW w:type="dxa" w:w="80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8,383</w:t>
            </w:r>
          </w:p>
        </w:tc>
        <w:tc>
          <w:tcPr>
            <w:tcW w:type="dxa" w:w="11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37.3</w:t>
            </w:r>
          </w:p>
        </w:tc>
        <w:tc>
          <w:tcPr>
            <w:tcW w:type="dxa" w:w="98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34.5</w:t>
            </w:r>
          </w:p>
        </w:tc>
        <w:tc>
          <w:tcPr>
            <w:tcW w:type="dxa" w:w="1160"/>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73.9</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11.0</w:t>
            </w:r>
          </w:p>
        </w:tc>
        <w:tc>
          <w:tcPr>
            <w:tcW w:type="dxa" w:w="893"/>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83.3</w:t>
            </w:r>
          </w:p>
        </w:tc>
      </w:tr>
      <w:tr>
        <w:trPr>
          <w:cantSplit/>
        </w:trPr>
        <w:tc>
          <w:tcPr>
            <w:tcW w:type="dxa" w:w="1785"/>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fg</w:t>
            </w:r>
          </w:p>
        </w:tc>
        <w:tc>
          <w:tcPr>
            <w:tcW w:type="dxa" w:w="1606"/>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5"/>
                <w:szCs w:val="15"/>
              </w:rPr>
              <w:t xml:space="preserve">Not first-gen</w:t>
            </w:r>
          </w:p>
        </w:tc>
        <w:tc>
          <w:tcPr>
            <w:tcW w:type="dxa" w:w="80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11,617</w:t>
            </w:r>
          </w:p>
        </w:tc>
        <w:tc>
          <w:tcPr>
            <w:tcW w:type="dxa" w:w="11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28.2</w:t>
            </w:r>
          </w:p>
        </w:tc>
        <w:tc>
          <w:tcPr>
            <w:tcW w:type="dxa" w:w="98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24.2</w:t>
            </w:r>
          </w:p>
        </w:tc>
        <w:tc>
          <w:tcPr>
            <w:tcW w:type="dxa" w:w="1160"/>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65.4</w:t>
            </w:r>
          </w:p>
        </w:tc>
        <w:tc>
          <w:tcPr>
            <w:tcW w:type="dxa" w:w="12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8.0</w:t>
            </w:r>
          </w:p>
        </w:tc>
        <w:tc>
          <w:tcPr>
            <w:tcW w:type="dxa" w:w="893"/>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5"/>
                <w:szCs w:val="15"/>
              </w:rPr>
              <w:t xml:space="preserve">84.5</w:t>
            </w:r>
          </w:p>
        </w:tc>
      </w:tr>
    </w:tbl>
    <w:p>
      <w:pPr>
        <w:spacing w:after="120"/>
      </w:pPr>
    </w:p>
    <w:p>
      <w:pPr>
        <w:keepNext/>
        <w:spacing w:after="40" w:before="80"/>
        <w:jc w:val="center"/>
      </w:pPr>
      <w:r>
        <w:drawing>
          <wp:inline distT="0" distB="0" distL="0" distR="0">
            <wp:extent cx="5334000" cy="1838325"/>
            <wp:effectExtent t="0" r="0" b="0" l="0"/>
            <wp:docPr id="1" name="u5_fairness" descr="Recall and false-positive rate of the model by group" title="Recall and false-positive rate of the model b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18383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40: Recall and false-positive rate of the model by group</w:t>
      </w:r>
    </w:p>
    <w:p>
      <w:pPr>
        <w:keepNext/>
        <w:spacing w:after="80" w:before="120"/>
        <w:jc w:val="center"/>
      </w:pPr>
      <w:r>
        <w:rPr>
          <w:rFonts w:ascii="Times New Roman" w:cs="Times New Roman" w:eastAsia="Times New Roman" w:hAnsi="Times New Roman"/>
          <w:b/>
          <w:bCs/>
          <w:sz w:val="20"/>
          <w:szCs w:val="20"/>
        </w:rPr>
        <w:t xml:space="preserve">Table 29: Does removing sensitive attributes change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349"/>
        <w:gridCol w:w="1349"/>
        <w:gridCol w:w="1831"/>
        <w:gridCol w:w="1832"/>
      </w:tblGrid>
      <w:tr>
        <w:trPr>
          <w:cantSplit/>
          <w:tblHeader/>
        </w:trPr>
        <w:tc>
          <w:tcPr>
            <w:tcW w:type="dxa" w:w="327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left"/>
            </w:pPr>
            <w:r>
              <w:rPr>
                <w:rFonts w:ascii="Times New Roman" w:cs="Times New Roman" w:eastAsia="Times New Roman" w:hAnsi="Times New Roman"/>
                <w:b/>
                <w:bCs/>
                <w:color w:val="FFFFFF"/>
                <w:sz w:val="17"/>
                <w:szCs w:val="17"/>
              </w:rPr>
              <w:t xml:space="preserve">Model</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ROC-AUC</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Accuracy</w:t>
            </w:r>
          </w:p>
        </w:tc>
        <w:tc>
          <w:tcPr>
            <w:tcW w:type="dxa" w:w="183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Recall (Low income) %</w:t>
            </w:r>
          </w:p>
        </w:tc>
        <w:tc>
          <w:tcPr>
            <w:tcW w:type="dxa" w:w="18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tcPr>
          <w:p>
            <w:pPr>
              <w:jc w:val="center"/>
            </w:pPr>
            <w:r>
              <w:rPr>
                <w:rFonts w:ascii="Times New Roman" w:cs="Times New Roman" w:eastAsia="Times New Roman" w:hAnsi="Times New Roman"/>
                <w:b/>
                <w:bCs/>
                <w:color w:val="FFFFFF"/>
                <w:sz w:val="17"/>
                <w:szCs w:val="17"/>
              </w:rPr>
              <w:t xml:space="preserve">Recall (High income) %</w:t>
            </w:r>
          </w:p>
        </w:tc>
      </w:tr>
      <w:tr>
        <w:trPr>
          <w:cantSplit/>
        </w:trPr>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With all 32 features</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0.9031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0.8402</w:t>
            </w:r>
          </w:p>
        </w:tc>
        <w:tc>
          <w:tcPr>
            <w:tcW w:type="dxa" w:w="1831"/>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76.8</w:t>
            </w:r>
          </w:p>
        </w:tc>
        <w:tc>
          <w:tcPr>
            <w:tcW w:type="dxa" w:w="1832"/>
            <w:tcBorders>
              <w:top w:val="single" w:color="BFBFBF" w:sz="4"/>
              <w:left w:val="single" w:color="BFBFBF" w:sz="4"/>
              <w:bottom w:val="single" w:color="BFBFBF" w:sz="4"/>
              <w:right w:val="single" w:color="BFBFBF" w:sz="4"/>
            </w:tcBorders>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55.7</w:t>
            </w:r>
          </w:p>
        </w:tc>
      </w:tr>
      <w:tr>
        <w:trPr>
          <w:cantSplit/>
        </w:trPr>
        <w:tc>
          <w:tcPr>
            <w:tcW w:type="dxa" w:w="3277"/>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left"/>
            </w:pPr>
            <w:r>
              <w:rPr>
                <w:rFonts w:ascii="Times New Roman" w:cs="Times New Roman" w:eastAsia="Times New Roman" w:hAnsi="Times New Roman"/>
                <w:sz w:val="17"/>
                <w:szCs w:val="17"/>
              </w:rPr>
              <w:t xml:space="preserve">Without 5 sensitive attributes</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0.9023</w:t>
            </w:r>
          </w:p>
        </w:tc>
        <w:tc>
          <w:tcPr>
            <w:tcW w:type="dxa" w:w="1349"/>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0.8400</w:t>
            </w:r>
          </w:p>
        </w:tc>
        <w:tc>
          <w:tcPr>
            <w:tcW w:type="dxa" w:w="1831"/>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76.5</w:t>
            </w:r>
          </w:p>
        </w:tc>
        <w:tc>
          <w:tcPr>
            <w:tcW w:type="dxa" w:w="1832"/>
            <w:tcBorders>
              <w:top w:val="single" w:color="BFBFBF" w:sz="4"/>
              <w:left w:val="single" w:color="BFBFBF" w:sz="4"/>
              <w:bottom w:val="single" w:color="BFBFBF" w:sz="4"/>
              <w:right w:val="single" w:color="BFBFBF" w:sz="4"/>
            </w:tcBorders>
            <w:shd w:fill="F2F6FC" w:color="auto" w:val="clear"/>
            <w:tcMar>
              <w:top w:type="dxa" w:w="40"/>
              <w:left w:type="dxa" w:w="70"/>
              <w:bottom w:type="dxa" w:w="40"/>
              <w:right w:type="dxa" w:w="70"/>
            </w:tcMar>
          </w:tcPr>
          <w:p>
            <w:pPr>
              <w:jc w:val="center"/>
            </w:pPr>
            <w:r>
              <w:rPr>
                <w:rFonts w:ascii="Times New Roman" w:cs="Times New Roman" w:eastAsia="Times New Roman" w:hAnsi="Times New Roman"/>
                <w:sz w:val="17"/>
                <w:szCs w:val="17"/>
              </w:rPr>
              <w:t xml:space="preserve">55.2</w:t>
            </w:r>
          </w:p>
        </w:tc>
      </w:tr>
    </w:tbl>
    <w:p>
      <w:pPr>
        <w:spacing w:after="120"/>
      </w:pPr>
    </w:p>
    <w:p>
      <w:pPr>
        <w:pBdr>
          <w:left w:val="single" w:color="2E74B5" w:sz="24" w:space="6"/>
        </w:pBdr>
        <w:shd w:fill="E8F0FB" w:color="auto" w:val="clear"/>
        <w:spacing w:after="160" w:before="60" w:line="264"/>
        <w:ind w:left="140" w:right="60"/>
        <w:jc w:val="both"/>
      </w:pPr>
      <w:r>
        <w:rPr>
          <w:rFonts w:ascii="Times New Roman" w:cs="Times New Roman" w:eastAsia="Times New Roman" w:hAnsi="Times New Roman"/>
          <w:b/>
          <w:bCs/>
          <w:sz w:val="21"/>
          <w:szCs w:val="21"/>
        </w:rPr>
        <w:t xml:space="preserve">Observation: </w:t>
      </w:r>
      <w:r>
        <w:rPr>
          <w:rFonts w:ascii="Times New Roman" w:cs="Times New Roman" w:eastAsia="Times New Roman" w:hAnsi="Times New Roman"/>
          <w:sz w:val="21"/>
          <w:szCs w:val="21"/>
        </w:rPr>
        <w:t xml:space="preserve">Accuracy is almost identical for men, women and other genders (83.9% to 87.0%), domestic and international students and students with and without disabilities, and the recall for gender differs by only 3.4 points. Income is different: the model flags 41.0% of low-income students but only 15.0% of high-income students, catching 76.8% of low-income dropouts but only 55.7% of high-income dropouts, and it raises more false alarms for low-income students (14.1% against 5.0%). Part of this is legitimate because the real dropout rates differ (42.9% against 20.0%), but it means high-income students who are at risk are more likely to be overlooked. First-generation students and students with disabilities are also flagged more often. Removing the five most sensitive attributes (gender, nationality, international status, disability, first-generation) costs almost nothing (AUC 0.9031 to 0.9023) but does not remove the income gap, because income and finance carry real signal. Excluding sensitive attributes is therefore a free and sensible precaution but not a complete fairness solution.</w:t>
      </w:r>
    </w:p>
    <w:p>
      <w:pPr>
        <w:pStyle w:val="Heading1"/>
        <w:keepNext/>
      </w:pPr>
      <w:r>
        <w:rPr>
          <w:rFonts w:ascii="Times New Roman" w:cs="Times New Roman" w:eastAsia="Times New Roman" w:hAnsi="Times New Roman"/>
        </w:rPr>
        <w:t xml:space="preserve">8. Major Findings and Insights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A clean but behaviour-rich dataset:</w:t>
      </w:r>
      <w:r>
        <w:rPr>
          <w:rFonts w:ascii="Times New Roman" w:cs="Times New Roman" w:eastAsia="Times New Roman" w:hAnsi="Times New Roman"/>
          <w:sz w:val="22"/>
          <w:szCs w:val="22"/>
        </w:rPr>
        <w:t xml:space="preserve"> 100,000 students, no missing values or duplicates; the only quality issues are ceiling effects (10.6% of students at 100% attendance) and 12,758 students under 18, which were flagged and kept.</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One in three students drops out:</w:t>
      </w:r>
      <w:r>
        <w:rPr>
          <w:rFonts w:ascii="Times New Roman" w:cs="Times New Roman" w:eastAsia="Times New Roman" w:hAnsi="Times New Roman"/>
          <w:sz w:val="22"/>
          <w:szCs w:val="22"/>
        </w:rPr>
        <w:t xml:space="preserve"> 32.00% (95% interval 31.71% to 32.29%), highest in semesters 1-2 (about 34%) and lowest in semester 7 (29.6%).</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Academic performance is the dominant signal:</w:t>
      </w:r>
      <w:r>
        <w:rPr>
          <w:rFonts w:ascii="Times New Roman" w:cs="Times New Roman" w:eastAsia="Times New Roman" w:hAnsi="Times New Roman"/>
          <w:sz w:val="22"/>
          <w:szCs w:val="22"/>
        </w:rPr>
        <w:t xml:space="preserve"> semester-1 GPA (r = -0.569), semester-2 GPA (r = -0.521) and failed units (r = +0.467) have large effect sizes (|d| = 1.1 to 1.5); dropouts average 1.44 against 2.24 GPA in semester 2.</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Money and work matter:</w:t>
      </w:r>
      <w:r>
        <w:rPr>
          <w:rFonts w:ascii="Times New Roman" w:cs="Times New Roman" w:eastAsia="Times New Roman" w:hAnsi="Times New Roman"/>
          <w:sz w:val="22"/>
          <w:szCs w:val="22"/>
        </w:rPr>
        <w:t xml:space="preserve"> dropout is 42.9% for low-income, 30.0% for middle-income and 20.0% for high-income students; 44.2% when tuition is unpaid against 28.7% when it is paid; 39.8% with a part-time job against 24.7% without.</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Many assumed factors do not matter:</w:t>
      </w:r>
      <w:r>
        <w:rPr>
          <w:rFonts w:ascii="Times New Roman" w:cs="Times New Roman" w:eastAsia="Times New Roman" w:hAnsi="Times New Roman"/>
          <w:sz w:val="22"/>
          <w:szCs w:val="22"/>
        </w:rPr>
        <w:t xml:space="preserve"> course type, gender, nationality, age, international status and commute time show no relationship with dropout (Cramér's V or |r| below 0.01). Scholarships help only slightly (31.1% against 33.2%).</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Risk compounds:</w:t>
      </w:r>
      <w:r>
        <w:rPr>
          <w:rFonts w:ascii="Times New Roman" w:cs="Times New Roman" w:eastAsia="Times New Roman" w:hAnsi="Times New Roman"/>
          <w:sz w:val="22"/>
          <w:szCs w:val="22"/>
        </w:rPr>
        <w:t xml:space="preserve"> from 1.5% (high attendance, GPA above 3.0) to 92.0% (attendance below 50%, GPA below 1.5); dropout rises from 7.2% with no risk flags to 98.0% with six.</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Four student segments</w:t>
      </w:r>
      <w:r>
        <w:rPr>
          <w:rFonts w:ascii="Times New Roman" w:cs="Times New Roman" w:eastAsia="Times New Roman" w:hAnsi="Times New Roman"/>
          <w:sz w:val="22"/>
          <w:szCs w:val="22"/>
        </w:rPr>
        <w:t xml:space="preserve"> (K-Means) range from 3.3% to 80.8% dropout and call for different interventions (tutoring versus engagement support).</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Prediction works and a simple model is enough:</w:t>
      </w:r>
      <w:r>
        <w:rPr>
          <w:rFonts w:ascii="Times New Roman" w:cs="Times New Roman" w:eastAsia="Times New Roman" w:hAnsi="Times New Roman"/>
          <w:sz w:val="22"/>
          <w:szCs w:val="22"/>
        </w:rPr>
        <w:t xml:space="preserve"> logistic regression reaches AUC 0.903 and accuracy 84.0% (baseline 68.0%), stable under 5-fold cross-validation; the top 20% highest-risk students contain 54.1% of all dropouts.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Fairness needs attention:</w:t>
      </w:r>
      <w:r>
        <w:rPr>
          <w:rFonts w:ascii="Times New Roman" w:cs="Times New Roman" w:eastAsia="Times New Roman" w:hAnsi="Times New Roman"/>
          <w:sz w:val="22"/>
          <w:szCs w:val="22"/>
        </w:rPr>
        <w:t xml:space="preserve"> equal accuracy across gender, origin and disability, but recall of 76.8% for low-income against 55.7% for high-income students.</w:t>
      </w:r>
    </w:p>
    <w:p>
      <w:pPr>
        <w:pStyle w:val="Heading2"/>
        <w:keepNext/>
      </w:pPr>
      <w:r>
        <w:rPr>
          <w:rFonts w:ascii="Times New Roman" w:cs="Times New Roman" w:eastAsia="Times New Roman" w:hAnsi="Times New Roman"/>
        </w:rPr>
        <w:t xml:space="preserve">8.1 Recommendations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Use GPA, failed units, attendance and assignment submission as the core of any early-warning dashboard, and trigger a review as soon as semester-1 results are known.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Offer financial counselling and flexible payment plans, because unpaid tuition and low income are the strongest non-academic risk factors; support working students with flexible timetables.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Use different interventions for different segments: academic tutoring for students who fail units, engagement coaching for students with good grades but low attendance and submission.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Use a lower decision threshold (about 0.3) so that most at-risk students are reached, and size the programme to the capacity of advisers using the risk-decile table.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Always report effect sizes with p-values when the sample is large, and report medians for skewed variables.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Do not spend resources on course type, gender or nationality as risk indicators; they carry no signal in this dataset.</w:t>
      </w:r>
    </w:p>
    <w:p>
      <w:pPr>
        <w:pStyle w:val="Heading2"/>
        <w:keepNext/>
      </w:pPr>
      <w:r>
        <w:rPr>
          <w:rFonts w:ascii="Times New Roman" w:cs="Times New Roman" w:eastAsia="Times New Roman" w:hAnsi="Times New Roman"/>
        </w:rPr>
        <w:t xml:space="preserve">8.2 Ethical and Societal Considerations</w:t>
      </w:r>
    </w:p>
    <w:p>
      <w:pPr>
        <w:spacing w:after="120" w:line="276"/>
        <w:jc w:val="both"/>
      </w:pPr>
      <w:r>
        <w:rPr>
          <w:rFonts w:ascii="Times New Roman" w:cs="Times New Roman" w:eastAsia="Times New Roman" w:hAnsi="Times New Roman"/>
          <w:sz w:val="22"/>
          <w:szCs w:val="22"/>
        </w:rPr>
        <w:t xml:space="preserve">Predicting which students may leave is useful only if it leads to support. The following points were considered in the design of this project and should be considered by anyone who deploys such a model.</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Purpose and human oversight.</w:t>
      </w:r>
      <w:r>
        <w:rPr>
          <w:rFonts w:ascii="Times New Roman" w:cs="Times New Roman" w:eastAsia="Times New Roman" w:hAnsi="Times New Roman"/>
          <w:sz w:val="22"/>
          <w:szCs w:val="22"/>
        </w:rPr>
        <w:t xml:space="preserve"> Predictions should open a supportive conversation, never trigger penalties, loss of scholarships or exclusion. A risk score is a probability, not a verdict: even in the highest-risk decile about 6% of students stay, and in the lowest decile about 1% leave. A human adviser must make the final decision.</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Privacy and data protection.</w:t>
      </w:r>
      <w:r>
        <w:rPr>
          <w:rFonts w:ascii="Times New Roman" w:cs="Times New Roman" w:eastAsia="Times New Roman" w:hAnsi="Times New Roman"/>
          <w:sz w:val="22"/>
          <w:szCs w:val="22"/>
        </w:rPr>
        <w:t xml:space="preserve"> The dataset contains sensitive personal information (disability, income, mental-health support, nationality). Real deployments need informed consent, data minimisation, access control, anonymised IDs and compliance with local data-protection law. This project uses only an ID and never any name or contact detail.</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Fairness.</w:t>
      </w:r>
      <w:r>
        <w:rPr>
          <w:rFonts w:ascii="Times New Roman" w:cs="Times New Roman" w:eastAsia="Times New Roman" w:hAnsi="Times New Roman"/>
          <w:sz w:val="22"/>
          <w:szCs w:val="22"/>
        </w:rPr>
        <w:t xml:space="preserve"> The audit in Section 7.7 shows that the model flags low-income students far more often and catches fewer high-income dropouts. Sensitive attributes that carry no signal (gender, nationality, international status) can be dropped at almost no cost and should be; disparities that remain should be monitored by group, and thresholds can be tuned per programme. The model should not be used to deny opportunities to any group.</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Avoiding stigma and self-fulfilling prophecies.</w:t>
      </w:r>
      <w:r>
        <w:rPr>
          <w:rFonts w:ascii="Times New Roman" w:cs="Times New Roman" w:eastAsia="Times New Roman" w:hAnsi="Times New Roman"/>
          <w:sz w:val="22"/>
          <w:szCs w:val="22"/>
        </w:rPr>
        <w:t xml:space="preserve"> Telling a student or staff member that a student is "high risk" can lower expectations and increase the very outcome it predicts. Risk labels should be confidential and framed as "may benefit from support".</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Correlation is not causation.</w:t>
      </w:r>
      <w:r>
        <w:rPr>
          <w:rFonts w:ascii="Times New Roman" w:cs="Times New Roman" w:eastAsia="Times New Roman" w:hAnsi="Times New Roman"/>
          <w:sz w:val="22"/>
          <w:szCs w:val="22"/>
        </w:rPr>
        <w:t xml:space="preserve"> Low GPA predicts dropout, but this analysis cannot show that raising GPA would prevent it, or that low income causes dropout. Interventions should be evaluated with controlled trials.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Data provenance and generalisation.</w:t>
      </w:r>
      <w:r>
        <w:rPr>
          <w:rFonts w:ascii="Times New Roman" w:cs="Times New Roman" w:eastAsia="Times New Roman" w:hAnsi="Times New Roman"/>
          <w:sz w:val="22"/>
          <w:szCs w:val="22"/>
        </w:rPr>
        <w:t xml:space="preserve"> The file has no stated source and shows signs of being simulated. A model trained on it must never be applied to real students without validation on real, local data.</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Societal benefit.</w:t>
      </w:r>
      <w:r>
        <w:rPr>
          <w:rFonts w:ascii="Times New Roman" w:cs="Times New Roman" w:eastAsia="Times New Roman" w:hAnsi="Times New Roman"/>
          <w:sz w:val="22"/>
          <w:szCs w:val="22"/>
        </w:rPr>
        <w:t xml:space="preserve"> Used responsibly, early-warning analytics can direct limited advising and financial-aid resources to students who need them most and reduce inequality in completion rates.</w:t>
      </w:r>
    </w:p>
    <w:p>
      <w:pPr>
        <w:pStyle w:val="Heading1"/>
        <w:keepNext/>
      </w:pPr>
      <w:r>
        <w:rPr>
          <w:rFonts w:ascii="Times New Roman" w:cs="Times New Roman" w:eastAsia="Times New Roman" w:hAnsi="Times New Roman"/>
        </w:rPr>
        <w:t xml:space="preserve">9. Results and Conclusion</w:t>
      </w:r>
    </w:p>
    <w:p>
      <w:pPr>
        <w:pStyle w:val="Heading2"/>
        <w:keepNext/>
      </w:pPr>
      <w:r>
        <w:rPr>
          <w:rFonts w:ascii="Times New Roman" w:cs="Times New Roman" w:eastAsia="Times New Roman" w:hAnsi="Times New Roman"/>
        </w:rPr>
        <w:t xml:space="preserve">9.1 Results Summary</w:t>
      </w:r>
    </w:p>
    <w:p>
      <w:pPr>
        <w:spacing w:after="120" w:line="276"/>
        <w:jc w:val="both"/>
      </w:pPr>
      <w:r>
        <w:rPr>
          <w:rFonts w:ascii="Times New Roman" w:cs="Times New Roman" w:eastAsia="Times New Roman" w:hAnsi="Times New Roman"/>
          <w:sz w:val="22"/>
          <w:szCs w:val="22"/>
        </w:rPr>
        <w:t xml:space="preserve">The project completed a full exploratory workflow on 100,000 students. Data loading, quality checks, slicing, transformation, grouping and Bayesian estimation (Unit 1) showed that the data are clean, that dropout is 32.0%, and that the log transform fixes the three skewed count variables. Matplotlib, Seaborn, Plotly and Bokeh visualizations (Unit 2) revealed the first-year peak in dropout, the weak role of attendance alone and the strong role of GPA, and the 3D surface showed how risk changes over two variables. Univariate analysis (Unit 3) described all variables, found outliers that are genuine behaviour, and showed a moderately imbalanced target. Bivariate analysis (Unit 4) ranked the factors by effect size and showed that income, finances and work matter while demographics do not. Multivariate analysis (Unit 5) showed compounding risk, limited redundancy among variables, four interpretable segments, and a well-calibrated logistic regression model (AUC 0.903), together with a fairness audit.</w:t>
      </w:r>
    </w:p>
    <w:p>
      <w:pPr>
        <w:pStyle w:val="Heading2"/>
        <w:keepNext/>
      </w:pPr>
      <w:r>
        <w:rPr>
          <w:rFonts w:ascii="Times New Roman" w:cs="Times New Roman" w:eastAsia="Times New Roman" w:hAnsi="Times New Roman"/>
        </w:rPr>
        <w:t xml:space="preserve">9.2 Conclusion</w:t>
      </w:r>
    </w:p>
    <w:p>
      <w:pPr>
        <w:spacing w:after="120" w:line="276"/>
        <w:jc w:val="both"/>
      </w:pPr>
      <w:r>
        <w:rPr>
          <w:rFonts w:ascii="Times New Roman" w:cs="Times New Roman" w:eastAsia="Times New Roman" w:hAnsi="Times New Roman"/>
          <w:sz w:val="22"/>
          <w:szCs w:val="22"/>
        </w:rPr>
        <w:t xml:space="preserve">This capstone demonstrates a complete, reproducible pipeline from raw CSV loading through data-quality checks, transformation, visualization, statistical testing, dimensionality reduction, clustering, machine-learning evaluation and a fairness audit. All topics from the five units of Data Exploration and Visualization are represented with Python code, outputs and written observations. The most important lessons are methodological: with very large samples, effect sizes matter more than p-values; a simple model can match complex ones when the signal is additive; the accuracy of a model on an imbalanced target must be compared with a baseline; and a good model still has to be checked for fairness before it is used on real people.</w:t>
      </w:r>
    </w:p>
    <w:p>
      <w:pPr>
        <w:pStyle w:val="Heading2"/>
        <w:keepNext/>
      </w:pPr>
      <w:r>
        <w:rPr>
          <w:rFonts w:ascii="Times New Roman" w:cs="Times New Roman" w:eastAsia="Times New Roman" w:hAnsi="Times New Roman"/>
        </w:rPr>
        <w:t xml:space="preserve">9.3 Limitations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The dataset has no stated source or collection date and appears to be simulated, so findings describe the data, not necessarily real institutions.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The data are a single snapshot; there are no time-stamped records, so the order of events (for example when engagement dropped relative to leaving) is unknown, and no causal claims can be made.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Semester-1 and semester-2 results may be partly consequences of the decision to leave, so the model is better described as identifying students who are dropping out than as forecasting from the start of the programme.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Variables are capped at their limits (attendance at 100%), which distorts distributions slightly.</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The fairness audit uses one threshold and a handful of groups; intersectional groups were not examined.</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The Plotly and Bokeh outputs require those libraries to be installed; the repository includes a dependency-free HTML fallback.</w:t>
      </w:r>
    </w:p>
    <w:p>
      <w:pPr>
        <w:pStyle w:val="Heading1"/>
        <w:keepNext/>
      </w:pPr>
      <w:r>
        <w:rPr>
          <w:rFonts w:ascii="Times New Roman" w:cs="Times New Roman" w:eastAsia="Times New Roman" w:hAnsi="Times New Roman"/>
        </w:rPr>
        <w:t xml:space="preserve">10. Future Scope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Use longitudinal data (week-by-week attendance and LMS activity) to build a true early-warning model and measure how early dropout can be predicted.</w:t>
      </w:r>
    </w:p>
    <w:p>
      <w:pPr>
        <w:pStyle w:val="ListParagraph"/>
        <w:numPr>
          <w:ilvl w:val="0"/>
          <w:numId w:val="2"/>
        </w:numPr>
        <w:spacing w:after="60" w:line="264"/>
        <w:jc w:val="both"/>
      </w:pPr>
      <w:r>
        <w:rPr>
          <w:rFonts w:ascii="Times New Roman" w:cs="Times New Roman" w:eastAsia="Times New Roman" w:hAnsi="Times New Roman"/>
          <w:sz w:val="22"/>
          <w:szCs w:val="22"/>
        </w:rPr>
        <w:t xml:space="preserve">Use survival analysis (Kaplan-Meier, Cox regression) to model the time to dropout by semester.</w:t>
      </w:r>
    </w:p>
    <w:p>
      <w:pPr>
        <w:pStyle w:val="ListParagraph"/>
        <w:numPr>
          <w:ilvl w:val="0"/>
          <w:numId w:val="2"/>
        </w:numPr>
        <w:spacing w:after="60" w:line="264"/>
        <w:jc w:val="both"/>
      </w:pPr>
      <w:r>
        <w:rPr>
          <w:rFonts w:ascii="Times New Roman" w:cs="Times New Roman" w:eastAsia="Times New Roman" w:hAnsi="Times New Roman"/>
          <w:sz w:val="22"/>
          <w:szCs w:val="22"/>
        </w:rPr>
        <w:t xml:space="preserve">Add calibration, cost-sensitive learning and per-group threshold tuning; explore SHAP values for explanations of individual predictions.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Evaluate intersectional fairness (for example income by gender) and fairness constraints such as equalised odds.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Build an interactive Streamlit or Dash dashboard from the Plotly and Bokeh components, with a risk calculator for advisers.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Validate on real institutional data and run a controlled study of interventions guided by the model.</w:t>
      </w:r>
    </w:p>
    <w:p>
      <w:pPr>
        <w:pStyle w:val="ListParagraph"/>
        <w:numPr>
          <w:ilvl w:val="0"/>
          <w:numId w:val="2"/>
        </w:numPr>
        <w:spacing w:after="60" w:line="264"/>
        <w:jc w:val="both"/>
      </w:pPr>
      <w:r>
        <w:rPr>
          <w:rFonts w:ascii="Times New Roman" w:cs="Times New Roman" w:eastAsia="Times New Roman" w:hAnsi="Times New Roman"/>
          <w:sz w:val="22"/>
          <w:szCs w:val="22"/>
        </w:rPr>
        <w:t xml:space="preserve">Apply formal hierarchical Bayesian models to estimate dropout rates per programme and semester with uncertainty.</w:t>
      </w:r>
    </w:p>
    <w:p>
      <w:pPr>
        <w:pStyle w:val="Heading1"/>
        <w:keepNext/>
      </w:pPr>
      <w:r>
        <w:rPr>
          <w:rFonts w:ascii="Times New Roman" w:cs="Times New Roman" w:eastAsia="Times New Roman" w:hAnsi="Times New Roman"/>
        </w:rPr>
        <w:t xml:space="preserve">References</w:t>
      </w:r>
    </w:p>
    <w:p>
      <w:pPr>
        <w:spacing w:after="70"/>
        <w:ind w:left="360" w:hanging="360"/>
      </w:pPr>
      <w:r>
        <w:rPr>
          <w:rFonts w:ascii="Times New Roman" w:cs="Times New Roman" w:eastAsia="Times New Roman" w:hAnsi="Times New Roman"/>
          <w:sz w:val="21"/>
          <w:szCs w:val="21"/>
        </w:rPr>
        <w:t xml:space="preserve">[1] J. W. Tukey, Exploratory Data Analysis, Addison-Wesley, 1977.</w:t>
      </w:r>
    </w:p>
    <w:p>
      <w:pPr>
        <w:spacing w:after="70"/>
        <w:ind w:left="360" w:hanging="360"/>
      </w:pPr>
      <w:r>
        <w:rPr>
          <w:rFonts w:ascii="Times New Roman" w:cs="Times New Roman" w:eastAsia="Times New Roman" w:hAnsi="Times New Roman"/>
          <w:sz w:val="21"/>
          <w:szCs w:val="21"/>
        </w:rPr>
        <w:t xml:space="preserve">[2] W. McKinney, Python for Data Analysis, 3rd ed., O'Reilly Media, 2022.</w:t>
      </w:r>
    </w:p>
    <w:p>
      <w:pPr>
        <w:spacing w:after="70"/>
        <w:ind w:left="360" w:hanging="360"/>
      </w:pPr>
      <w:r>
        <w:rPr>
          <w:rFonts w:ascii="Times New Roman" w:cs="Times New Roman" w:eastAsia="Times New Roman" w:hAnsi="Times New Roman"/>
          <w:sz w:val="21"/>
          <w:szCs w:val="21"/>
        </w:rPr>
        <w:t xml:space="preserve">[3] J. VanderPlas, Python Data Science Handbook, O'Reilly Media, 2016.</w:t>
      </w:r>
    </w:p>
    <w:p>
      <w:pPr>
        <w:spacing w:after="70"/>
        <w:ind w:left="360" w:hanging="360"/>
      </w:pPr>
      <w:r>
        <w:rPr>
          <w:rFonts w:ascii="Times New Roman" w:cs="Times New Roman" w:eastAsia="Times New Roman" w:hAnsi="Times New Roman"/>
          <w:sz w:val="21"/>
          <w:szCs w:val="21"/>
        </w:rPr>
        <w:t xml:space="preserve">[4] J. D. Hunter, "Matplotlib: A 2D Graphics Environment," Computing in Science &amp; Engineering, vol. 9, no. 3, 2007.</w:t>
      </w:r>
    </w:p>
    <w:p>
      <w:pPr>
        <w:spacing w:after="70"/>
        <w:ind w:left="360" w:hanging="360"/>
      </w:pPr>
      <w:r>
        <w:rPr>
          <w:rFonts w:ascii="Times New Roman" w:cs="Times New Roman" w:eastAsia="Times New Roman" w:hAnsi="Times New Roman"/>
          <w:sz w:val="21"/>
          <w:szCs w:val="21"/>
        </w:rPr>
        <w:t xml:space="preserve">[5] M. Waskom, "seaborn: statistical data visualization," Journal of Open Source Software, vol. 6, no. 60, 2021.</w:t>
      </w:r>
    </w:p>
    <w:p>
      <w:pPr>
        <w:spacing w:after="70"/>
        <w:ind w:left="360" w:hanging="360"/>
      </w:pPr>
      <w:r>
        <w:rPr>
          <w:rFonts w:ascii="Times New Roman" w:cs="Times New Roman" w:eastAsia="Times New Roman" w:hAnsi="Times New Roman"/>
          <w:sz w:val="21"/>
          <w:szCs w:val="21"/>
        </w:rPr>
        <w:t xml:space="preserve">[6] F. Pedregosa et al., "Scikit-learn: Machine Learning in Python," Journal of Machine Learning Research, vol. 12, 2011.</w:t>
      </w:r>
    </w:p>
    <w:p>
      <w:pPr>
        <w:spacing w:after="70"/>
        <w:ind w:left="360" w:hanging="360"/>
      </w:pPr>
      <w:r>
        <w:rPr>
          <w:rFonts w:ascii="Times New Roman" w:cs="Times New Roman" w:eastAsia="Times New Roman" w:hAnsi="Times New Roman"/>
          <w:sz w:val="21"/>
          <w:szCs w:val="21"/>
        </w:rPr>
        <w:t xml:space="preserve">[7] P. Virtanen et al., "SciPy 1.0: fundamental algorithms for scientific computing in Python," Nature Methods, vol. 17, 2020.</w:t>
      </w:r>
    </w:p>
    <w:p>
      <w:pPr>
        <w:spacing w:after="70"/>
        <w:ind w:left="360" w:hanging="360"/>
      </w:pPr>
      <w:r>
        <w:rPr>
          <w:rFonts w:ascii="Times New Roman" w:cs="Times New Roman" w:eastAsia="Times New Roman" w:hAnsi="Times New Roman"/>
          <w:sz w:val="21"/>
          <w:szCs w:val="21"/>
        </w:rPr>
        <w:t xml:space="preserve">[8] J. Cohen, Statistical Power Analysis for the Behavioral Sciences, 2nd ed., Lawrence Erlbaum Associates, 1988.</w:t>
      </w:r>
    </w:p>
    <w:p>
      <w:pPr>
        <w:spacing w:after="70"/>
        <w:ind w:left="360" w:hanging="360"/>
      </w:pPr>
      <w:r>
        <w:rPr>
          <w:rFonts w:ascii="Times New Roman" w:cs="Times New Roman" w:eastAsia="Times New Roman" w:hAnsi="Times New Roman"/>
          <w:sz w:val="21"/>
          <w:szCs w:val="21"/>
        </w:rPr>
        <w:t xml:space="preserve">[9] V. Tinto, "Dropout from Higher Education: A Theoretical Synthesis of Recent Research," Review of Educational Research, vol. 45, no. 1, 1975.</w:t>
      </w:r>
    </w:p>
    <w:p>
      <w:pPr>
        <w:spacing w:after="70"/>
        <w:ind w:left="360" w:hanging="360"/>
      </w:pPr>
      <w:r>
        <w:rPr>
          <w:rFonts w:ascii="Times New Roman" w:cs="Times New Roman" w:eastAsia="Times New Roman" w:hAnsi="Times New Roman"/>
          <w:sz w:val="21"/>
          <w:szCs w:val="21"/>
        </w:rPr>
        <w:t xml:space="preserve">[10] M. Hardt, E. Price and N. Srebro, "Equality of Opportunity in Supervised Learning," Advances in Neural Information Processing Systems 29, 2016.</w:t>
      </w:r>
    </w:p>
    <w:p>
      <w:pPr>
        <w:spacing w:after="70"/>
        <w:ind w:left="360" w:hanging="360"/>
      </w:pPr>
      <w:r>
        <w:rPr>
          <w:rFonts w:ascii="Times New Roman" w:cs="Times New Roman" w:eastAsia="Times New Roman" w:hAnsi="Times New Roman"/>
          <w:sz w:val="21"/>
          <w:szCs w:val="21"/>
        </w:rPr>
        <w:t xml:space="preserve">[11] Plotly Technologies Inc., Plotly Python documentation, https://plotly.com/python/</w:t>
      </w:r>
    </w:p>
    <w:p>
      <w:pPr>
        <w:spacing w:after="70"/>
        <w:ind w:left="360" w:hanging="360"/>
      </w:pPr>
      <w:r>
        <w:rPr>
          <w:rFonts w:ascii="Times New Roman" w:cs="Times New Roman" w:eastAsia="Times New Roman" w:hAnsi="Times New Roman"/>
          <w:sz w:val="21"/>
          <w:szCs w:val="21"/>
        </w:rPr>
        <w:t xml:space="preserve">[12] Bokeh Project, Bokeh documentation, https://docs.bokeh.org/</w:t>
      </w:r>
    </w:p>
    <w:p>
      <w:pPr>
        <w:spacing w:after="70"/>
        <w:ind w:left="360" w:hanging="360"/>
      </w:pPr>
      <w:r>
        <w:rPr>
          <w:rFonts w:ascii="Times New Roman" w:cs="Times New Roman" w:eastAsia="Times New Roman" w:hAnsi="Times New Roman"/>
          <w:sz w:val="21"/>
          <w:szCs w:val="21"/>
        </w:rPr>
        <w:t xml:space="preserve">GITHUB REPO LINK: [paste your repository link here]</w:t>
      </w:r>
    </w:p>
    <w:sectPr>
      <w:headerReference w:type="default" r:id="rId7"/>
      <w:headerReference w:type="first" r:id="rId8"/>
      <w:footerReference w:type="default" r:id="rId9"/>
      <w:footerReference w:type="first" r:id="rId10"/>
      <w:pgSz w:w="11906" w:h="16838" w:orient="portrait"/>
      <w:pgMar w:top="1250"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KGiSL Institute of Technology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555555"/>
        <w:sz w:val="18"/>
        <w:szCs w:val="18"/>
      </w:rPr>
      <w:t xml:space="preserve">Data Exploration and Visualization – Capstone Project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4575f27f60eb78a4b2a32f9ec07e94694a6abcf.png"/><Relationship Id="rId12" Type="http://schemas.openxmlformats.org/officeDocument/2006/relationships/image" Target="media/61113d92f59961bee074642ac3fa10b738903285.png"/><Relationship Id="rId13" Type="http://schemas.openxmlformats.org/officeDocument/2006/relationships/image" Target="media/aca12ff8fa1426efffb2c0abebf38674de93b827.png"/><Relationship Id="rId14" Type="http://schemas.openxmlformats.org/officeDocument/2006/relationships/image" Target="media/22e16b8f7ffa07d2463ddc2011b09417056cceb1.png"/><Relationship Id="rId15" Type="http://schemas.openxmlformats.org/officeDocument/2006/relationships/image" Target="media/04dea1cc0d49dd75b6af39eb55e33bf0ec0064d7.png"/><Relationship Id="rId16" Type="http://schemas.openxmlformats.org/officeDocument/2006/relationships/image" Target="media/9a6aee1e311b6c30512d90e224a0dc70244ef130.png"/><Relationship Id="rId17" Type="http://schemas.openxmlformats.org/officeDocument/2006/relationships/image" Target="media/92bfe45f898c7600e2466e0f01567994aba83438.png"/><Relationship Id="rId18" Type="http://schemas.openxmlformats.org/officeDocument/2006/relationships/image" Target="media/e28ecee84985c5bdf76f3e46c2664af6291baaa1.png"/><Relationship Id="rId19" Type="http://schemas.openxmlformats.org/officeDocument/2006/relationships/image" Target="media/c8682bdf88e5bd12f758f8998afa39293ca9f8ec.png"/><Relationship Id="rId20" Type="http://schemas.openxmlformats.org/officeDocument/2006/relationships/image" Target="media/88c6abc352d1b92aec38df99e3fb9d58e935b0d2.png"/><Relationship Id="rId21" Type="http://schemas.openxmlformats.org/officeDocument/2006/relationships/image" Target="media/4c6bc357d61e38d25a8308049a62ae5d0748864d.png"/><Relationship Id="rId22" Type="http://schemas.openxmlformats.org/officeDocument/2006/relationships/image" Target="media/0045fffe12ce5c76f1c97e9a6daa04b00f4643c9.png"/><Relationship Id="rId23" Type="http://schemas.openxmlformats.org/officeDocument/2006/relationships/image" Target="media/89963375a9e13e6de68882fae94f630998b19eae.png"/><Relationship Id="rId24" Type="http://schemas.openxmlformats.org/officeDocument/2006/relationships/image" Target="media/2eac731a3fa749ce3bb6b5e2197b291f4b5eb5d0.png"/><Relationship Id="rId25" Type="http://schemas.openxmlformats.org/officeDocument/2006/relationships/image" Target="media/d3fa0758305fe7dac4df1e9956bcccc3bea6a42e.png"/><Relationship Id="rId26" Type="http://schemas.openxmlformats.org/officeDocument/2006/relationships/image" Target="media/aac84ad1318999f53aa100d5b306a6f192b90cbf.png"/><Relationship Id="rId27" Type="http://schemas.openxmlformats.org/officeDocument/2006/relationships/image" Target="media/d1deb9d977f490a0f5d5b73a928a8e954e26cfb2.png"/><Relationship Id="rId28" Type="http://schemas.openxmlformats.org/officeDocument/2006/relationships/image" Target="media/22675baf19bde84976174547f7cc216b48c7e4cf.png"/><Relationship Id="rId29" Type="http://schemas.openxmlformats.org/officeDocument/2006/relationships/image" Target="media/ca18ac0b506615278d1b899d534575403d051d5a.png"/><Relationship Id="rId30" Type="http://schemas.openxmlformats.org/officeDocument/2006/relationships/image" Target="media/c39e3c406a1888943a9844a91dfb5770df7b8205.png"/><Relationship Id="rId31" Type="http://schemas.openxmlformats.org/officeDocument/2006/relationships/image" Target="media/1534e6b082eb5b75a2e38ce8d8c5fd85d0fffe4a.png"/><Relationship Id="rId32" Type="http://schemas.openxmlformats.org/officeDocument/2006/relationships/image" Target="media/cb88b6248c5fd9363badc53ac40d718db59495bb.png"/><Relationship Id="rId33" Type="http://schemas.openxmlformats.org/officeDocument/2006/relationships/image" Target="media/4c3c73d78fab5bfcaf1b05adbc7032be4010b9f7.png"/><Relationship Id="rId34" Type="http://schemas.openxmlformats.org/officeDocument/2006/relationships/image" Target="media/afa7e2a9fcdc486dc670fa9713539b65d75b962d.png"/><Relationship Id="rId35" Type="http://schemas.openxmlformats.org/officeDocument/2006/relationships/image" Target="media/0ea14612563ad6875ade4cc51ea8507040a0806e.png"/><Relationship Id="rId36" Type="http://schemas.openxmlformats.org/officeDocument/2006/relationships/image" Target="media/1f43c8034684da32788a26d47228583bab25ed19.png"/><Relationship Id="rId37" Type="http://schemas.openxmlformats.org/officeDocument/2006/relationships/image" Target="media/1ab41e9ac505c81da15965707f6f67dca5e3f3a7.png"/><Relationship Id="rId38" Type="http://schemas.openxmlformats.org/officeDocument/2006/relationships/image" Target="media/a7a647f0b38db47305e9092ca831107812d95bd5.png"/><Relationship Id="rId39" Type="http://schemas.openxmlformats.org/officeDocument/2006/relationships/image" Target="media/e293fe6fc1b47b9b0f00e81d88bbc530ff69910c.png"/><Relationship Id="rId40" Type="http://schemas.openxmlformats.org/officeDocument/2006/relationships/image" Target="media/757b6d39b15a5facc59378d740e9c32b265fa2f7.png"/><Relationship Id="rId41" Type="http://schemas.openxmlformats.org/officeDocument/2006/relationships/image" Target="media/4380feae54d496bc9a1461f29783ec610b246c3d.png"/><Relationship Id="rId42" Type="http://schemas.openxmlformats.org/officeDocument/2006/relationships/image" Target="media/7e2b3b65e927cd2181f8a818ba1ebb51060fd222.png"/><Relationship Id="rId43" Type="http://schemas.openxmlformats.org/officeDocument/2006/relationships/image" Target="media/35c22db7ebacb6d64d8092e1f5b4e81175bec867.png"/><Relationship Id="rId44" Type="http://schemas.openxmlformats.org/officeDocument/2006/relationships/image" Target="media/c1f1d94742fdddb2e7950c5553bec999e841fde2.png"/><Relationship Id="rId45" Type="http://schemas.openxmlformats.org/officeDocument/2006/relationships/image" Target="media/dbc2ed11fb42ae78c11b5b09da3bf853253cf478.png"/><Relationship Id="rId46" Type="http://schemas.openxmlformats.org/officeDocument/2006/relationships/image" Target="media/8a990a61940d981b78c9cd0b6291b78cf315f57e.png"/><Relationship Id="rId47" Type="http://schemas.openxmlformats.org/officeDocument/2006/relationships/image" Target="media/210e173f80ba6c5158425a423e2799f3242d1e51.png"/><Relationship Id="rId48" Type="http://schemas.openxmlformats.org/officeDocument/2006/relationships/image" Target="media/ad0315c25130598971ebcc05a5191b3c286e73ee.png"/><Relationship Id="rId49" Type="http://schemas.openxmlformats.org/officeDocument/2006/relationships/image" Target="media/19eb502dcd4ce1075fbe1e59cefc6ab65baf6b32.png"/><Relationship Id="rId50" Type="http://schemas.openxmlformats.org/officeDocument/2006/relationships/image" Target="media/cd62611a20e698539ef1ece1f1e6c89d0b9e588c.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and Visualization of Student Dropout Risk</dc:title>
  <dc:creator>Student Dropout EDA Project</dc:creator>
  <cp:lastModifiedBy>Un-named</cp:lastModifiedBy>
  <cp:revision>1</cp:revision>
  <dcterms:created xsi:type="dcterms:W3CDTF">2026-10-14T07:25:42.066Z</dcterms:created>
  <dcterms:modified xsi:type="dcterms:W3CDTF">2026-10-14T07:25:42.066Z</dcterms:modified>
</cp:coreProperties>
</file>

<file path=docProps/custom.xml><?xml version="1.0" encoding="utf-8"?>
<Properties xmlns="http://schemas.openxmlformats.org/officeDocument/2006/custom-properties" xmlns:vt="http://schemas.openxmlformats.org/officeDocument/2006/docPropsVTypes"/>
</file>