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Yes, sadly, this is true. The primary reason, and the essence of the</w:t>
        <w:br/>
        <w:t>details that you are seeking, is that the Grahm-Rudman budget controls</w:t>
        <w:br/>
        <w:t>were working.  In fact, they were working so well that unless the feds</w:t>
        <w:br/>
        <w:t>did something, they were going to have to start cutting pork. So Bush</w:t>
        <w:br/>
        <w:t>and the Democrats got together in a Budget Summit and replaced</w:t>
        <w:br/>
        <w:t>Grahm-Rudman with the now historic Grand Compromise in which Bush</w:t>
        <w:br/>
        <w:t>"consented" to raise taxes in exchange for certain caps on spending</w:t>
        <w:br/>
        <w:t>increases.</w:t>
        <w:br/>
        <w:br/>
        <w:t>As it turned out, the taxes killed the Reagan expansion and the caps</w:t>
        <w:br/>
        <w:t>on spending increases were dispelled by Clinton in his first act as</w:t>
        <w:br/>
        <w:t>President (so that he could create his own new plan with more tax</w:t>
        <w:br/>
        <w:t>increases).</w:t>
        <w:br/>
        <w:br/>
        <w:t xml:space="preserve">The result is that Clinton now HOPES to reduce the deficit to a level </w:t>
        <w:br/>
        <w:t>ABOVE where it was when Reagan left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