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129FD123" w:rsidR="0013133A" w:rsidRDefault="00C4218F"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1826E975" wp14:editId="1D783003">
            <wp:extent cx="5772150" cy="429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72150"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w:t>
      </w:r>
      <w:proofErr w:type="spellStart"/>
      <w:r w:rsidR="00867C67">
        <w:rPr>
          <w:rFonts w:ascii="Verdana" w:hAnsi="Verdana"/>
          <w:sz w:val="20"/>
          <w:szCs w:val="20"/>
          <w:lang w:val="en-US"/>
        </w:rPr>
        <w:t>jupyter</w:t>
      </w:r>
      <w:proofErr w:type="spellEnd"/>
      <w:r w:rsidR="00867C67">
        <w:rPr>
          <w:rFonts w:ascii="Verdana" w:hAnsi="Verdana"/>
          <w:sz w:val="20"/>
          <w:szCs w:val="20"/>
          <w:lang w:val="en-US"/>
        </w:rPr>
        <w:t xml:space="preserve">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77C50ADD"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5D3EAD3B" w14:textId="239C316D" w:rsidR="00A336F7" w:rsidRDefault="00F81EA3"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A20F1B9" wp14:editId="6CFB285E">
            <wp:extent cx="5731510" cy="30613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54D44045" w14:textId="343CF2D8" w:rsidR="00940F86" w:rsidRDefault="008658FE" w:rsidP="0013133A">
      <w:pPr>
        <w:spacing w:line="360" w:lineRule="auto"/>
        <w:rPr>
          <w:rFonts w:ascii="Verdana" w:hAnsi="Verdana"/>
          <w:sz w:val="20"/>
          <w:szCs w:val="20"/>
          <w:lang w:val="en-US"/>
        </w:rPr>
      </w:pPr>
      <w:r>
        <w:rPr>
          <w:rFonts w:ascii="Verdana" w:hAnsi="Verdana"/>
          <w:sz w:val="20"/>
          <w:szCs w:val="20"/>
          <w:lang w:val="en-US"/>
        </w:rPr>
        <w:t xml:space="preserve">The graph shows how the avoidable mortality rates have fallen over the years.  The dataset has information on the total number of preventable and treatable deaths each </w:t>
      </w:r>
      <w:r>
        <w:rPr>
          <w:rFonts w:ascii="Verdana" w:hAnsi="Verdana"/>
          <w:sz w:val="20"/>
          <w:szCs w:val="20"/>
          <w:lang w:val="en-US"/>
        </w:rPr>
        <w:lastRenderedPageBreak/>
        <w:t>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xml:space="preserve">, the number of deaths </w:t>
      </w:r>
      <w:proofErr w:type="gramStart"/>
      <w:r w:rsidR="004E7445">
        <w:rPr>
          <w:rFonts w:ascii="Verdana" w:hAnsi="Verdana"/>
          <w:sz w:val="20"/>
          <w:szCs w:val="20"/>
          <w:lang w:val="en-US"/>
        </w:rPr>
        <w:t>are</w:t>
      </w:r>
      <w:proofErr w:type="gramEnd"/>
      <w:r w:rsidR="004E7445">
        <w:rPr>
          <w:rFonts w:ascii="Verdana" w:hAnsi="Verdana"/>
          <w:sz w:val="20"/>
          <w:szCs w:val="20"/>
          <w:lang w:val="en-US"/>
        </w:rPr>
        <w:t xml:space="preserv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6513C031" w14:textId="213D0F21" w:rsidR="00575BE0"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xml:space="preserve">. Breast cancer can be treated if it is identified at </w:t>
      </w:r>
      <w:r w:rsidR="00715AD5">
        <w:rPr>
          <w:rFonts w:ascii="Verdana" w:hAnsi="Verdana"/>
          <w:sz w:val="20"/>
          <w:szCs w:val="20"/>
          <w:lang w:val="en-US"/>
        </w:rPr>
        <w:lastRenderedPageBreak/>
        <w:t>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3D1441A8" w14:textId="6DF96B3C" w:rsidR="00A232FF"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p w14:paraId="47180638" w14:textId="4D27AE6F" w:rsidR="00A232FF" w:rsidRDefault="00A232FF" w:rsidP="0013133A">
      <w:pPr>
        <w:spacing w:line="360" w:lineRule="auto"/>
        <w:rPr>
          <w:rFonts w:ascii="Verdana" w:hAnsi="Verdana"/>
          <w:sz w:val="20"/>
          <w:szCs w:val="20"/>
          <w:lang w:val="en-US"/>
        </w:rPr>
      </w:pPr>
      <w:r>
        <w:rPr>
          <w:rFonts w:ascii="Verdana" w:hAnsi="Verdana"/>
          <w:sz w:val="20"/>
          <w:szCs w:val="20"/>
          <w:lang w:val="en-US"/>
        </w:rPr>
        <w:lastRenderedPageBreak/>
        <w:t>6)Additional visualization graphs:</w:t>
      </w:r>
      <w:r>
        <w:rPr>
          <w:rFonts w:ascii="Verdana" w:hAnsi="Verdana"/>
          <w:noProof/>
          <w:sz w:val="20"/>
          <w:szCs w:val="20"/>
          <w:lang w:val="en-US"/>
        </w:rPr>
        <w:drawing>
          <wp:inline distT="0" distB="0" distL="0" distR="0" wp14:anchorId="555AC73A" wp14:editId="6AA93469">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Verdana" w:hAnsi="Verdana"/>
          <w:noProof/>
          <w:sz w:val="20"/>
          <w:szCs w:val="20"/>
          <w:lang w:val="en-US"/>
        </w:rPr>
        <w:lastRenderedPageBreak/>
        <w:drawing>
          <wp:inline distT="0" distB="0" distL="0" distR="0" wp14:anchorId="5FDEE4CA" wp14:editId="1CDDC159">
            <wp:extent cx="6172200" cy="50017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179394" cy="5007612"/>
                    </a:xfrm>
                    <a:prstGeom prst="rect">
                      <a:avLst/>
                    </a:prstGeom>
                  </pic:spPr>
                </pic:pic>
              </a:graphicData>
            </a:graphic>
          </wp:inline>
        </w:drawing>
      </w:r>
    </w:p>
    <w:p w14:paraId="2E2EEDD3" w14:textId="39D2FE76" w:rsidR="00A232FF" w:rsidRPr="00D56575" w:rsidRDefault="001F482A"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6E78C93C" wp14:editId="3BBAACC5">
            <wp:extent cx="5953125" cy="95247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4757" cy="9527338"/>
                    </a:xfrm>
                    <a:prstGeom prst="rect">
                      <a:avLst/>
                    </a:prstGeom>
                  </pic:spPr>
                </pic:pic>
              </a:graphicData>
            </a:graphic>
          </wp:inline>
        </w:drawing>
      </w:r>
    </w:p>
    <w:sectPr w:rsidR="00A232FF"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702A0"/>
    <w:rsid w:val="00180DFD"/>
    <w:rsid w:val="001F482A"/>
    <w:rsid w:val="002271FD"/>
    <w:rsid w:val="002F5EFF"/>
    <w:rsid w:val="003A5471"/>
    <w:rsid w:val="004E7445"/>
    <w:rsid w:val="004F5D92"/>
    <w:rsid w:val="00575BE0"/>
    <w:rsid w:val="00715AD5"/>
    <w:rsid w:val="00786FBD"/>
    <w:rsid w:val="008577D9"/>
    <w:rsid w:val="008658FE"/>
    <w:rsid w:val="00867C67"/>
    <w:rsid w:val="008C4B32"/>
    <w:rsid w:val="00940F86"/>
    <w:rsid w:val="0098012F"/>
    <w:rsid w:val="009C1FED"/>
    <w:rsid w:val="00A232FF"/>
    <w:rsid w:val="00A3090A"/>
    <w:rsid w:val="00A336F7"/>
    <w:rsid w:val="00C4218F"/>
    <w:rsid w:val="00CD76D5"/>
    <w:rsid w:val="00CE0A96"/>
    <w:rsid w:val="00D16C41"/>
    <w:rsid w:val="00D56575"/>
    <w:rsid w:val="00E50BC1"/>
    <w:rsid w:val="00F64D13"/>
    <w:rsid w:val="00F81EA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21</cp:revision>
  <dcterms:created xsi:type="dcterms:W3CDTF">2022-01-16T11:12:00Z</dcterms:created>
  <dcterms:modified xsi:type="dcterms:W3CDTF">2022-01-20T06:33:00Z</dcterms:modified>
</cp:coreProperties>
</file>