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23923" w14:textId="3B6B130D" w:rsidR="00AC4FC2" w:rsidRPr="00F671BF" w:rsidRDefault="00AC4FC2" w:rsidP="009500AB">
      <w:pPr>
        <w:jc w:val="both"/>
      </w:pPr>
    </w:p>
    <w:p w14:paraId="650EF3BC" w14:textId="7BF61477" w:rsidR="00AC4FC2" w:rsidRPr="00F671BF" w:rsidRDefault="00751BBC" w:rsidP="009500AB">
      <w:pPr>
        <w:jc w:val="both"/>
      </w:pPr>
      <w:r w:rsidRPr="00841CFA">
        <w:rPr>
          <w:rFonts w:ascii="Times New Roman" w:hAnsi="Times New Roman" w:cs="Times New Roman"/>
          <w:b/>
          <w:bCs/>
          <w:noProof/>
          <w:sz w:val="40"/>
          <w:szCs w:val="40"/>
        </w:rPr>
        <w:drawing>
          <wp:inline distT="0" distB="0" distL="0" distR="0" wp14:anchorId="2A7C2413" wp14:editId="66A4CE10">
            <wp:extent cx="2909455" cy="981984"/>
            <wp:effectExtent l="0" t="0" r="5715" b="8890"/>
            <wp:docPr id="62015428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4288" name="Picture 2" descr="A blue and white logo&#10;&#10;Description automatically generated"/>
                    <pic:cNvPicPr/>
                  </pic:nvPicPr>
                  <pic:blipFill rotWithShape="1">
                    <a:blip r:embed="rId8" cstate="print">
                      <a:extLst>
                        <a:ext uri="{28A0092B-C50C-407E-A947-70E740481C1C}">
                          <a14:useLocalDpi xmlns:a14="http://schemas.microsoft.com/office/drawing/2010/main" val="0"/>
                        </a:ext>
                      </a:extLst>
                    </a:blip>
                    <a:srcRect b="39996"/>
                    <a:stretch/>
                  </pic:blipFill>
                  <pic:spPr bwMode="auto">
                    <a:xfrm>
                      <a:off x="0" y="0"/>
                      <a:ext cx="2919834" cy="985487"/>
                    </a:xfrm>
                    <a:prstGeom prst="rect">
                      <a:avLst/>
                    </a:prstGeom>
                    <a:ln>
                      <a:noFill/>
                    </a:ln>
                    <a:extLst>
                      <a:ext uri="{53640926-AAD7-44D8-BBD7-CCE9431645EC}">
                        <a14:shadowObscured xmlns:a14="http://schemas.microsoft.com/office/drawing/2010/main"/>
                      </a:ext>
                    </a:extLst>
                  </pic:spPr>
                </pic:pic>
              </a:graphicData>
            </a:graphic>
          </wp:inline>
        </w:drawing>
      </w:r>
    </w:p>
    <w:p w14:paraId="42AA1F3A" w14:textId="5A5B817B" w:rsidR="00AC4FC2" w:rsidRPr="00F671BF" w:rsidRDefault="00AC4FC2" w:rsidP="009500AB">
      <w:pPr>
        <w:jc w:val="both"/>
      </w:pPr>
    </w:p>
    <w:p w14:paraId="0B3D29C1" w14:textId="77777777" w:rsidR="00AC4FC2" w:rsidRPr="00F671BF" w:rsidRDefault="00AC4FC2" w:rsidP="009500AB">
      <w:pPr>
        <w:jc w:val="both"/>
      </w:pPr>
    </w:p>
    <w:p w14:paraId="53FC1D40" w14:textId="77777777" w:rsidR="00E52196" w:rsidRPr="00841CFA" w:rsidRDefault="00E52196" w:rsidP="00E52196">
      <w:pPr>
        <w:spacing w:line="360" w:lineRule="auto"/>
        <w:jc w:val="center"/>
        <w:rPr>
          <w:rFonts w:ascii="Times New Roman" w:hAnsi="Times New Roman" w:cs="Times New Roman"/>
          <w:b/>
          <w:bCs/>
          <w:sz w:val="40"/>
          <w:szCs w:val="40"/>
        </w:rPr>
      </w:pPr>
      <w:r>
        <w:t xml:space="preserve">     </w:t>
      </w:r>
      <w:r w:rsidRPr="00841CFA">
        <w:rPr>
          <w:rFonts w:ascii="Times New Roman" w:hAnsi="Times New Roman" w:cs="Times New Roman"/>
          <w:b/>
          <w:bCs/>
          <w:sz w:val="40"/>
          <w:szCs w:val="40"/>
        </w:rPr>
        <w:t xml:space="preserve">BMGT7073: </w:t>
      </w:r>
      <w:r>
        <w:rPr>
          <w:rFonts w:ascii="Times New Roman" w:hAnsi="Times New Roman" w:cs="Times New Roman"/>
          <w:b/>
          <w:bCs/>
          <w:sz w:val="40"/>
          <w:szCs w:val="40"/>
        </w:rPr>
        <w:t>Data-Driven</w:t>
      </w:r>
      <w:r w:rsidRPr="00841CFA">
        <w:rPr>
          <w:rFonts w:ascii="Times New Roman" w:hAnsi="Times New Roman" w:cs="Times New Roman"/>
          <w:b/>
          <w:bCs/>
          <w:sz w:val="40"/>
          <w:szCs w:val="40"/>
        </w:rPr>
        <w:t xml:space="preserve"> Decision Making</w:t>
      </w:r>
    </w:p>
    <w:p w14:paraId="09FAFDC4" w14:textId="685C590E" w:rsidR="00E52196" w:rsidRPr="00F671BF" w:rsidRDefault="00E52196" w:rsidP="00E52196">
      <w:pPr>
        <w:jc w:val="both"/>
      </w:pPr>
    </w:p>
    <w:p w14:paraId="7CE5EFB0" w14:textId="77777777" w:rsidR="00E52196" w:rsidRDefault="00E52196" w:rsidP="00E52196">
      <w:pPr>
        <w:jc w:val="center"/>
        <w:rPr>
          <w:rFonts w:ascii="Times New Roman" w:hAnsi="Times New Roman" w:cs="Times New Roman"/>
          <w:b/>
          <w:bCs/>
          <w:sz w:val="40"/>
          <w:szCs w:val="40"/>
        </w:rPr>
      </w:pPr>
      <w:r w:rsidRPr="00F564F0">
        <w:rPr>
          <w:rFonts w:ascii="Times New Roman" w:hAnsi="Times New Roman" w:cs="Times New Roman"/>
          <w:b/>
          <w:bCs/>
          <w:sz w:val="40"/>
          <w:szCs w:val="40"/>
        </w:rPr>
        <w:t>A Comprehensive Analysis of Flybe Group Ltd's Financial Journey and Downfall</w:t>
      </w:r>
    </w:p>
    <w:p w14:paraId="10FA7D3D" w14:textId="77777777" w:rsidR="00751BBC" w:rsidRDefault="00751BBC" w:rsidP="00E52196">
      <w:pPr>
        <w:jc w:val="center"/>
        <w:rPr>
          <w:rFonts w:ascii="Times New Roman" w:hAnsi="Times New Roman" w:cs="Times New Roman"/>
          <w:b/>
          <w:bCs/>
          <w:sz w:val="40"/>
          <w:szCs w:val="40"/>
        </w:rPr>
      </w:pPr>
    </w:p>
    <w:p w14:paraId="2CB74C3D" w14:textId="544D3723" w:rsidR="00751BBC" w:rsidRPr="00065E03" w:rsidRDefault="00065E03" w:rsidP="00E52196">
      <w:pPr>
        <w:jc w:val="center"/>
        <w:rPr>
          <w:rFonts w:ascii="Times New Roman" w:hAnsi="Times New Roman" w:cs="Times New Roman"/>
          <w:sz w:val="32"/>
          <w:szCs w:val="32"/>
        </w:rPr>
      </w:pPr>
      <w:r w:rsidRPr="00065E03">
        <w:rPr>
          <w:rFonts w:ascii="Times New Roman" w:hAnsi="Times New Roman" w:cs="Times New Roman"/>
          <w:b/>
          <w:bCs/>
          <w:sz w:val="32"/>
          <w:szCs w:val="32"/>
        </w:rPr>
        <w:t>STUDENT NUMBER: 19254380</w:t>
      </w:r>
    </w:p>
    <w:p w14:paraId="1C292894" w14:textId="77777777" w:rsidR="00E52196" w:rsidRPr="00F671BF" w:rsidRDefault="00E52196" w:rsidP="00E52196">
      <w:pPr>
        <w:jc w:val="both"/>
      </w:pPr>
    </w:p>
    <w:p w14:paraId="37576FD7" w14:textId="77777777" w:rsidR="00AC4FC2" w:rsidRPr="00F671BF" w:rsidRDefault="00AC4FC2" w:rsidP="009500AB">
      <w:pPr>
        <w:jc w:val="both"/>
      </w:pPr>
    </w:p>
    <w:p w14:paraId="7B173BF2" w14:textId="77777777" w:rsidR="00AC4FC2" w:rsidRPr="00F671BF" w:rsidRDefault="00AC4FC2" w:rsidP="009500AB">
      <w:pPr>
        <w:jc w:val="both"/>
      </w:pPr>
    </w:p>
    <w:p w14:paraId="1E3FC79C" w14:textId="77777777" w:rsidR="00AC4FC2" w:rsidRPr="00F671BF" w:rsidRDefault="00AC4FC2" w:rsidP="009500AB">
      <w:pPr>
        <w:jc w:val="both"/>
      </w:pPr>
    </w:p>
    <w:p w14:paraId="26066E39" w14:textId="77777777" w:rsidR="00AC4FC2" w:rsidRPr="00F671BF" w:rsidRDefault="00AC4FC2" w:rsidP="009500AB">
      <w:pPr>
        <w:jc w:val="both"/>
      </w:pPr>
    </w:p>
    <w:p w14:paraId="46C00F8C" w14:textId="77777777" w:rsidR="00AC4FC2" w:rsidRPr="00F671BF" w:rsidRDefault="00AC4FC2" w:rsidP="009500AB">
      <w:pPr>
        <w:jc w:val="both"/>
      </w:pPr>
    </w:p>
    <w:p w14:paraId="0310A37D" w14:textId="77777777" w:rsidR="00AC4FC2" w:rsidRPr="00F671BF" w:rsidRDefault="00AC4FC2" w:rsidP="009500AB">
      <w:pPr>
        <w:jc w:val="both"/>
      </w:pPr>
    </w:p>
    <w:p w14:paraId="6FC48B13" w14:textId="77777777" w:rsidR="00AC4FC2" w:rsidRPr="00F671BF" w:rsidRDefault="00AC4FC2" w:rsidP="009500AB">
      <w:pPr>
        <w:jc w:val="both"/>
      </w:pPr>
    </w:p>
    <w:p w14:paraId="56D14568" w14:textId="77777777" w:rsidR="00AC4FC2" w:rsidRPr="00F671BF" w:rsidRDefault="00AC4FC2" w:rsidP="009500AB">
      <w:pPr>
        <w:jc w:val="both"/>
      </w:pPr>
    </w:p>
    <w:p w14:paraId="51B78AFE" w14:textId="77777777" w:rsidR="00AC4FC2" w:rsidRPr="00F671BF" w:rsidRDefault="00AC4FC2" w:rsidP="009500AB">
      <w:pPr>
        <w:jc w:val="both"/>
      </w:pPr>
    </w:p>
    <w:p w14:paraId="2EC77DFD" w14:textId="77777777" w:rsidR="00AC4FC2" w:rsidRPr="00F671BF" w:rsidRDefault="00AC4FC2" w:rsidP="009500AB">
      <w:pPr>
        <w:jc w:val="both"/>
      </w:pPr>
    </w:p>
    <w:p w14:paraId="480C8F3A" w14:textId="77777777" w:rsidR="00AC4FC2" w:rsidRPr="00F671BF" w:rsidRDefault="00AC4FC2" w:rsidP="009500AB">
      <w:pPr>
        <w:jc w:val="both"/>
      </w:pPr>
    </w:p>
    <w:p w14:paraId="2D69BFC2" w14:textId="77777777" w:rsidR="00AC4FC2" w:rsidRPr="00F671BF" w:rsidRDefault="00AC4FC2" w:rsidP="009500AB">
      <w:pPr>
        <w:jc w:val="both"/>
      </w:pPr>
    </w:p>
    <w:p w14:paraId="69C531DE" w14:textId="77777777" w:rsidR="00AC4FC2" w:rsidRPr="00F671BF" w:rsidRDefault="00AC4FC2" w:rsidP="009500AB">
      <w:pPr>
        <w:jc w:val="both"/>
      </w:pPr>
    </w:p>
    <w:p w14:paraId="0745DEB1" w14:textId="77777777" w:rsidR="00AC4FC2" w:rsidRPr="00F671BF" w:rsidRDefault="00AC4FC2" w:rsidP="009500AB">
      <w:pPr>
        <w:jc w:val="both"/>
      </w:pPr>
    </w:p>
    <w:p w14:paraId="39427437" w14:textId="77777777" w:rsidR="00AC4FC2" w:rsidRPr="00F671BF" w:rsidRDefault="00AC4FC2" w:rsidP="009500AB">
      <w:pPr>
        <w:jc w:val="both"/>
      </w:pPr>
    </w:p>
    <w:p w14:paraId="57BE2369" w14:textId="77777777" w:rsidR="00B852DE" w:rsidRDefault="00B852DE" w:rsidP="00AF6D80">
      <w:pPr>
        <w:spacing w:line="276" w:lineRule="auto"/>
        <w:jc w:val="center"/>
        <w:rPr>
          <w:rFonts w:ascii="Arial" w:hAnsi="Arial" w:cs="Arial"/>
          <w:b/>
          <w:bCs/>
        </w:rPr>
      </w:pPr>
    </w:p>
    <w:p w14:paraId="16B8CFDB" w14:textId="77777777" w:rsidR="00B852DE" w:rsidRDefault="00B852DE" w:rsidP="00AF6D80">
      <w:pPr>
        <w:spacing w:line="276" w:lineRule="auto"/>
        <w:jc w:val="center"/>
        <w:rPr>
          <w:rFonts w:ascii="Arial" w:hAnsi="Arial" w:cs="Arial"/>
          <w:b/>
          <w:bCs/>
        </w:rPr>
      </w:pPr>
    </w:p>
    <w:p w14:paraId="76D570D5" w14:textId="77777777" w:rsidR="00B852DE" w:rsidRDefault="00B852DE" w:rsidP="00AF6D80">
      <w:pPr>
        <w:spacing w:line="276" w:lineRule="auto"/>
        <w:jc w:val="center"/>
        <w:rPr>
          <w:rFonts w:ascii="Arial" w:hAnsi="Arial" w:cs="Arial"/>
          <w:b/>
          <w:bCs/>
        </w:rPr>
      </w:pPr>
    </w:p>
    <w:p w14:paraId="20AF7FE4" w14:textId="4B0AC286" w:rsidR="00AC4FC2" w:rsidRPr="00B852DE" w:rsidRDefault="00AF6D80" w:rsidP="00AF6D80">
      <w:pPr>
        <w:spacing w:line="276" w:lineRule="auto"/>
        <w:jc w:val="center"/>
        <w:rPr>
          <w:rFonts w:ascii="Arial" w:hAnsi="Arial" w:cs="Arial"/>
          <w:b/>
          <w:bCs/>
        </w:rPr>
      </w:pPr>
      <w:r w:rsidRPr="00B852DE">
        <w:rPr>
          <w:rFonts w:ascii="Arial" w:hAnsi="Arial" w:cs="Arial"/>
          <w:b/>
          <w:bCs/>
        </w:rPr>
        <w:t>TABLE OF FIGURES</w:t>
      </w:r>
    </w:p>
    <w:p w14:paraId="17544A3E" w14:textId="0A2C0D38" w:rsidR="00CB5F0B" w:rsidRDefault="00AF6D80" w:rsidP="00B852DE">
      <w:pPr>
        <w:pStyle w:val="TOC1"/>
        <w:tabs>
          <w:tab w:val="right" w:leader="dot" w:pos="8296"/>
        </w:tabs>
        <w:rPr>
          <w:rFonts w:eastAsiaTheme="minorEastAsia"/>
          <w:noProof/>
          <w:sz w:val="24"/>
          <w:szCs w:val="24"/>
          <w:lang w:val="en-IN" w:eastAsia="en-IN"/>
        </w:rPr>
      </w:pPr>
      <w:r w:rsidRPr="00AF6D80">
        <w:rPr>
          <w:rFonts w:ascii="Arial" w:hAnsi="Arial" w:cs="Arial"/>
        </w:rPr>
        <w:fldChar w:fldCharType="begin"/>
      </w:r>
      <w:r w:rsidRPr="00AF6D80">
        <w:rPr>
          <w:rFonts w:ascii="Arial" w:hAnsi="Arial" w:cs="Arial"/>
        </w:rPr>
        <w:instrText xml:space="preserve"> TOC \o "1-1" \h \z \u </w:instrText>
      </w:r>
      <w:r w:rsidRPr="00AF6D80">
        <w:rPr>
          <w:rFonts w:ascii="Arial" w:hAnsi="Arial" w:cs="Arial"/>
        </w:rPr>
        <w:fldChar w:fldCharType="separate"/>
      </w:r>
    </w:p>
    <w:p w14:paraId="17B0F9C7" w14:textId="499C8A07" w:rsidR="00CB5F0B" w:rsidRDefault="00000000">
      <w:pPr>
        <w:pStyle w:val="TOC1"/>
        <w:tabs>
          <w:tab w:val="right" w:leader="dot" w:pos="8296"/>
        </w:tabs>
        <w:rPr>
          <w:rFonts w:eastAsiaTheme="minorEastAsia"/>
          <w:noProof/>
          <w:sz w:val="24"/>
          <w:szCs w:val="24"/>
          <w:lang w:val="en-IN" w:eastAsia="en-IN"/>
        </w:rPr>
      </w:pPr>
      <w:hyperlink w:anchor="_Toc166266133" w:history="1">
        <w:r w:rsidR="00CB5F0B" w:rsidRPr="00DB6CAA">
          <w:rPr>
            <w:rStyle w:val="Hyperlink"/>
            <w:rFonts w:ascii="Arial" w:eastAsia="Times New Roman" w:hAnsi="Arial" w:cs="Arial"/>
            <w:i/>
            <w:iCs/>
            <w:noProof/>
            <w:kern w:val="0"/>
            <w:lang w:val="en-IN" w:eastAsia="en-IN"/>
            <w14:ligatures w14:val="none"/>
          </w:rPr>
          <w:t>Figure 1: Net income of Flybe from 1999-2018</w:t>
        </w:r>
        <w:r w:rsidR="00CB5F0B">
          <w:rPr>
            <w:noProof/>
            <w:webHidden/>
          </w:rPr>
          <w:tab/>
        </w:r>
        <w:r w:rsidR="00CB5F0B">
          <w:rPr>
            <w:noProof/>
            <w:webHidden/>
          </w:rPr>
          <w:fldChar w:fldCharType="begin"/>
        </w:r>
        <w:r w:rsidR="00CB5F0B">
          <w:rPr>
            <w:noProof/>
            <w:webHidden/>
          </w:rPr>
          <w:instrText xml:space="preserve"> PAGEREF _Toc166266133 \h </w:instrText>
        </w:r>
        <w:r w:rsidR="00CB5F0B">
          <w:rPr>
            <w:noProof/>
            <w:webHidden/>
          </w:rPr>
        </w:r>
        <w:r w:rsidR="00CB5F0B">
          <w:rPr>
            <w:noProof/>
            <w:webHidden/>
          </w:rPr>
          <w:fldChar w:fldCharType="separate"/>
        </w:r>
        <w:r w:rsidR="00CB5F0B">
          <w:rPr>
            <w:noProof/>
            <w:webHidden/>
          </w:rPr>
          <w:t>9</w:t>
        </w:r>
        <w:r w:rsidR="00CB5F0B">
          <w:rPr>
            <w:noProof/>
            <w:webHidden/>
          </w:rPr>
          <w:fldChar w:fldCharType="end"/>
        </w:r>
      </w:hyperlink>
    </w:p>
    <w:p w14:paraId="7B6B052E" w14:textId="709DA111" w:rsidR="00CB5F0B" w:rsidRDefault="00000000">
      <w:pPr>
        <w:pStyle w:val="TOC1"/>
        <w:tabs>
          <w:tab w:val="right" w:leader="dot" w:pos="8296"/>
        </w:tabs>
        <w:rPr>
          <w:rFonts w:eastAsiaTheme="minorEastAsia"/>
          <w:noProof/>
          <w:sz w:val="24"/>
          <w:szCs w:val="24"/>
          <w:lang w:val="en-IN" w:eastAsia="en-IN"/>
        </w:rPr>
      </w:pPr>
      <w:hyperlink w:anchor="_Toc166266134" w:history="1">
        <w:r w:rsidR="00CB5F0B" w:rsidRPr="00DB6CAA">
          <w:rPr>
            <w:rStyle w:val="Hyperlink"/>
            <w:rFonts w:ascii="Arial" w:eastAsia="Times New Roman" w:hAnsi="Arial" w:cs="Arial"/>
            <w:i/>
            <w:iCs/>
            <w:noProof/>
            <w:kern w:val="0"/>
            <w:lang w:val="en-IN" w:eastAsia="en-IN"/>
            <w14:ligatures w14:val="none"/>
          </w:rPr>
          <w:t>Figure 2: Flybe turnover of national and overseas (2010- 2018)</w:t>
        </w:r>
        <w:r w:rsidR="00CB5F0B">
          <w:rPr>
            <w:noProof/>
            <w:webHidden/>
          </w:rPr>
          <w:tab/>
        </w:r>
        <w:r w:rsidR="00CB5F0B">
          <w:rPr>
            <w:noProof/>
            <w:webHidden/>
          </w:rPr>
          <w:fldChar w:fldCharType="begin"/>
        </w:r>
        <w:r w:rsidR="00CB5F0B">
          <w:rPr>
            <w:noProof/>
            <w:webHidden/>
          </w:rPr>
          <w:instrText xml:space="preserve"> PAGEREF _Toc166266134 \h </w:instrText>
        </w:r>
        <w:r w:rsidR="00CB5F0B">
          <w:rPr>
            <w:noProof/>
            <w:webHidden/>
          </w:rPr>
        </w:r>
        <w:r w:rsidR="00CB5F0B">
          <w:rPr>
            <w:noProof/>
            <w:webHidden/>
          </w:rPr>
          <w:fldChar w:fldCharType="separate"/>
        </w:r>
        <w:r w:rsidR="00CB5F0B">
          <w:rPr>
            <w:noProof/>
            <w:webHidden/>
          </w:rPr>
          <w:t>10</w:t>
        </w:r>
        <w:r w:rsidR="00CB5F0B">
          <w:rPr>
            <w:noProof/>
            <w:webHidden/>
          </w:rPr>
          <w:fldChar w:fldCharType="end"/>
        </w:r>
      </w:hyperlink>
    </w:p>
    <w:p w14:paraId="53B2B743" w14:textId="1643243A" w:rsidR="00CB5F0B" w:rsidRDefault="00000000">
      <w:pPr>
        <w:pStyle w:val="TOC1"/>
        <w:tabs>
          <w:tab w:val="right" w:leader="dot" w:pos="8296"/>
        </w:tabs>
        <w:rPr>
          <w:rFonts w:eastAsiaTheme="minorEastAsia"/>
          <w:noProof/>
          <w:sz w:val="24"/>
          <w:szCs w:val="24"/>
          <w:lang w:val="en-IN" w:eastAsia="en-IN"/>
        </w:rPr>
      </w:pPr>
      <w:hyperlink w:anchor="_Toc166266135" w:history="1">
        <w:r w:rsidR="00CB5F0B" w:rsidRPr="00DB6CAA">
          <w:rPr>
            <w:rStyle w:val="Hyperlink"/>
            <w:rFonts w:ascii="Arial" w:hAnsi="Arial" w:cs="Arial"/>
            <w:i/>
            <w:iCs/>
            <w:noProof/>
          </w:rPr>
          <w:t>Figure 3: Assets Comparison over each year</w:t>
        </w:r>
        <w:r w:rsidR="00CB5F0B">
          <w:rPr>
            <w:noProof/>
            <w:webHidden/>
          </w:rPr>
          <w:tab/>
        </w:r>
        <w:r w:rsidR="00CB5F0B">
          <w:rPr>
            <w:noProof/>
            <w:webHidden/>
          </w:rPr>
          <w:fldChar w:fldCharType="begin"/>
        </w:r>
        <w:r w:rsidR="00CB5F0B">
          <w:rPr>
            <w:noProof/>
            <w:webHidden/>
          </w:rPr>
          <w:instrText xml:space="preserve"> PAGEREF _Toc166266135 \h </w:instrText>
        </w:r>
        <w:r w:rsidR="00CB5F0B">
          <w:rPr>
            <w:noProof/>
            <w:webHidden/>
          </w:rPr>
        </w:r>
        <w:r w:rsidR="00CB5F0B">
          <w:rPr>
            <w:noProof/>
            <w:webHidden/>
          </w:rPr>
          <w:fldChar w:fldCharType="separate"/>
        </w:r>
        <w:r w:rsidR="00CB5F0B">
          <w:rPr>
            <w:noProof/>
            <w:webHidden/>
          </w:rPr>
          <w:t>11</w:t>
        </w:r>
        <w:r w:rsidR="00CB5F0B">
          <w:rPr>
            <w:noProof/>
            <w:webHidden/>
          </w:rPr>
          <w:fldChar w:fldCharType="end"/>
        </w:r>
      </w:hyperlink>
    </w:p>
    <w:p w14:paraId="0A2D616E" w14:textId="6231A3C2" w:rsidR="00CB5F0B" w:rsidRDefault="00000000">
      <w:pPr>
        <w:pStyle w:val="TOC1"/>
        <w:tabs>
          <w:tab w:val="right" w:leader="dot" w:pos="8296"/>
        </w:tabs>
        <w:rPr>
          <w:rFonts w:eastAsiaTheme="minorEastAsia"/>
          <w:noProof/>
          <w:sz w:val="24"/>
          <w:szCs w:val="24"/>
          <w:lang w:val="en-IN" w:eastAsia="en-IN"/>
        </w:rPr>
      </w:pPr>
      <w:hyperlink w:anchor="_Toc166266136" w:history="1">
        <w:r w:rsidR="00CB5F0B" w:rsidRPr="00DB6CAA">
          <w:rPr>
            <w:rStyle w:val="Hyperlink"/>
            <w:rFonts w:ascii="Arial" w:hAnsi="Arial" w:cs="Arial"/>
            <w:i/>
            <w:iCs/>
            <w:noProof/>
          </w:rPr>
          <w:t>(Source: Author,2024)</w:t>
        </w:r>
        <w:r w:rsidR="00CB5F0B">
          <w:rPr>
            <w:noProof/>
            <w:webHidden/>
          </w:rPr>
          <w:tab/>
        </w:r>
        <w:r w:rsidR="00CB5F0B">
          <w:rPr>
            <w:noProof/>
            <w:webHidden/>
          </w:rPr>
          <w:fldChar w:fldCharType="begin"/>
        </w:r>
        <w:r w:rsidR="00CB5F0B">
          <w:rPr>
            <w:noProof/>
            <w:webHidden/>
          </w:rPr>
          <w:instrText xml:space="preserve"> PAGEREF _Toc166266136 \h </w:instrText>
        </w:r>
        <w:r w:rsidR="00CB5F0B">
          <w:rPr>
            <w:noProof/>
            <w:webHidden/>
          </w:rPr>
        </w:r>
        <w:r w:rsidR="00CB5F0B">
          <w:rPr>
            <w:noProof/>
            <w:webHidden/>
          </w:rPr>
          <w:fldChar w:fldCharType="separate"/>
        </w:r>
        <w:r w:rsidR="00CB5F0B">
          <w:rPr>
            <w:noProof/>
            <w:webHidden/>
          </w:rPr>
          <w:t>11</w:t>
        </w:r>
        <w:r w:rsidR="00CB5F0B">
          <w:rPr>
            <w:noProof/>
            <w:webHidden/>
          </w:rPr>
          <w:fldChar w:fldCharType="end"/>
        </w:r>
      </w:hyperlink>
    </w:p>
    <w:p w14:paraId="09FF7582" w14:textId="4635F049" w:rsidR="00CB5F0B" w:rsidRDefault="00000000">
      <w:pPr>
        <w:pStyle w:val="TOC1"/>
        <w:tabs>
          <w:tab w:val="right" w:leader="dot" w:pos="8296"/>
        </w:tabs>
        <w:rPr>
          <w:rFonts w:eastAsiaTheme="minorEastAsia"/>
          <w:noProof/>
          <w:sz w:val="24"/>
          <w:szCs w:val="24"/>
          <w:lang w:val="en-IN" w:eastAsia="en-IN"/>
        </w:rPr>
      </w:pPr>
      <w:hyperlink w:anchor="_Toc166266137" w:history="1">
        <w:r w:rsidR="00CB5F0B" w:rsidRPr="00DB6CAA">
          <w:rPr>
            <w:rStyle w:val="Hyperlink"/>
            <w:rFonts w:ascii="Arial" w:hAnsi="Arial" w:cs="Arial"/>
            <w:noProof/>
            <w:lang w:val="en-IN"/>
          </w:rPr>
          <w:t>Figure 4: Net Assets Turnover (Source: Author,2024)</w:t>
        </w:r>
        <w:r w:rsidR="00CB5F0B">
          <w:rPr>
            <w:noProof/>
            <w:webHidden/>
          </w:rPr>
          <w:tab/>
        </w:r>
        <w:r w:rsidR="00CB5F0B">
          <w:rPr>
            <w:noProof/>
            <w:webHidden/>
          </w:rPr>
          <w:fldChar w:fldCharType="begin"/>
        </w:r>
        <w:r w:rsidR="00CB5F0B">
          <w:rPr>
            <w:noProof/>
            <w:webHidden/>
          </w:rPr>
          <w:instrText xml:space="preserve"> PAGEREF _Toc166266137 \h </w:instrText>
        </w:r>
        <w:r w:rsidR="00CB5F0B">
          <w:rPr>
            <w:noProof/>
            <w:webHidden/>
          </w:rPr>
        </w:r>
        <w:r w:rsidR="00CB5F0B">
          <w:rPr>
            <w:noProof/>
            <w:webHidden/>
          </w:rPr>
          <w:fldChar w:fldCharType="separate"/>
        </w:r>
        <w:r w:rsidR="00CB5F0B">
          <w:rPr>
            <w:noProof/>
            <w:webHidden/>
          </w:rPr>
          <w:t>12</w:t>
        </w:r>
        <w:r w:rsidR="00CB5F0B">
          <w:rPr>
            <w:noProof/>
            <w:webHidden/>
          </w:rPr>
          <w:fldChar w:fldCharType="end"/>
        </w:r>
      </w:hyperlink>
    </w:p>
    <w:p w14:paraId="284BA6B6" w14:textId="6668190C" w:rsidR="00CB5F0B" w:rsidRDefault="00000000">
      <w:pPr>
        <w:pStyle w:val="TOC1"/>
        <w:tabs>
          <w:tab w:val="right" w:leader="dot" w:pos="8296"/>
        </w:tabs>
        <w:rPr>
          <w:rFonts w:eastAsiaTheme="minorEastAsia"/>
          <w:noProof/>
          <w:sz w:val="24"/>
          <w:szCs w:val="24"/>
          <w:lang w:val="en-IN" w:eastAsia="en-IN"/>
        </w:rPr>
      </w:pPr>
      <w:hyperlink w:anchor="_Toc166266138" w:history="1">
        <w:r w:rsidR="00CB5F0B" w:rsidRPr="00DB6CAA">
          <w:rPr>
            <w:rStyle w:val="Hyperlink"/>
            <w:rFonts w:ascii="Arial" w:hAnsi="Arial" w:cs="Arial"/>
            <w:i/>
            <w:iCs/>
            <w:noProof/>
          </w:rPr>
          <w:t>Figure 5: Return on Shareholders’ Funds (Source: Author,2024)</w:t>
        </w:r>
        <w:r w:rsidR="00CB5F0B">
          <w:rPr>
            <w:noProof/>
            <w:webHidden/>
          </w:rPr>
          <w:tab/>
        </w:r>
        <w:r w:rsidR="00CB5F0B">
          <w:rPr>
            <w:noProof/>
            <w:webHidden/>
          </w:rPr>
          <w:fldChar w:fldCharType="begin"/>
        </w:r>
        <w:r w:rsidR="00CB5F0B">
          <w:rPr>
            <w:noProof/>
            <w:webHidden/>
          </w:rPr>
          <w:instrText xml:space="preserve"> PAGEREF _Toc166266138 \h </w:instrText>
        </w:r>
        <w:r w:rsidR="00CB5F0B">
          <w:rPr>
            <w:noProof/>
            <w:webHidden/>
          </w:rPr>
        </w:r>
        <w:r w:rsidR="00CB5F0B">
          <w:rPr>
            <w:noProof/>
            <w:webHidden/>
          </w:rPr>
          <w:fldChar w:fldCharType="separate"/>
        </w:r>
        <w:r w:rsidR="00CB5F0B">
          <w:rPr>
            <w:noProof/>
            <w:webHidden/>
          </w:rPr>
          <w:t>13</w:t>
        </w:r>
        <w:r w:rsidR="00CB5F0B">
          <w:rPr>
            <w:noProof/>
            <w:webHidden/>
          </w:rPr>
          <w:fldChar w:fldCharType="end"/>
        </w:r>
      </w:hyperlink>
    </w:p>
    <w:p w14:paraId="79476D94" w14:textId="22D0C176" w:rsidR="00CB5F0B" w:rsidRDefault="00000000">
      <w:pPr>
        <w:pStyle w:val="TOC1"/>
        <w:tabs>
          <w:tab w:val="right" w:leader="dot" w:pos="8296"/>
        </w:tabs>
        <w:rPr>
          <w:rFonts w:eastAsiaTheme="minorEastAsia"/>
          <w:noProof/>
          <w:sz w:val="24"/>
          <w:szCs w:val="24"/>
          <w:lang w:val="en-IN" w:eastAsia="en-IN"/>
        </w:rPr>
      </w:pPr>
      <w:hyperlink w:anchor="_Toc166266139" w:history="1">
        <w:r w:rsidR="00CB5F0B" w:rsidRPr="00DB6CAA">
          <w:rPr>
            <w:rStyle w:val="Hyperlink"/>
            <w:rFonts w:ascii="Arial" w:hAnsi="Arial" w:cs="Arial"/>
            <w:i/>
            <w:iCs/>
            <w:noProof/>
          </w:rPr>
          <w:t>Figure 6: Represents return on Capital Employed</w:t>
        </w:r>
        <w:r w:rsidR="00CB5F0B">
          <w:rPr>
            <w:noProof/>
            <w:webHidden/>
          </w:rPr>
          <w:tab/>
        </w:r>
        <w:r w:rsidR="00CB5F0B">
          <w:rPr>
            <w:noProof/>
            <w:webHidden/>
          </w:rPr>
          <w:fldChar w:fldCharType="begin"/>
        </w:r>
        <w:r w:rsidR="00CB5F0B">
          <w:rPr>
            <w:noProof/>
            <w:webHidden/>
          </w:rPr>
          <w:instrText xml:space="preserve"> PAGEREF _Toc166266139 \h </w:instrText>
        </w:r>
        <w:r w:rsidR="00CB5F0B">
          <w:rPr>
            <w:noProof/>
            <w:webHidden/>
          </w:rPr>
        </w:r>
        <w:r w:rsidR="00CB5F0B">
          <w:rPr>
            <w:noProof/>
            <w:webHidden/>
          </w:rPr>
          <w:fldChar w:fldCharType="separate"/>
        </w:r>
        <w:r w:rsidR="00CB5F0B">
          <w:rPr>
            <w:noProof/>
            <w:webHidden/>
          </w:rPr>
          <w:t>14</w:t>
        </w:r>
        <w:r w:rsidR="00CB5F0B">
          <w:rPr>
            <w:noProof/>
            <w:webHidden/>
          </w:rPr>
          <w:fldChar w:fldCharType="end"/>
        </w:r>
      </w:hyperlink>
    </w:p>
    <w:p w14:paraId="4443C253" w14:textId="3159B097" w:rsidR="00CB5F0B" w:rsidRDefault="00000000">
      <w:pPr>
        <w:pStyle w:val="TOC1"/>
        <w:tabs>
          <w:tab w:val="right" w:leader="dot" w:pos="8296"/>
        </w:tabs>
        <w:rPr>
          <w:rFonts w:eastAsiaTheme="minorEastAsia"/>
          <w:noProof/>
          <w:sz w:val="24"/>
          <w:szCs w:val="24"/>
          <w:lang w:val="en-IN" w:eastAsia="en-IN"/>
        </w:rPr>
      </w:pPr>
      <w:hyperlink w:anchor="_Toc166266140" w:history="1">
        <w:r w:rsidR="00CB5F0B" w:rsidRPr="00DB6CAA">
          <w:rPr>
            <w:rStyle w:val="Hyperlink"/>
            <w:rFonts w:ascii="Arial" w:hAnsi="Arial" w:cs="Arial"/>
            <w:i/>
            <w:iCs/>
            <w:noProof/>
            <w:lang w:val="en-IN"/>
          </w:rPr>
          <w:t>Figure 7: Representation of profit Margin in % (Source: Author,2024)</w:t>
        </w:r>
        <w:r w:rsidR="00CB5F0B">
          <w:rPr>
            <w:noProof/>
            <w:webHidden/>
          </w:rPr>
          <w:tab/>
        </w:r>
        <w:r w:rsidR="00CB5F0B">
          <w:rPr>
            <w:noProof/>
            <w:webHidden/>
          </w:rPr>
          <w:fldChar w:fldCharType="begin"/>
        </w:r>
        <w:r w:rsidR="00CB5F0B">
          <w:rPr>
            <w:noProof/>
            <w:webHidden/>
          </w:rPr>
          <w:instrText xml:space="preserve"> PAGEREF _Toc166266140 \h </w:instrText>
        </w:r>
        <w:r w:rsidR="00CB5F0B">
          <w:rPr>
            <w:noProof/>
            <w:webHidden/>
          </w:rPr>
        </w:r>
        <w:r w:rsidR="00CB5F0B">
          <w:rPr>
            <w:noProof/>
            <w:webHidden/>
          </w:rPr>
          <w:fldChar w:fldCharType="separate"/>
        </w:r>
        <w:r w:rsidR="00CB5F0B">
          <w:rPr>
            <w:noProof/>
            <w:webHidden/>
          </w:rPr>
          <w:t>15</w:t>
        </w:r>
        <w:r w:rsidR="00CB5F0B">
          <w:rPr>
            <w:noProof/>
            <w:webHidden/>
          </w:rPr>
          <w:fldChar w:fldCharType="end"/>
        </w:r>
      </w:hyperlink>
    </w:p>
    <w:p w14:paraId="7682B1DB" w14:textId="04EE35A3" w:rsidR="00CB5F0B" w:rsidRDefault="00000000">
      <w:pPr>
        <w:pStyle w:val="TOC1"/>
        <w:tabs>
          <w:tab w:val="right" w:leader="dot" w:pos="8296"/>
        </w:tabs>
        <w:rPr>
          <w:rFonts w:eastAsiaTheme="minorEastAsia"/>
          <w:noProof/>
          <w:sz w:val="24"/>
          <w:szCs w:val="24"/>
          <w:lang w:val="en-IN" w:eastAsia="en-IN"/>
        </w:rPr>
      </w:pPr>
      <w:hyperlink w:anchor="_Toc166266141" w:history="1">
        <w:r w:rsidR="00CB5F0B" w:rsidRPr="00DB6CAA">
          <w:rPr>
            <w:rStyle w:val="Hyperlink"/>
            <w:rFonts w:ascii="Arial" w:hAnsi="Arial" w:cs="Arial"/>
            <w:i/>
            <w:iCs/>
            <w:noProof/>
            <w:lang w:val="en-IN"/>
          </w:rPr>
          <w:t>Figure 8: Comparison of ratios (Source: Author,2024)</w:t>
        </w:r>
        <w:r w:rsidR="00CB5F0B">
          <w:rPr>
            <w:noProof/>
            <w:webHidden/>
          </w:rPr>
          <w:tab/>
        </w:r>
        <w:r w:rsidR="00CB5F0B">
          <w:rPr>
            <w:noProof/>
            <w:webHidden/>
          </w:rPr>
          <w:fldChar w:fldCharType="begin"/>
        </w:r>
        <w:r w:rsidR="00CB5F0B">
          <w:rPr>
            <w:noProof/>
            <w:webHidden/>
          </w:rPr>
          <w:instrText xml:space="preserve"> PAGEREF _Toc166266141 \h </w:instrText>
        </w:r>
        <w:r w:rsidR="00CB5F0B">
          <w:rPr>
            <w:noProof/>
            <w:webHidden/>
          </w:rPr>
        </w:r>
        <w:r w:rsidR="00CB5F0B">
          <w:rPr>
            <w:noProof/>
            <w:webHidden/>
          </w:rPr>
          <w:fldChar w:fldCharType="separate"/>
        </w:r>
        <w:r w:rsidR="00CB5F0B">
          <w:rPr>
            <w:noProof/>
            <w:webHidden/>
          </w:rPr>
          <w:t>16</w:t>
        </w:r>
        <w:r w:rsidR="00CB5F0B">
          <w:rPr>
            <w:noProof/>
            <w:webHidden/>
          </w:rPr>
          <w:fldChar w:fldCharType="end"/>
        </w:r>
      </w:hyperlink>
    </w:p>
    <w:p w14:paraId="0EEE183F" w14:textId="60104A17" w:rsidR="00CB5F0B" w:rsidRDefault="00000000">
      <w:pPr>
        <w:pStyle w:val="TOC1"/>
        <w:tabs>
          <w:tab w:val="right" w:leader="dot" w:pos="8296"/>
        </w:tabs>
        <w:rPr>
          <w:rFonts w:eastAsiaTheme="minorEastAsia"/>
          <w:noProof/>
          <w:sz w:val="24"/>
          <w:szCs w:val="24"/>
          <w:lang w:val="en-IN" w:eastAsia="en-IN"/>
        </w:rPr>
      </w:pPr>
      <w:hyperlink w:anchor="_Toc166266142" w:history="1">
        <w:r w:rsidR="00CB5F0B" w:rsidRPr="00DB6CAA">
          <w:rPr>
            <w:rStyle w:val="Hyperlink"/>
            <w:rFonts w:ascii="Arial" w:hAnsi="Arial" w:cs="Arial"/>
            <w:i/>
            <w:iCs/>
            <w:noProof/>
            <w:lang w:val="en-IN"/>
          </w:rPr>
          <w:t>Figure 9: Solvency Ratio Comparison (Source: Author,2024)</w:t>
        </w:r>
        <w:r w:rsidR="00CB5F0B">
          <w:rPr>
            <w:noProof/>
            <w:webHidden/>
          </w:rPr>
          <w:tab/>
        </w:r>
        <w:r w:rsidR="00CB5F0B">
          <w:rPr>
            <w:noProof/>
            <w:webHidden/>
          </w:rPr>
          <w:fldChar w:fldCharType="begin"/>
        </w:r>
        <w:r w:rsidR="00CB5F0B">
          <w:rPr>
            <w:noProof/>
            <w:webHidden/>
          </w:rPr>
          <w:instrText xml:space="preserve"> PAGEREF _Toc166266142 \h </w:instrText>
        </w:r>
        <w:r w:rsidR="00CB5F0B">
          <w:rPr>
            <w:noProof/>
            <w:webHidden/>
          </w:rPr>
        </w:r>
        <w:r w:rsidR="00CB5F0B">
          <w:rPr>
            <w:noProof/>
            <w:webHidden/>
          </w:rPr>
          <w:fldChar w:fldCharType="separate"/>
        </w:r>
        <w:r w:rsidR="00CB5F0B">
          <w:rPr>
            <w:noProof/>
            <w:webHidden/>
          </w:rPr>
          <w:t>17</w:t>
        </w:r>
        <w:r w:rsidR="00CB5F0B">
          <w:rPr>
            <w:noProof/>
            <w:webHidden/>
          </w:rPr>
          <w:fldChar w:fldCharType="end"/>
        </w:r>
      </w:hyperlink>
    </w:p>
    <w:p w14:paraId="6D7B29AB" w14:textId="25542BDA" w:rsidR="00AC4FC2" w:rsidRPr="00F671BF" w:rsidRDefault="00AF6D80" w:rsidP="00AF6D80">
      <w:pPr>
        <w:spacing w:line="276" w:lineRule="auto"/>
        <w:jc w:val="both"/>
      </w:pPr>
      <w:r w:rsidRPr="00AF6D80">
        <w:rPr>
          <w:rFonts w:ascii="Arial" w:hAnsi="Arial" w:cs="Arial"/>
        </w:rPr>
        <w:fldChar w:fldCharType="end"/>
      </w:r>
    </w:p>
    <w:p w14:paraId="299DE3BB" w14:textId="77777777" w:rsidR="00AC4FC2" w:rsidRPr="00F671BF" w:rsidRDefault="00AC4FC2" w:rsidP="009500AB">
      <w:pPr>
        <w:jc w:val="both"/>
      </w:pPr>
    </w:p>
    <w:p w14:paraId="23CE6590" w14:textId="77777777" w:rsidR="00AC4FC2" w:rsidRPr="00F671BF" w:rsidRDefault="00AC4FC2" w:rsidP="009500AB">
      <w:pPr>
        <w:jc w:val="both"/>
      </w:pPr>
    </w:p>
    <w:p w14:paraId="67457DDA" w14:textId="77777777" w:rsidR="00AC4FC2" w:rsidRDefault="00AC4FC2" w:rsidP="009500AB">
      <w:pPr>
        <w:jc w:val="both"/>
      </w:pPr>
    </w:p>
    <w:p w14:paraId="44AAEF66" w14:textId="39AE6797" w:rsidR="004E02A4" w:rsidRDefault="006075D9" w:rsidP="006075D9">
      <w:pPr>
        <w:tabs>
          <w:tab w:val="left" w:pos="5173"/>
        </w:tabs>
        <w:jc w:val="both"/>
      </w:pPr>
      <w:r>
        <w:tab/>
      </w:r>
    </w:p>
    <w:p w14:paraId="05784272" w14:textId="77777777" w:rsidR="00AC4FC2" w:rsidRDefault="00AC4FC2" w:rsidP="009500AB">
      <w:pPr>
        <w:jc w:val="both"/>
      </w:pPr>
    </w:p>
    <w:p w14:paraId="5C0E944C" w14:textId="77777777" w:rsidR="006E6982" w:rsidRDefault="006E6982" w:rsidP="009500AB">
      <w:pPr>
        <w:jc w:val="both"/>
      </w:pPr>
    </w:p>
    <w:p w14:paraId="02B06A74" w14:textId="77777777" w:rsidR="006E6982" w:rsidRDefault="006E6982" w:rsidP="009500AB">
      <w:pPr>
        <w:jc w:val="both"/>
      </w:pPr>
    </w:p>
    <w:p w14:paraId="5CE41AD9" w14:textId="77777777" w:rsidR="006E6982" w:rsidRDefault="006E6982" w:rsidP="009500AB">
      <w:pPr>
        <w:jc w:val="both"/>
      </w:pPr>
    </w:p>
    <w:p w14:paraId="743638C3" w14:textId="77777777" w:rsidR="006E6982" w:rsidRDefault="006E6982" w:rsidP="009500AB">
      <w:pPr>
        <w:jc w:val="both"/>
      </w:pPr>
    </w:p>
    <w:p w14:paraId="4CF2F717" w14:textId="77777777" w:rsidR="006E6982" w:rsidRDefault="006E6982" w:rsidP="009500AB">
      <w:pPr>
        <w:jc w:val="both"/>
      </w:pPr>
    </w:p>
    <w:p w14:paraId="34235E06" w14:textId="77777777" w:rsidR="00B852DE" w:rsidRDefault="00B852DE" w:rsidP="009500AB">
      <w:pPr>
        <w:jc w:val="both"/>
      </w:pPr>
    </w:p>
    <w:p w14:paraId="24D74099" w14:textId="77777777" w:rsidR="00B852DE" w:rsidRDefault="00B852DE" w:rsidP="009500AB">
      <w:pPr>
        <w:jc w:val="both"/>
      </w:pPr>
    </w:p>
    <w:p w14:paraId="5AF66DCA" w14:textId="77777777" w:rsidR="00B852DE" w:rsidRDefault="00B852DE" w:rsidP="009500AB">
      <w:pPr>
        <w:jc w:val="both"/>
      </w:pPr>
    </w:p>
    <w:p w14:paraId="0E11AB97" w14:textId="77777777" w:rsidR="00B852DE" w:rsidRDefault="00B852DE" w:rsidP="009500AB">
      <w:pPr>
        <w:jc w:val="both"/>
      </w:pPr>
    </w:p>
    <w:p w14:paraId="5FB3AA80" w14:textId="77777777" w:rsidR="00B852DE" w:rsidRDefault="00B852DE" w:rsidP="009500AB">
      <w:pPr>
        <w:jc w:val="both"/>
      </w:pPr>
    </w:p>
    <w:p w14:paraId="0D2C9871" w14:textId="77777777" w:rsidR="00AF6D80" w:rsidRDefault="00AF6D80" w:rsidP="009500AB">
      <w:pPr>
        <w:jc w:val="both"/>
      </w:pPr>
    </w:p>
    <w:p w14:paraId="081DB3DB" w14:textId="77777777" w:rsidR="00AF6D80" w:rsidRDefault="00AF6D80" w:rsidP="009500AB">
      <w:pPr>
        <w:jc w:val="both"/>
      </w:pPr>
    </w:p>
    <w:p w14:paraId="159A6044" w14:textId="77777777" w:rsidR="00AF6D80" w:rsidRPr="00F671BF" w:rsidRDefault="00AF6D80" w:rsidP="009500AB">
      <w:pPr>
        <w:jc w:val="both"/>
      </w:pPr>
    </w:p>
    <w:sdt>
      <w:sdtPr>
        <w:rPr>
          <w:rFonts w:asciiTheme="minorHAnsi" w:eastAsiaTheme="minorHAnsi" w:hAnsiTheme="minorHAnsi" w:cstheme="minorBidi"/>
          <w:color w:val="auto"/>
          <w:kern w:val="2"/>
          <w:sz w:val="22"/>
          <w:szCs w:val="22"/>
          <w:lang w:val="en-GB"/>
          <w14:ligatures w14:val="standardContextual"/>
        </w:rPr>
        <w:id w:val="1001938015"/>
        <w:docPartObj>
          <w:docPartGallery w:val="Table of Contents"/>
          <w:docPartUnique/>
        </w:docPartObj>
      </w:sdtPr>
      <w:sdtEndPr>
        <w:rPr>
          <w:b/>
          <w:bCs/>
          <w:noProof/>
        </w:rPr>
      </w:sdtEndPr>
      <w:sdtContent>
        <w:p w14:paraId="075A9D76" w14:textId="77777777" w:rsidR="00231B83" w:rsidRDefault="00231B83" w:rsidP="00AF6D80">
          <w:pPr>
            <w:pStyle w:val="TOCHeading"/>
            <w:jc w:val="center"/>
          </w:pPr>
          <w:r>
            <w:t>Table of Contents</w:t>
          </w:r>
        </w:p>
        <w:p w14:paraId="2B1BD4BD" w14:textId="4BF8ABF1" w:rsidR="00AB6FBC" w:rsidRDefault="00231B83">
          <w:pPr>
            <w:pStyle w:val="TOC1"/>
            <w:tabs>
              <w:tab w:val="right" w:leader="dot" w:pos="8296"/>
            </w:tabs>
            <w:rPr>
              <w:rFonts w:eastAsiaTheme="minorEastAsia"/>
              <w:noProof/>
              <w:sz w:val="24"/>
              <w:szCs w:val="24"/>
              <w:lang w:val="en-IN" w:eastAsia="en-IN"/>
            </w:rPr>
          </w:pPr>
          <w:r>
            <w:fldChar w:fldCharType="begin"/>
          </w:r>
          <w:r>
            <w:instrText xml:space="preserve"> TOC \o "1-3" \h \z \u </w:instrText>
          </w:r>
          <w:r>
            <w:fldChar w:fldCharType="separate"/>
          </w:r>
          <w:hyperlink w:anchor="_Toc166266341" w:history="1">
            <w:r w:rsidR="00AB6FBC" w:rsidRPr="00C25842">
              <w:rPr>
                <w:rStyle w:val="Hyperlink"/>
                <w:rFonts w:ascii="Arial" w:hAnsi="Arial" w:cs="Arial"/>
                <w:b/>
                <w:bCs/>
                <w:noProof/>
              </w:rPr>
              <w:t>1a.</w:t>
            </w:r>
            <w:r w:rsidR="00AB6FBC">
              <w:rPr>
                <w:noProof/>
                <w:webHidden/>
              </w:rPr>
              <w:tab/>
            </w:r>
            <w:r w:rsidR="00AB6FBC">
              <w:rPr>
                <w:noProof/>
                <w:webHidden/>
              </w:rPr>
              <w:fldChar w:fldCharType="begin"/>
            </w:r>
            <w:r w:rsidR="00AB6FBC">
              <w:rPr>
                <w:noProof/>
                <w:webHidden/>
              </w:rPr>
              <w:instrText xml:space="preserve"> PAGEREF _Toc166266341 \h </w:instrText>
            </w:r>
            <w:r w:rsidR="00AB6FBC">
              <w:rPr>
                <w:noProof/>
                <w:webHidden/>
              </w:rPr>
            </w:r>
            <w:r w:rsidR="00AB6FBC">
              <w:rPr>
                <w:noProof/>
                <w:webHidden/>
              </w:rPr>
              <w:fldChar w:fldCharType="separate"/>
            </w:r>
            <w:r w:rsidR="00AB6FBC">
              <w:rPr>
                <w:noProof/>
                <w:webHidden/>
              </w:rPr>
              <w:t>4</w:t>
            </w:r>
            <w:r w:rsidR="00AB6FBC">
              <w:rPr>
                <w:noProof/>
                <w:webHidden/>
              </w:rPr>
              <w:fldChar w:fldCharType="end"/>
            </w:r>
          </w:hyperlink>
        </w:p>
        <w:p w14:paraId="65BD12D3" w14:textId="1B644DC6" w:rsidR="00AB6FBC" w:rsidRDefault="00000000">
          <w:pPr>
            <w:pStyle w:val="TOC1"/>
            <w:tabs>
              <w:tab w:val="left" w:pos="440"/>
              <w:tab w:val="right" w:leader="dot" w:pos="8296"/>
            </w:tabs>
            <w:rPr>
              <w:rFonts w:eastAsiaTheme="minorEastAsia"/>
              <w:noProof/>
              <w:sz w:val="24"/>
              <w:szCs w:val="24"/>
              <w:lang w:val="en-IN" w:eastAsia="en-IN"/>
            </w:rPr>
          </w:pPr>
          <w:hyperlink w:anchor="_Toc166266342" w:history="1">
            <w:r w:rsidR="00AB6FBC" w:rsidRPr="00C25842">
              <w:rPr>
                <w:rStyle w:val="Hyperlink"/>
                <w:rFonts w:ascii="Arial" w:hAnsi="Arial" w:cs="Arial"/>
                <w:b/>
                <w:bCs/>
                <w:noProof/>
              </w:rPr>
              <w:t>1.</w:t>
            </w:r>
            <w:r w:rsidR="00AB6FBC">
              <w:rPr>
                <w:rFonts w:eastAsiaTheme="minorEastAsia"/>
                <w:noProof/>
                <w:sz w:val="24"/>
                <w:szCs w:val="24"/>
                <w:lang w:val="en-IN" w:eastAsia="en-IN"/>
              </w:rPr>
              <w:tab/>
            </w:r>
            <w:r w:rsidR="00AB6FBC" w:rsidRPr="00C25842">
              <w:rPr>
                <w:rStyle w:val="Hyperlink"/>
                <w:rFonts w:ascii="Arial" w:hAnsi="Arial" w:cs="Arial"/>
                <w:b/>
                <w:bCs/>
                <w:noProof/>
              </w:rPr>
              <w:t>EXECUTIVE SUMMARY</w:t>
            </w:r>
            <w:r w:rsidR="00AB6FBC">
              <w:rPr>
                <w:noProof/>
                <w:webHidden/>
              </w:rPr>
              <w:tab/>
            </w:r>
            <w:r w:rsidR="00AB6FBC">
              <w:rPr>
                <w:noProof/>
                <w:webHidden/>
              </w:rPr>
              <w:fldChar w:fldCharType="begin"/>
            </w:r>
            <w:r w:rsidR="00AB6FBC">
              <w:rPr>
                <w:noProof/>
                <w:webHidden/>
              </w:rPr>
              <w:instrText xml:space="preserve"> PAGEREF _Toc166266342 \h </w:instrText>
            </w:r>
            <w:r w:rsidR="00AB6FBC">
              <w:rPr>
                <w:noProof/>
                <w:webHidden/>
              </w:rPr>
            </w:r>
            <w:r w:rsidR="00AB6FBC">
              <w:rPr>
                <w:noProof/>
                <w:webHidden/>
              </w:rPr>
              <w:fldChar w:fldCharType="separate"/>
            </w:r>
            <w:r w:rsidR="00AB6FBC">
              <w:rPr>
                <w:noProof/>
                <w:webHidden/>
              </w:rPr>
              <w:t>4</w:t>
            </w:r>
            <w:r w:rsidR="00AB6FBC">
              <w:rPr>
                <w:noProof/>
                <w:webHidden/>
              </w:rPr>
              <w:fldChar w:fldCharType="end"/>
            </w:r>
          </w:hyperlink>
        </w:p>
        <w:p w14:paraId="21882363" w14:textId="6CD79372" w:rsidR="00AB6FBC" w:rsidRDefault="00000000">
          <w:pPr>
            <w:pStyle w:val="TOC1"/>
            <w:tabs>
              <w:tab w:val="left" w:pos="440"/>
              <w:tab w:val="right" w:leader="dot" w:pos="8296"/>
            </w:tabs>
            <w:rPr>
              <w:rFonts w:eastAsiaTheme="minorEastAsia"/>
              <w:noProof/>
              <w:sz w:val="24"/>
              <w:szCs w:val="24"/>
              <w:lang w:val="en-IN" w:eastAsia="en-IN"/>
            </w:rPr>
          </w:pPr>
          <w:hyperlink w:anchor="_Toc166266343" w:history="1">
            <w:r w:rsidR="00AB6FBC" w:rsidRPr="00C25842">
              <w:rPr>
                <w:rStyle w:val="Hyperlink"/>
                <w:rFonts w:ascii="Arial" w:hAnsi="Arial" w:cs="Arial"/>
                <w:b/>
                <w:bCs/>
                <w:noProof/>
              </w:rPr>
              <w:t>2.</w:t>
            </w:r>
            <w:r w:rsidR="00AB6FBC">
              <w:rPr>
                <w:rFonts w:eastAsiaTheme="minorEastAsia"/>
                <w:noProof/>
                <w:sz w:val="24"/>
                <w:szCs w:val="24"/>
                <w:lang w:val="en-IN" w:eastAsia="en-IN"/>
              </w:rPr>
              <w:tab/>
            </w:r>
            <w:r w:rsidR="00AB6FBC" w:rsidRPr="00C25842">
              <w:rPr>
                <w:rStyle w:val="Hyperlink"/>
                <w:rFonts w:ascii="Arial" w:hAnsi="Arial" w:cs="Arial"/>
                <w:b/>
                <w:bCs/>
                <w:noProof/>
              </w:rPr>
              <w:t>INTRODUCTION</w:t>
            </w:r>
            <w:r w:rsidR="00AB6FBC">
              <w:rPr>
                <w:noProof/>
                <w:webHidden/>
              </w:rPr>
              <w:tab/>
            </w:r>
            <w:r w:rsidR="00AB6FBC">
              <w:rPr>
                <w:noProof/>
                <w:webHidden/>
              </w:rPr>
              <w:fldChar w:fldCharType="begin"/>
            </w:r>
            <w:r w:rsidR="00AB6FBC">
              <w:rPr>
                <w:noProof/>
                <w:webHidden/>
              </w:rPr>
              <w:instrText xml:space="preserve"> PAGEREF _Toc166266343 \h </w:instrText>
            </w:r>
            <w:r w:rsidR="00AB6FBC">
              <w:rPr>
                <w:noProof/>
                <w:webHidden/>
              </w:rPr>
            </w:r>
            <w:r w:rsidR="00AB6FBC">
              <w:rPr>
                <w:noProof/>
                <w:webHidden/>
              </w:rPr>
              <w:fldChar w:fldCharType="separate"/>
            </w:r>
            <w:r w:rsidR="00AB6FBC">
              <w:rPr>
                <w:noProof/>
                <w:webHidden/>
              </w:rPr>
              <w:t>5</w:t>
            </w:r>
            <w:r w:rsidR="00AB6FBC">
              <w:rPr>
                <w:noProof/>
                <w:webHidden/>
              </w:rPr>
              <w:fldChar w:fldCharType="end"/>
            </w:r>
          </w:hyperlink>
        </w:p>
        <w:p w14:paraId="7EC254AB" w14:textId="5EFE2D97" w:rsidR="00AB6FBC" w:rsidRDefault="00000000">
          <w:pPr>
            <w:pStyle w:val="TOC1"/>
            <w:tabs>
              <w:tab w:val="left" w:pos="440"/>
              <w:tab w:val="right" w:leader="dot" w:pos="8296"/>
            </w:tabs>
            <w:rPr>
              <w:rFonts w:eastAsiaTheme="minorEastAsia"/>
              <w:noProof/>
              <w:sz w:val="24"/>
              <w:szCs w:val="24"/>
              <w:lang w:val="en-IN" w:eastAsia="en-IN"/>
            </w:rPr>
          </w:pPr>
          <w:hyperlink w:anchor="_Toc166266344" w:history="1">
            <w:r w:rsidR="00AB6FBC" w:rsidRPr="00C25842">
              <w:rPr>
                <w:rStyle w:val="Hyperlink"/>
                <w:rFonts w:ascii="Arial" w:hAnsi="Arial" w:cs="Arial"/>
                <w:b/>
                <w:bCs/>
                <w:noProof/>
              </w:rPr>
              <w:t>3.</w:t>
            </w:r>
            <w:r w:rsidR="00AB6FBC">
              <w:rPr>
                <w:rFonts w:eastAsiaTheme="minorEastAsia"/>
                <w:noProof/>
                <w:sz w:val="24"/>
                <w:szCs w:val="24"/>
                <w:lang w:val="en-IN" w:eastAsia="en-IN"/>
              </w:rPr>
              <w:tab/>
            </w:r>
            <w:r w:rsidR="00AB6FBC" w:rsidRPr="00C25842">
              <w:rPr>
                <w:rStyle w:val="Hyperlink"/>
                <w:rFonts w:ascii="Arial" w:hAnsi="Arial" w:cs="Arial"/>
                <w:b/>
                <w:bCs/>
                <w:noProof/>
              </w:rPr>
              <w:t>DATA SOURCE</w:t>
            </w:r>
            <w:r w:rsidR="00AB6FBC">
              <w:rPr>
                <w:noProof/>
                <w:webHidden/>
              </w:rPr>
              <w:tab/>
            </w:r>
            <w:r w:rsidR="00AB6FBC">
              <w:rPr>
                <w:noProof/>
                <w:webHidden/>
              </w:rPr>
              <w:fldChar w:fldCharType="begin"/>
            </w:r>
            <w:r w:rsidR="00AB6FBC">
              <w:rPr>
                <w:noProof/>
                <w:webHidden/>
              </w:rPr>
              <w:instrText xml:space="preserve"> PAGEREF _Toc166266344 \h </w:instrText>
            </w:r>
            <w:r w:rsidR="00AB6FBC">
              <w:rPr>
                <w:noProof/>
                <w:webHidden/>
              </w:rPr>
            </w:r>
            <w:r w:rsidR="00AB6FBC">
              <w:rPr>
                <w:noProof/>
                <w:webHidden/>
              </w:rPr>
              <w:fldChar w:fldCharType="separate"/>
            </w:r>
            <w:r w:rsidR="00AB6FBC">
              <w:rPr>
                <w:noProof/>
                <w:webHidden/>
              </w:rPr>
              <w:t>6</w:t>
            </w:r>
            <w:r w:rsidR="00AB6FBC">
              <w:rPr>
                <w:noProof/>
                <w:webHidden/>
              </w:rPr>
              <w:fldChar w:fldCharType="end"/>
            </w:r>
          </w:hyperlink>
        </w:p>
        <w:p w14:paraId="00371DCF" w14:textId="5A3F473A" w:rsidR="00AB6FBC" w:rsidRDefault="00000000">
          <w:pPr>
            <w:pStyle w:val="TOC1"/>
            <w:tabs>
              <w:tab w:val="left" w:pos="440"/>
              <w:tab w:val="right" w:leader="dot" w:pos="8296"/>
            </w:tabs>
            <w:rPr>
              <w:rFonts w:eastAsiaTheme="minorEastAsia"/>
              <w:noProof/>
              <w:sz w:val="24"/>
              <w:szCs w:val="24"/>
              <w:lang w:val="en-IN" w:eastAsia="en-IN"/>
            </w:rPr>
          </w:pPr>
          <w:hyperlink w:anchor="_Toc166266345" w:history="1">
            <w:r w:rsidR="00AB6FBC" w:rsidRPr="00C25842">
              <w:rPr>
                <w:rStyle w:val="Hyperlink"/>
                <w:rFonts w:ascii="Times New Roman" w:eastAsia="Times New Roman" w:hAnsi="Times New Roman" w:cs="Times New Roman"/>
                <w:b/>
                <w:bCs/>
                <w:noProof/>
                <w:kern w:val="0"/>
                <w:lang w:val="en-IN" w:eastAsia="en-IN"/>
                <w14:ligatures w14:val="none"/>
              </w:rPr>
              <w:t>4.</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ANALYSIS:</w:t>
            </w:r>
            <w:r w:rsidR="00AB6FBC">
              <w:rPr>
                <w:noProof/>
                <w:webHidden/>
              </w:rPr>
              <w:tab/>
            </w:r>
            <w:r w:rsidR="00AB6FBC">
              <w:rPr>
                <w:noProof/>
                <w:webHidden/>
              </w:rPr>
              <w:fldChar w:fldCharType="begin"/>
            </w:r>
            <w:r w:rsidR="00AB6FBC">
              <w:rPr>
                <w:noProof/>
                <w:webHidden/>
              </w:rPr>
              <w:instrText xml:space="preserve"> PAGEREF _Toc166266345 \h </w:instrText>
            </w:r>
            <w:r w:rsidR="00AB6FBC">
              <w:rPr>
                <w:noProof/>
                <w:webHidden/>
              </w:rPr>
            </w:r>
            <w:r w:rsidR="00AB6FBC">
              <w:rPr>
                <w:noProof/>
                <w:webHidden/>
              </w:rPr>
              <w:fldChar w:fldCharType="separate"/>
            </w:r>
            <w:r w:rsidR="00AB6FBC">
              <w:rPr>
                <w:noProof/>
                <w:webHidden/>
              </w:rPr>
              <w:t>7</w:t>
            </w:r>
            <w:r w:rsidR="00AB6FBC">
              <w:rPr>
                <w:noProof/>
                <w:webHidden/>
              </w:rPr>
              <w:fldChar w:fldCharType="end"/>
            </w:r>
          </w:hyperlink>
        </w:p>
        <w:p w14:paraId="5D7F4113" w14:textId="077768BD" w:rsidR="00AB6FBC" w:rsidRDefault="00000000">
          <w:pPr>
            <w:pStyle w:val="TOC2"/>
            <w:tabs>
              <w:tab w:val="left" w:pos="960"/>
              <w:tab w:val="right" w:leader="dot" w:pos="8296"/>
            </w:tabs>
            <w:rPr>
              <w:rFonts w:eastAsiaTheme="minorEastAsia"/>
              <w:noProof/>
              <w:sz w:val="24"/>
              <w:szCs w:val="24"/>
              <w:lang w:val="en-IN" w:eastAsia="en-IN"/>
            </w:rPr>
          </w:pPr>
          <w:hyperlink w:anchor="_Toc166266346" w:history="1">
            <w:r w:rsidR="00AB6FBC" w:rsidRPr="00C25842">
              <w:rPr>
                <w:rStyle w:val="Hyperlink"/>
                <w:rFonts w:ascii="Arial" w:eastAsia="Times New Roman" w:hAnsi="Arial" w:cs="Arial"/>
                <w:b/>
                <w:bCs/>
                <w:noProof/>
                <w:kern w:val="0"/>
                <w:lang w:val="en-IN" w:eastAsia="en-IN"/>
                <w14:ligatures w14:val="none"/>
              </w:rPr>
              <w:t>4.1.</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Data analysis techniques</w:t>
            </w:r>
            <w:r w:rsidR="00AB6FBC">
              <w:rPr>
                <w:noProof/>
                <w:webHidden/>
              </w:rPr>
              <w:tab/>
            </w:r>
            <w:r w:rsidR="00AB6FBC">
              <w:rPr>
                <w:noProof/>
                <w:webHidden/>
              </w:rPr>
              <w:fldChar w:fldCharType="begin"/>
            </w:r>
            <w:r w:rsidR="00AB6FBC">
              <w:rPr>
                <w:noProof/>
                <w:webHidden/>
              </w:rPr>
              <w:instrText xml:space="preserve"> PAGEREF _Toc166266346 \h </w:instrText>
            </w:r>
            <w:r w:rsidR="00AB6FBC">
              <w:rPr>
                <w:noProof/>
                <w:webHidden/>
              </w:rPr>
            </w:r>
            <w:r w:rsidR="00AB6FBC">
              <w:rPr>
                <w:noProof/>
                <w:webHidden/>
              </w:rPr>
              <w:fldChar w:fldCharType="separate"/>
            </w:r>
            <w:r w:rsidR="00AB6FBC">
              <w:rPr>
                <w:noProof/>
                <w:webHidden/>
              </w:rPr>
              <w:t>8</w:t>
            </w:r>
            <w:r w:rsidR="00AB6FBC">
              <w:rPr>
                <w:noProof/>
                <w:webHidden/>
              </w:rPr>
              <w:fldChar w:fldCharType="end"/>
            </w:r>
          </w:hyperlink>
        </w:p>
        <w:p w14:paraId="75F05C8D" w14:textId="4D83674A" w:rsidR="00AB6FBC" w:rsidRDefault="00000000">
          <w:pPr>
            <w:pStyle w:val="TOC3"/>
            <w:tabs>
              <w:tab w:val="left" w:pos="1440"/>
              <w:tab w:val="right" w:leader="dot" w:pos="8296"/>
            </w:tabs>
            <w:rPr>
              <w:rFonts w:eastAsiaTheme="minorEastAsia"/>
              <w:noProof/>
              <w:sz w:val="24"/>
              <w:szCs w:val="24"/>
              <w:lang w:val="en-IN" w:eastAsia="en-IN"/>
            </w:rPr>
          </w:pPr>
          <w:hyperlink w:anchor="_Toc166266347" w:history="1">
            <w:r w:rsidR="00AB6FBC" w:rsidRPr="00C25842">
              <w:rPr>
                <w:rStyle w:val="Hyperlink"/>
                <w:rFonts w:ascii="Arial" w:eastAsia="Times New Roman" w:hAnsi="Arial" w:cs="Arial"/>
                <w:noProof/>
                <w:kern w:val="0"/>
                <w:lang w:val="en-IN" w:eastAsia="en-IN"/>
                <w14:ligatures w14:val="none"/>
              </w:rPr>
              <w:t>4.1.1.</w:t>
            </w:r>
            <w:r w:rsidR="00AB6FBC">
              <w:rPr>
                <w:rFonts w:eastAsiaTheme="minorEastAsia"/>
                <w:noProof/>
                <w:sz w:val="24"/>
                <w:szCs w:val="24"/>
                <w:lang w:val="en-IN" w:eastAsia="en-IN"/>
              </w:rPr>
              <w:tab/>
            </w:r>
            <w:r w:rsidR="00AB6FBC" w:rsidRPr="00C25842">
              <w:rPr>
                <w:rStyle w:val="Hyperlink"/>
                <w:rFonts w:ascii="Arial" w:eastAsia="Times New Roman" w:hAnsi="Arial" w:cs="Arial"/>
                <w:noProof/>
                <w:kern w:val="0"/>
                <w:lang w:val="en-IN" w:eastAsia="en-IN"/>
                <w14:ligatures w14:val="none"/>
              </w:rPr>
              <w:t>Descriptive analysis</w:t>
            </w:r>
            <w:r w:rsidR="00AB6FBC">
              <w:rPr>
                <w:noProof/>
                <w:webHidden/>
              </w:rPr>
              <w:tab/>
            </w:r>
            <w:r w:rsidR="00AB6FBC">
              <w:rPr>
                <w:noProof/>
                <w:webHidden/>
              </w:rPr>
              <w:fldChar w:fldCharType="begin"/>
            </w:r>
            <w:r w:rsidR="00AB6FBC">
              <w:rPr>
                <w:noProof/>
                <w:webHidden/>
              </w:rPr>
              <w:instrText xml:space="preserve"> PAGEREF _Toc166266347 \h </w:instrText>
            </w:r>
            <w:r w:rsidR="00AB6FBC">
              <w:rPr>
                <w:noProof/>
                <w:webHidden/>
              </w:rPr>
            </w:r>
            <w:r w:rsidR="00AB6FBC">
              <w:rPr>
                <w:noProof/>
                <w:webHidden/>
              </w:rPr>
              <w:fldChar w:fldCharType="separate"/>
            </w:r>
            <w:r w:rsidR="00AB6FBC">
              <w:rPr>
                <w:noProof/>
                <w:webHidden/>
              </w:rPr>
              <w:t>8</w:t>
            </w:r>
            <w:r w:rsidR="00AB6FBC">
              <w:rPr>
                <w:noProof/>
                <w:webHidden/>
              </w:rPr>
              <w:fldChar w:fldCharType="end"/>
            </w:r>
          </w:hyperlink>
        </w:p>
        <w:p w14:paraId="211B95F8" w14:textId="451E537B" w:rsidR="00AB6FBC" w:rsidRDefault="00000000">
          <w:pPr>
            <w:pStyle w:val="TOC3"/>
            <w:tabs>
              <w:tab w:val="left" w:pos="1440"/>
              <w:tab w:val="right" w:leader="dot" w:pos="8296"/>
            </w:tabs>
            <w:rPr>
              <w:rFonts w:eastAsiaTheme="minorEastAsia"/>
              <w:noProof/>
              <w:sz w:val="24"/>
              <w:szCs w:val="24"/>
              <w:lang w:val="en-IN" w:eastAsia="en-IN"/>
            </w:rPr>
          </w:pPr>
          <w:hyperlink w:anchor="_Toc166266348" w:history="1">
            <w:r w:rsidR="00AB6FBC" w:rsidRPr="00C25842">
              <w:rPr>
                <w:rStyle w:val="Hyperlink"/>
                <w:rFonts w:ascii="Arial" w:eastAsia="Times New Roman" w:hAnsi="Arial" w:cs="Arial"/>
                <w:noProof/>
                <w:kern w:val="0"/>
                <w:lang w:val="en-IN" w:eastAsia="en-IN"/>
                <w14:ligatures w14:val="none"/>
              </w:rPr>
              <w:t>4.1.2.</w:t>
            </w:r>
            <w:r w:rsidR="00AB6FBC">
              <w:rPr>
                <w:rFonts w:eastAsiaTheme="minorEastAsia"/>
                <w:noProof/>
                <w:sz w:val="24"/>
                <w:szCs w:val="24"/>
                <w:lang w:val="en-IN" w:eastAsia="en-IN"/>
              </w:rPr>
              <w:tab/>
            </w:r>
            <w:r w:rsidR="00AB6FBC" w:rsidRPr="00C25842">
              <w:rPr>
                <w:rStyle w:val="Hyperlink"/>
                <w:rFonts w:ascii="Arial" w:eastAsia="Times New Roman" w:hAnsi="Arial" w:cs="Arial"/>
                <w:noProof/>
                <w:kern w:val="0"/>
                <w:lang w:val="en-IN" w:eastAsia="en-IN"/>
                <w14:ligatures w14:val="none"/>
              </w:rPr>
              <w:t>Trend analysis</w:t>
            </w:r>
            <w:r w:rsidR="00AB6FBC">
              <w:rPr>
                <w:noProof/>
                <w:webHidden/>
              </w:rPr>
              <w:tab/>
            </w:r>
            <w:r w:rsidR="00AB6FBC">
              <w:rPr>
                <w:noProof/>
                <w:webHidden/>
              </w:rPr>
              <w:fldChar w:fldCharType="begin"/>
            </w:r>
            <w:r w:rsidR="00AB6FBC">
              <w:rPr>
                <w:noProof/>
                <w:webHidden/>
              </w:rPr>
              <w:instrText xml:space="preserve"> PAGEREF _Toc166266348 \h </w:instrText>
            </w:r>
            <w:r w:rsidR="00AB6FBC">
              <w:rPr>
                <w:noProof/>
                <w:webHidden/>
              </w:rPr>
            </w:r>
            <w:r w:rsidR="00AB6FBC">
              <w:rPr>
                <w:noProof/>
                <w:webHidden/>
              </w:rPr>
              <w:fldChar w:fldCharType="separate"/>
            </w:r>
            <w:r w:rsidR="00AB6FBC">
              <w:rPr>
                <w:noProof/>
                <w:webHidden/>
              </w:rPr>
              <w:t>8</w:t>
            </w:r>
            <w:r w:rsidR="00AB6FBC">
              <w:rPr>
                <w:noProof/>
                <w:webHidden/>
              </w:rPr>
              <w:fldChar w:fldCharType="end"/>
            </w:r>
          </w:hyperlink>
        </w:p>
        <w:p w14:paraId="3A55119A" w14:textId="3775681B" w:rsidR="00AB6FBC" w:rsidRDefault="00000000">
          <w:pPr>
            <w:pStyle w:val="TOC3"/>
            <w:tabs>
              <w:tab w:val="left" w:pos="1440"/>
              <w:tab w:val="right" w:leader="dot" w:pos="8296"/>
            </w:tabs>
            <w:rPr>
              <w:rFonts w:eastAsiaTheme="minorEastAsia"/>
              <w:noProof/>
              <w:sz w:val="24"/>
              <w:szCs w:val="24"/>
              <w:lang w:val="en-IN" w:eastAsia="en-IN"/>
            </w:rPr>
          </w:pPr>
          <w:hyperlink w:anchor="_Toc166266349" w:history="1">
            <w:r w:rsidR="00AB6FBC" w:rsidRPr="00C25842">
              <w:rPr>
                <w:rStyle w:val="Hyperlink"/>
                <w:rFonts w:ascii="Arial" w:eastAsia="Times New Roman" w:hAnsi="Arial" w:cs="Arial"/>
                <w:noProof/>
                <w:kern w:val="0"/>
                <w:lang w:val="en-IN" w:eastAsia="en-IN"/>
                <w14:ligatures w14:val="none"/>
              </w:rPr>
              <w:t>4.1.3.</w:t>
            </w:r>
            <w:r w:rsidR="00AB6FBC">
              <w:rPr>
                <w:rFonts w:eastAsiaTheme="minorEastAsia"/>
                <w:noProof/>
                <w:sz w:val="24"/>
                <w:szCs w:val="24"/>
                <w:lang w:val="en-IN" w:eastAsia="en-IN"/>
              </w:rPr>
              <w:tab/>
            </w:r>
            <w:r w:rsidR="00AB6FBC" w:rsidRPr="00C25842">
              <w:rPr>
                <w:rStyle w:val="Hyperlink"/>
                <w:rFonts w:ascii="Arial" w:eastAsia="Times New Roman" w:hAnsi="Arial" w:cs="Arial"/>
                <w:noProof/>
                <w:kern w:val="0"/>
                <w:lang w:val="en-IN" w:eastAsia="en-IN"/>
                <w14:ligatures w14:val="none"/>
              </w:rPr>
              <w:t>Ratio Analysis</w:t>
            </w:r>
            <w:r w:rsidR="00AB6FBC">
              <w:rPr>
                <w:noProof/>
                <w:webHidden/>
              </w:rPr>
              <w:tab/>
            </w:r>
            <w:r w:rsidR="00AB6FBC">
              <w:rPr>
                <w:noProof/>
                <w:webHidden/>
              </w:rPr>
              <w:fldChar w:fldCharType="begin"/>
            </w:r>
            <w:r w:rsidR="00AB6FBC">
              <w:rPr>
                <w:noProof/>
                <w:webHidden/>
              </w:rPr>
              <w:instrText xml:space="preserve"> PAGEREF _Toc166266349 \h </w:instrText>
            </w:r>
            <w:r w:rsidR="00AB6FBC">
              <w:rPr>
                <w:noProof/>
                <w:webHidden/>
              </w:rPr>
            </w:r>
            <w:r w:rsidR="00AB6FBC">
              <w:rPr>
                <w:noProof/>
                <w:webHidden/>
              </w:rPr>
              <w:fldChar w:fldCharType="separate"/>
            </w:r>
            <w:r w:rsidR="00AB6FBC">
              <w:rPr>
                <w:noProof/>
                <w:webHidden/>
              </w:rPr>
              <w:t>8</w:t>
            </w:r>
            <w:r w:rsidR="00AB6FBC">
              <w:rPr>
                <w:noProof/>
                <w:webHidden/>
              </w:rPr>
              <w:fldChar w:fldCharType="end"/>
            </w:r>
          </w:hyperlink>
        </w:p>
        <w:p w14:paraId="6C9117DC" w14:textId="26A9B572" w:rsidR="00AB6FBC" w:rsidRDefault="00000000">
          <w:pPr>
            <w:pStyle w:val="TOC2"/>
            <w:tabs>
              <w:tab w:val="left" w:pos="960"/>
              <w:tab w:val="right" w:leader="dot" w:pos="8296"/>
            </w:tabs>
            <w:rPr>
              <w:rFonts w:eastAsiaTheme="minorEastAsia"/>
              <w:noProof/>
              <w:sz w:val="24"/>
              <w:szCs w:val="24"/>
              <w:lang w:val="en-IN" w:eastAsia="en-IN"/>
            </w:rPr>
          </w:pPr>
          <w:hyperlink w:anchor="_Toc166266350" w:history="1">
            <w:r w:rsidR="00AB6FBC" w:rsidRPr="00C25842">
              <w:rPr>
                <w:rStyle w:val="Hyperlink"/>
                <w:rFonts w:ascii="Arial" w:eastAsia="Times New Roman" w:hAnsi="Arial" w:cs="Arial"/>
                <w:b/>
                <w:bCs/>
                <w:noProof/>
                <w:kern w:val="0"/>
                <w:lang w:val="en-IN" w:eastAsia="en-IN"/>
                <w14:ligatures w14:val="none"/>
              </w:rPr>
              <w:t>4.2.</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RATIONALE FOR TOOL SELECTION</w:t>
            </w:r>
            <w:r w:rsidR="00AB6FBC">
              <w:rPr>
                <w:noProof/>
                <w:webHidden/>
              </w:rPr>
              <w:tab/>
            </w:r>
            <w:r w:rsidR="00AB6FBC">
              <w:rPr>
                <w:noProof/>
                <w:webHidden/>
              </w:rPr>
              <w:fldChar w:fldCharType="begin"/>
            </w:r>
            <w:r w:rsidR="00AB6FBC">
              <w:rPr>
                <w:noProof/>
                <w:webHidden/>
              </w:rPr>
              <w:instrText xml:space="preserve"> PAGEREF _Toc166266350 \h </w:instrText>
            </w:r>
            <w:r w:rsidR="00AB6FBC">
              <w:rPr>
                <w:noProof/>
                <w:webHidden/>
              </w:rPr>
            </w:r>
            <w:r w:rsidR="00AB6FBC">
              <w:rPr>
                <w:noProof/>
                <w:webHidden/>
              </w:rPr>
              <w:fldChar w:fldCharType="separate"/>
            </w:r>
            <w:r w:rsidR="00AB6FBC">
              <w:rPr>
                <w:noProof/>
                <w:webHidden/>
              </w:rPr>
              <w:t>8</w:t>
            </w:r>
            <w:r w:rsidR="00AB6FBC">
              <w:rPr>
                <w:noProof/>
                <w:webHidden/>
              </w:rPr>
              <w:fldChar w:fldCharType="end"/>
            </w:r>
          </w:hyperlink>
        </w:p>
        <w:p w14:paraId="154D47BD" w14:textId="1E58DDDB" w:rsidR="00AB6FBC" w:rsidRDefault="00000000">
          <w:pPr>
            <w:pStyle w:val="TOC1"/>
            <w:tabs>
              <w:tab w:val="left" w:pos="440"/>
              <w:tab w:val="right" w:leader="dot" w:pos="8296"/>
            </w:tabs>
            <w:rPr>
              <w:rFonts w:eastAsiaTheme="minorEastAsia"/>
              <w:noProof/>
              <w:sz w:val="24"/>
              <w:szCs w:val="24"/>
              <w:lang w:val="en-IN" w:eastAsia="en-IN"/>
            </w:rPr>
          </w:pPr>
          <w:hyperlink w:anchor="_Toc166266351" w:history="1">
            <w:r w:rsidR="00AB6FBC" w:rsidRPr="00C25842">
              <w:rPr>
                <w:rStyle w:val="Hyperlink"/>
                <w:rFonts w:ascii="Arial" w:eastAsia="Times New Roman" w:hAnsi="Arial" w:cs="Arial"/>
                <w:b/>
                <w:bCs/>
                <w:noProof/>
                <w:kern w:val="0"/>
                <w:lang w:val="en-IN" w:eastAsia="en-IN"/>
                <w14:ligatures w14:val="none"/>
              </w:rPr>
              <w:t>5.</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DATA VISUALISATION</w:t>
            </w:r>
            <w:r w:rsidR="00AB6FBC">
              <w:rPr>
                <w:noProof/>
                <w:webHidden/>
              </w:rPr>
              <w:tab/>
            </w:r>
            <w:r w:rsidR="00AB6FBC">
              <w:rPr>
                <w:noProof/>
                <w:webHidden/>
              </w:rPr>
              <w:fldChar w:fldCharType="begin"/>
            </w:r>
            <w:r w:rsidR="00AB6FBC">
              <w:rPr>
                <w:noProof/>
                <w:webHidden/>
              </w:rPr>
              <w:instrText xml:space="preserve"> PAGEREF _Toc166266351 \h </w:instrText>
            </w:r>
            <w:r w:rsidR="00AB6FBC">
              <w:rPr>
                <w:noProof/>
                <w:webHidden/>
              </w:rPr>
            </w:r>
            <w:r w:rsidR="00AB6FBC">
              <w:rPr>
                <w:noProof/>
                <w:webHidden/>
              </w:rPr>
              <w:fldChar w:fldCharType="separate"/>
            </w:r>
            <w:r w:rsidR="00AB6FBC">
              <w:rPr>
                <w:noProof/>
                <w:webHidden/>
              </w:rPr>
              <w:t>9</w:t>
            </w:r>
            <w:r w:rsidR="00AB6FBC">
              <w:rPr>
                <w:noProof/>
                <w:webHidden/>
              </w:rPr>
              <w:fldChar w:fldCharType="end"/>
            </w:r>
          </w:hyperlink>
        </w:p>
        <w:p w14:paraId="50FD717D" w14:textId="06F96C86" w:rsidR="00AB6FBC" w:rsidRDefault="00000000">
          <w:pPr>
            <w:pStyle w:val="TOC2"/>
            <w:tabs>
              <w:tab w:val="left" w:pos="960"/>
              <w:tab w:val="right" w:leader="dot" w:pos="8296"/>
            </w:tabs>
            <w:rPr>
              <w:rFonts w:eastAsiaTheme="minorEastAsia"/>
              <w:noProof/>
              <w:sz w:val="24"/>
              <w:szCs w:val="24"/>
              <w:lang w:val="en-IN" w:eastAsia="en-IN"/>
            </w:rPr>
          </w:pPr>
          <w:hyperlink w:anchor="_Toc166266353" w:history="1">
            <w:r w:rsidR="00AB6FBC" w:rsidRPr="00C25842">
              <w:rPr>
                <w:rStyle w:val="Hyperlink"/>
                <w:rFonts w:ascii="Arial" w:eastAsia="Times New Roman" w:hAnsi="Arial" w:cs="Arial"/>
                <w:b/>
                <w:bCs/>
                <w:noProof/>
                <w:kern w:val="0"/>
                <w:lang w:val="en-IN" w:eastAsia="en-IN"/>
                <w14:ligatures w14:val="none"/>
              </w:rPr>
              <w:t>5.1.</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TURNOVER TRENDS</w:t>
            </w:r>
            <w:r w:rsidR="00AB6FBC">
              <w:rPr>
                <w:noProof/>
                <w:webHidden/>
              </w:rPr>
              <w:tab/>
            </w:r>
            <w:r w:rsidR="00AB6FBC">
              <w:rPr>
                <w:noProof/>
                <w:webHidden/>
              </w:rPr>
              <w:fldChar w:fldCharType="begin"/>
            </w:r>
            <w:r w:rsidR="00AB6FBC">
              <w:rPr>
                <w:noProof/>
                <w:webHidden/>
              </w:rPr>
              <w:instrText xml:space="preserve"> PAGEREF _Toc166266353 \h </w:instrText>
            </w:r>
            <w:r w:rsidR="00AB6FBC">
              <w:rPr>
                <w:noProof/>
                <w:webHidden/>
              </w:rPr>
            </w:r>
            <w:r w:rsidR="00AB6FBC">
              <w:rPr>
                <w:noProof/>
                <w:webHidden/>
              </w:rPr>
              <w:fldChar w:fldCharType="separate"/>
            </w:r>
            <w:r w:rsidR="00AB6FBC">
              <w:rPr>
                <w:noProof/>
                <w:webHidden/>
              </w:rPr>
              <w:t>9</w:t>
            </w:r>
            <w:r w:rsidR="00AB6FBC">
              <w:rPr>
                <w:noProof/>
                <w:webHidden/>
              </w:rPr>
              <w:fldChar w:fldCharType="end"/>
            </w:r>
          </w:hyperlink>
        </w:p>
        <w:p w14:paraId="28B37BF1" w14:textId="318668DE" w:rsidR="00AB6FBC" w:rsidRDefault="00000000">
          <w:pPr>
            <w:pStyle w:val="TOC2"/>
            <w:tabs>
              <w:tab w:val="left" w:pos="960"/>
              <w:tab w:val="right" w:leader="dot" w:pos="8296"/>
            </w:tabs>
            <w:rPr>
              <w:rFonts w:eastAsiaTheme="minorEastAsia"/>
              <w:noProof/>
              <w:sz w:val="24"/>
              <w:szCs w:val="24"/>
              <w:lang w:val="en-IN" w:eastAsia="en-IN"/>
            </w:rPr>
          </w:pPr>
          <w:hyperlink w:anchor="_Toc166266355" w:history="1">
            <w:r w:rsidR="00AB6FBC" w:rsidRPr="00C25842">
              <w:rPr>
                <w:rStyle w:val="Hyperlink"/>
                <w:rFonts w:ascii="Arial" w:hAnsi="Arial" w:cs="Arial"/>
                <w:b/>
                <w:bCs/>
                <w:noProof/>
              </w:rPr>
              <w:t>5.2.</w:t>
            </w:r>
            <w:r w:rsidR="00AB6FBC">
              <w:rPr>
                <w:rFonts w:eastAsiaTheme="minorEastAsia"/>
                <w:noProof/>
                <w:sz w:val="24"/>
                <w:szCs w:val="24"/>
                <w:lang w:val="en-IN" w:eastAsia="en-IN"/>
              </w:rPr>
              <w:tab/>
            </w:r>
            <w:r w:rsidR="00AB6FBC" w:rsidRPr="00C25842">
              <w:rPr>
                <w:rStyle w:val="Hyperlink"/>
                <w:rFonts w:ascii="Arial" w:hAnsi="Arial" w:cs="Arial"/>
                <w:b/>
                <w:bCs/>
                <w:noProof/>
                <w:lang w:eastAsia="en-IN"/>
              </w:rPr>
              <w:t>FINANCIAL RATIO TRENDS</w:t>
            </w:r>
            <w:r w:rsidR="00AB6FBC">
              <w:rPr>
                <w:noProof/>
                <w:webHidden/>
              </w:rPr>
              <w:tab/>
            </w:r>
            <w:r w:rsidR="00AB6FBC">
              <w:rPr>
                <w:noProof/>
                <w:webHidden/>
              </w:rPr>
              <w:fldChar w:fldCharType="begin"/>
            </w:r>
            <w:r w:rsidR="00AB6FBC">
              <w:rPr>
                <w:noProof/>
                <w:webHidden/>
              </w:rPr>
              <w:instrText xml:space="preserve"> PAGEREF _Toc166266355 \h </w:instrText>
            </w:r>
            <w:r w:rsidR="00AB6FBC">
              <w:rPr>
                <w:noProof/>
                <w:webHidden/>
              </w:rPr>
            </w:r>
            <w:r w:rsidR="00AB6FBC">
              <w:rPr>
                <w:noProof/>
                <w:webHidden/>
              </w:rPr>
              <w:fldChar w:fldCharType="separate"/>
            </w:r>
            <w:r w:rsidR="00AB6FBC">
              <w:rPr>
                <w:noProof/>
                <w:webHidden/>
              </w:rPr>
              <w:t>10</w:t>
            </w:r>
            <w:r w:rsidR="00AB6FBC">
              <w:rPr>
                <w:noProof/>
                <w:webHidden/>
              </w:rPr>
              <w:fldChar w:fldCharType="end"/>
            </w:r>
          </w:hyperlink>
        </w:p>
        <w:p w14:paraId="2172A054" w14:textId="4C864387" w:rsidR="00AB6FBC" w:rsidRDefault="00000000">
          <w:pPr>
            <w:pStyle w:val="TOC1"/>
            <w:tabs>
              <w:tab w:val="left" w:pos="440"/>
              <w:tab w:val="right" w:leader="dot" w:pos="8296"/>
            </w:tabs>
            <w:rPr>
              <w:rFonts w:eastAsiaTheme="minorEastAsia"/>
              <w:noProof/>
              <w:sz w:val="24"/>
              <w:szCs w:val="24"/>
              <w:lang w:val="en-IN" w:eastAsia="en-IN"/>
            </w:rPr>
          </w:pPr>
          <w:hyperlink w:anchor="_Toc166266364" w:history="1">
            <w:r w:rsidR="00AB6FBC" w:rsidRPr="00C25842">
              <w:rPr>
                <w:rStyle w:val="Hyperlink"/>
                <w:rFonts w:ascii="Arial" w:hAnsi="Arial" w:cs="Arial"/>
                <w:b/>
                <w:bCs/>
                <w:noProof/>
              </w:rPr>
              <w:t>6.</w:t>
            </w:r>
            <w:r w:rsidR="00AB6FBC">
              <w:rPr>
                <w:rFonts w:eastAsiaTheme="minorEastAsia"/>
                <w:noProof/>
                <w:sz w:val="24"/>
                <w:szCs w:val="24"/>
                <w:lang w:val="en-IN" w:eastAsia="en-IN"/>
              </w:rPr>
              <w:tab/>
            </w:r>
            <w:r w:rsidR="00AB6FBC" w:rsidRPr="00C25842">
              <w:rPr>
                <w:rStyle w:val="Hyperlink"/>
                <w:rFonts w:ascii="Arial" w:hAnsi="Arial" w:cs="Arial"/>
                <w:b/>
                <w:bCs/>
                <w:noProof/>
              </w:rPr>
              <w:t>PORTFOLIO DECISION</w:t>
            </w:r>
            <w:r w:rsidR="00AB6FBC">
              <w:rPr>
                <w:noProof/>
                <w:webHidden/>
              </w:rPr>
              <w:tab/>
            </w:r>
            <w:r w:rsidR="00AB6FBC">
              <w:rPr>
                <w:noProof/>
                <w:webHidden/>
              </w:rPr>
              <w:fldChar w:fldCharType="begin"/>
            </w:r>
            <w:r w:rsidR="00AB6FBC">
              <w:rPr>
                <w:noProof/>
                <w:webHidden/>
              </w:rPr>
              <w:instrText xml:space="preserve"> PAGEREF _Toc166266364 \h </w:instrText>
            </w:r>
            <w:r w:rsidR="00AB6FBC">
              <w:rPr>
                <w:noProof/>
                <w:webHidden/>
              </w:rPr>
            </w:r>
            <w:r w:rsidR="00AB6FBC">
              <w:rPr>
                <w:noProof/>
                <w:webHidden/>
              </w:rPr>
              <w:fldChar w:fldCharType="separate"/>
            </w:r>
            <w:r w:rsidR="00AB6FBC">
              <w:rPr>
                <w:noProof/>
                <w:webHidden/>
              </w:rPr>
              <w:t>18</w:t>
            </w:r>
            <w:r w:rsidR="00AB6FBC">
              <w:rPr>
                <w:noProof/>
                <w:webHidden/>
              </w:rPr>
              <w:fldChar w:fldCharType="end"/>
            </w:r>
          </w:hyperlink>
        </w:p>
        <w:p w14:paraId="457D6DE3" w14:textId="2BD41C7E" w:rsidR="00AB6FBC" w:rsidRDefault="00000000">
          <w:pPr>
            <w:pStyle w:val="TOC2"/>
            <w:tabs>
              <w:tab w:val="left" w:pos="960"/>
              <w:tab w:val="right" w:leader="dot" w:pos="8296"/>
            </w:tabs>
            <w:rPr>
              <w:rFonts w:eastAsiaTheme="minorEastAsia"/>
              <w:noProof/>
              <w:sz w:val="24"/>
              <w:szCs w:val="24"/>
              <w:lang w:val="en-IN" w:eastAsia="en-IN"/>
            </w:rPr>
          </w:pPr>
          <w:hyperlink w:anchor="_Toc166266365" w:history="1">
            <w:r w:rsidR="00AB6FBC" w:rsidRPr="00C25842">
              <w:rPr>
                <w:rStyle w:val="Hyperlink"/>
                <w:rFonts w:ascii="Arial" w:hAnsi="Arial" w:cs="Arial"/>
                <w:b/>
                <w:bCs/>
                <w:noProof/>
              </w:rPr>
              <w:t>6.1.</w:t>
            </w:r>
            <w:r w:rsidR="00AB6FBC">
              <w:rPr>
                <w:rFonts w:eastAsiaTheme="minorEastAsia"/>
                <w:noProof/>
                <w:sz w:val="24"/>
                <w:szCs w:val="24"/>
                <w:lang w:val="en-IN" w:eastAsia="en-IN"/>
              </w:rPr>
              <w:tab/>
            </w:r>
            <w:r w:rsidR="00AB6FBC" w:rsidRPr="00C25842">
              <w:rPr>
                <w:rStyle w:val="Hyperlink"/>
                <w:rFonts w:ascii="Arial" w:hAnsi="Arial" w:cs="Arial"/>
                <w:b/>
                <w:bCs/>
                <w:noProof/>
              </w:rPr>
              <w:t>STORYLINE:</w:t>
            </w:r>
            <w:r w:rsidR="00AB6FBC">
              <w:rPr>
                <w:noProof/>
                <w:webHidden/>
              </w:rPr>
              <w:tab/>
            </w:r>
            <w:r w:rsidR="00AB6FBC">
              <w:rPr>
                <w:noProof/>
                <w:webHidden/>
              </w:rPr>
              <w:fldChar w:fldCharType="begin"/>
            </w:r>
            <w:r w:rsidR="00AB6FBC">
              <w:rPr>
                <w:noProof/>
                <w:webHidden/>
              </w:rPr>
              <w:instrText xml:space="preserve"> PAGEREF _Toc166266365 \h </w:instrText>
            </w:r>
            <w:r w:rsidR="00AB6FBC">
              <w:rPr>
                <w:noProof/>
                <w:webHidden/>
              </w:rPr>
            </w:r>
            <w:r w:rsidR="00AB6FBC">
              <w:rPr>
                <w:noProof/>
                <w:webHidden/>
              </w:rPr>
              <w:fldChar w:fldCharType="separate"/>
            </w:r>
            <w:r w:rsidR="00AB6FBC">
              <w:rPr>
                <w:noProof/>
                <w:webHidden/>
              </w:rPr>
              <w:t>18</w:t>
            </w:r>
            <w:r w:rsidR="00AB6FBC">
              <w:rPr>
                <w:noProof/>
                <w:webHidden/>
              </w:rPr>
              <w:fldChar w:fldCharType="end"/>
            </w:r>
          </w:hyperlink>
        </w:p>
        <w:p w14:paraId="77ED8038" w14:textId="04E538F3" w:rsidR="00AB6FBC" w:rsidRDefault="00000000">
          <w:pPr>
            <w:pStyle w:val="TOC2"/>
            <w:tabs>
              <w:tab w:val="left" w:pos="960"/>
              <w:tab w:val="right" w:leader="dot" w:pos="8296"/>
            </w:tabs>
            <w:rPr>
              <w:rFonts w:eastAsiaTheme="minorEastAsia"/>
              <w:noProof/>
              <w:sz w:val="24"/>
              <w:szCs w:val="24"/>
              <w:lang w:val="en-IN" w:eastAsia="en-IN"/>
            </w:rPr>
          </w:pPr>
          <w:hyperlink w:anchor="_Toc166266366" w:history="1">
            <w:r w:rsidR="00AB6FBC" w:rsidRPr="00C25842">
              <w:rPr>
                <w:rStyle w:val="Hyperlink"/>
                <w:rFonts w:ascii="Arial" w:hAnsi="Arial" w:cs="Arial"/>
                <w:b/>
                <w:bCs/>
                <w:noProof/>
                <w:lang w:val="en-IN"/>
              </w:rPr>
              <w:t>6.2.</w:t>
            </w:r>
            <w:r w:rsidR="00AB6FBC">
              <w:rPr>
                <w:rFonts w:eastAsiaTheme="minorEastAsia"/>
                <w:noProof/>
                <w:sz w:val="24"/>
                <w:szCs w:val="24"/>
                <w:lang w:val="en-IN" w:eastAsia="en-IN"/>
              </w:rPr>
              <w:tab/>
            </w:r>
            <w:r w:rsidR="00AB6FBC" w:rsidRPr="00C25842">
              <w:rPr>
                <w:rStyle w:val="Hyperlink"/>
                <w:rFonts w:ascii="Arial" w:hAnsi="Arial" w:cs="Arial"/>
                <w:b/>
                <w:bCs/>
                <w:noProof/>
                <w:lang w:val="en-IN"/>
              </w:rPr>
              <w:t>THE IMPACT OF DATA-DRIVEN DECISIONS:</w:t>
            </w:r>
            <w:r w:rsidR="00AB6FBC">
              <w:rPr>
                <w:noProof/>
                <w:webHidden/>
              </w:rPr>
              <w:tab/>
            </w:r>
            <w:r w:rsidR="00AB6FBC">
              <w:rPr>
                <w:noProof/>
                <w:webHidden/>
              </w:rPr>
              <w:fldChar w:fldCharType="begin"/>
            </w:r>
            <w:r w:rsidR="00AB6FBC">
              <w:rPr>
                <w:noProof/>
                <w:webHidden/>
              </w:rPr>
              <w:instrText xml:space="preserve"> PAGEREF _Toc166266366 \h </w:instrText>
            </w:r>
            <w:r w:rsidR="00AB6FBC">
              <w:rPr>
                <w:noProof/>
                <w:webHidden/>
              </w:rPr>
            </w:r>
            <w:r w:rsidR="00AB6FBC">
              <w:rPr>
                <w:noProof/>
                <w:webHidden/>
              </w:rPr>
              <w:fldChar w:fldCharType="separate"/>
            </w:r>
            <w:r w:rsidR="00AB6FBC">
              <w:rPr>
                <w:noProof/>
                <w:webHidden/>
              </w:rPr>
              <w:t>18</w:t>
            </w:r>
            <w:r w:rsidR="00AB6FBC">
              <w:rPr>
                <w:noProof/>
                <w:webHidden/>
              </w:rPr>
              <w:fldChar w:fldCharType="end"/>
            </w:r>
          </w:hyperlink>
        </w:p>
        <w:p w14:paraId="6D5CCD9E" w14:textId="7BDA456B" w:rsidR="00AB6FBC" w:rsidRDefault="00000000">
          <w:pPr>
            <w:pStyle w:val="TOC2"/>
            <w:tabs>
              <w:tab w:val="left" w:pos="960"/>
              <w:tab w:val="right" w:leader="dot" w:pos="8296"/>
            </w:tabs>
            <w:rPr>
              <w:rFonts w:eastAsiaTheme="minorEastAsia"/>
              <w:noProof/>
              <w:sz w:val="24"/>
              <w:szCs w:val="24"/>
              <w:lang w:val="en-IN" w:eastAsia="en-IN"/>
            </w:rPr>
          </w:pPr>
          <w:hyperlink w:anchor="_Toc166266367" w:history="1">
            <w:r w:rsidR="00AB6FBC" w:rsidRPr="00C25842">
              <w:rPr>
                <w:rStyle w:val="Hyperlink"/>
                <w:rFonts w:ascii="Arial" w:hAnsi="Arial" w:cs="Arial"/>
                <w:b/>
                <w:bCs/>
                <w:noProof/>
                <w:lang w:val="en-IN"/>
              </w:rPr>
              <w:t>6.3.</w:t>
            </w:r>
            <w:r w:rsidR="00AB6FBC">
              <w:rPr>
                <w:rFonts w:eastAsiaTheme="minorEastAsia"/>
                <w:noProof/>
                <w:sz w:val="24"/>
                <w:szCs w:val="24"/>
                <w:lang w:val="en-IN" w:eastAsia="en-IN"/>
              </w:rPr>
              <w:tab/>
            </w:r>
            <w:r w:rsidR="00AB6FBC" w:rsidRPr="00C25842">
              <w:rPr>
                <w:rStyle w:val="Hyperlink"/>
                <w:rFonts w:ascii="Arial" w:hAnsi="Arial" w:cs="Arial"/>
                <w:b/>
                <w:bCs/>
                <w:noProof/>
                <w:lang w:val="en-IN"/>
              </w:rPr>
              <w:t>ETHICAL CONSIDERATIONS</w:t>
            </w:r>
            <w:r w:rsidR="00AB6FBC">
              <w:rPr>
                <w:noProof/>
                <w:webHidden/>
              </w:rPr>
              <w:tab/>
            </w:r>
            <w:r w:rsidR="00AB6FBC">
              <w:rPr>
                <w:noProof/>
                <w:webHidden/>
              </w:rPr>
              <w:fldChar w:fldCharType="begin"/>
            </w:r>
            <w:r w:rsidR="00AB6FBC">
              <w:rPr>
                <w:noProof/>
                <w:webHidden/>
              </w:rPr>
              <w:instrText xml:space="preserve"> PAGEREF _Toc166266367 \h </w:instrText>
            </w:r>
            <w:r w:rsidR="00AB6FBC">
              <w:rPr>
                <w:noProof/>
                <w:webHidden/>
              </w:rPr>
            </w:r>
            <w:r w:rsidR="00AB6FBC">
              <w:rPr>
                <w:noProof/>
                <w:webHidden/>
              </w:rPr>
              <w:fldChar w:fldCharType="separate"/>
            </w:r>
            <w:r w:rsidR="00AB6FBC">
              <w:rPr>
                <w:noProof/>
                <w:webHidden/>
              </w:rPr>
              <w:t>19</w:t>
            </w:r>
            <w:r w:rsidR="00AB6FBC">
              <w:rPr>
                <w:noProof/>
                <w:webHidden/>
              </w:rPr>
              <w:fldChar w:fldCharType="end"/>
            </w:r>
          </w:hyperlink>
        </w:p>
        <w:p w14:paraId="1C49082F" w14:textId="7E387AC2" w:rsidR="00AB6FBC" w:rsidRDefault="00000000">
          <w:pPr>
            <w:pStyle w:val="TOC2"/>
            <w:tabs>
              <w:tab w:val="left" w:pos="720"/>
              <w:tab w:val="right" w:leader="dot" w:pos="8296"/>
            </w:tabs>
            <w:rPr>
              <w:rFonts w:eastAsiaTheme="minorEastAsia"/>
              <w:noProof/>
              <w:sz w:val="24"/>
              <w:szCs w:val="24"/>
              <w:lang w:val="en-IN" w:eastAsia="en-IN"/>
            </w:rPr>
          </w:pPr>
          <w:hyperlink w:anchor="_Toc166266368" w:history="1">
            <w:r w:rsidR="00AB6FBC" w:rsidRPr="00C25842">
              <w:rPr>
                <w:rStyle w:val="Hyperlink"/>
                <w:rFonts w:ascii="Arial" w:eastAsia="Times New Roman" w:hAnsi="Arial" w:cs="Arial"/>
                <w:b/>
                <w:bCs/>
                <w:noProof/>
                <w:kern w:val="0"/>
                <w:lang w:val="en-IN" w:eastAsia="en-IN"/>
                <w14:ligatures w14:val="none"/>
              </w:rPr>
              <w:t>7.</w:t>
            </w:r>
            <w:r w:rsidR="00AB6FBC">
              <w:rPr>
                <w:rFonts w:eastAsiaTheme="minorEastAsia"/>
                <w:noProof/>
                <w:sz w:val="24"/>
                <w:szCs w:val="24"/>
                <w:lang w:val="en-IN" w:eastAsia="en-IN"/>
              </w:rPr>
              <w:tab/>
            </w:r>
            <w:r w:rsidR="00AB6FBC" w:rsidRPr="00C25842">
              <w:rPr>
                <w:rStyle w:val="Hyperlink"/>
                <w:rFonts w:ascii="Arial" w:eastAsia="Times New Roman" w:hAnsi="Arial" w:cs="Arial"/>
                <w:b/>
                <w:bCs/>
                <w:noProof/>
                <w:kern w:val="0"/>
                <w:lang w:val="en-IN" w:eastAsia="en-IN"/>
                <w14:ligatures w14:val="none"/>
              </w:rPr>
              <w:t>CONCLUSION:</w:t>
            </w:r>
            <w:r w:rsidR="00AB6FBC">
              <w:rPr>
                <w:noProof/>
                <w:webHidden/>
              </w:rPr>
              <w:tab/>
            </w:r>
            <w:r w:rsidR="00AB6FBC">
              <w:rPr>
                <w:noProof/>
                <w:webHidden/>
              </w:rPr>
              <w:fldChar w:fldCharType="begin"/>
            </w:r>
            <w:r w:rsidR="00AB6FBC">
              <w:rPr>
                <w:noProof/>
                <w:webHidden/>
              </w:rPr>
              <w:instrText xml:space="preserve"> PAGEREF _Toc166266368 \h </w:instrText>
            </w:r>
            <w:r w:rsidR="00AB6FBC">
              <w:rPr>
                <w:noProof/>
                <w:webHidden/>
              </w:rPr>
            </w:r>
            <w:r w:rsidR="00AB6FBC">
              <w:rPr>
                <w:noProof/>
                <w:webHidden/>
              </w:rPr>
              <w:fldChar w:fldCharType="separate"/>
            </w:r>
            <w:r w:rsidR="00AB6FBC">
              <w:rPr>
                <w:noProof/>
                <w:webHidden/>
              </w:rPr>
              <w:t>19</w:t>
            </w:r>
            <w:r w:rsidR="00AB6FBC">
              <w:rPr>
                <w:noProof/>
                <w:webHidden/>
              </w:rPr>
              <w:fldChar w:fldCharType="end"/>
            </w:r>
          </w:hyperlink>
        </w:p>
        <w:p w14:paraId="38CBA833" w14:textId="4C0D006F" w:rsidR="00AB6FBC" w:rsidRDefault="00000000">
          <w:pPr>
            <w:pStyle w:val="TOC2"/>
            <w:tabs>
              <w:tab w:val="left" w:pos="960"/>
              <w:tab w:val="right" w:leader="dot" w:pos="8296"/>
            </w:tabs>
            <w:rPr>
              <w:rFonts w:eastAsiaTheme="minorEastAsia"/>
              <w:noProof/>
              <w:sz w:val="24"/>
              <w:szCs w:val="24"/>
              <w:lang w:val="en-IN" w:eastAsia="en-IN"/>
            </w:rPr>
          </w:pPr>
          <w:hyperlink w:anchor="_Toc166266369" w:history="1">
            <w:r w:rsidR="00AB6FBC" w:rsidRPr="00C25842">
              <w:rPr>
                <w:rStyle w:val="Hyperlink"/>
                <w:rFonts w:ascii="Arial" w:hAnsi="Arial" w:cs="Arial"/>
                <w:b/>
                <w:bCs/>
                <w:noProof/>
              </w:rPr>
              <w:t>7.1.</w:t>
            </w:r>
            <w:r w:rsidR="00AB6FBC">
              <w:rPr>
                <w:rFonts w:eastAsiaTheme="minorEastAsia"/>
                <w:noProof/>
                <w:sz w:val="24"/>
                <w:szCs w:val="24"/>
                <w:lang w:val="en-IN" w:eastAsia="en-IN"/>
              </w:rPr>
              <w:tab/>
            </w:r>
            <w:r w:rsidR="00AB6FBC" w:rsidRPr="00C25842">
              <w:rPr>
                <w:rStyle w:val="Hyperlink"/>
                <w:rFonts w:ascii="Arial" w:hAnsi="Arial" w:cs="Arial"/>
                <w:b/>
                <w:bCs/>
                <w:noProof/>
              </w:rPr>
              <w:t>KEY FINDINGS</w:t>
            </w:r>
            <w:r w:rsidR="00AB6FBC">
              <w:rPr>
                <w:noProof/>
                <w:webHidden/>
              </w:rPr>
              <w:tab/>
            </w:r>
            <w:r w:rsidR="00AB6FBC">
              <w:rPr>
                <w:noProof/>
                <w:webHidden/>
              </w:rPr>
              <w:fldChar w:fldCharType="begin"/>
            </w:r>
            <w:r w:rsidR="00AB6FBC">
              <w:rPr>
                <w:noProof/>
                <w:webHidden/>
              </w:rPr>
              <w:instrText xml:space="preserve"> PAGEREF _Toc166266369 \h </w:instrText>
            </w:r>
            <w:r w:rsidR="00AB6FBC">
              <w:rPr>
                <w:noProof/>
                <w:webHidden/>
              </w:rPr>
            </w:r>
            <w:r w:rsidR="00AB6FBC">
              <w:rPr>
                <w:noProof/>
                <w:webHidden/>
              </w:rPr>
              <w:fldChar w:fldCharType="separate"/>
            </w:r>
            <w:r w:rsidR="00AB6FBC">
              <w:rPr>
                <w:noProof/>
                <w:webHidden/>
              </w:rPr>
              <w:t>19</w:t>
            </w:r>
            <w:r w:rsidR="00AB6FBC">
              <w:rPr>
                <w:noProof/>
                <w:webHidden/>
              </w:rPr>
              <w:fldChar w:fldCharType="end"/>
            </w:r>
          </w:hyperlink>
        </w:p>
        <w:p w14:paraId="78007E0C" w14:textId="58E2FB91" w:rsidR="00AB6FBC" w:rsidRDefault="00000000">
          <w:pPr>
            <w:pStyle w:val="TOC2"/>
            <w:tabs>
              <w:tab w:val="left" w:pos="960"/>
              <w:tab w:val="right" w:leader="dot" w:pos="8296"/>
            </w:tabs>
            <w:rPr>
              <w:rFonts w:eastAsiaTheme="minorEastAsia"/>
              <w:noProof/>
              <w:sz w:val="24"/>
              <w:szCs w:val="24"/>
              <w:lang w:val="en-IN" w:eastAsia="en-IN"/>
            </w:rPr>
          </w:pPr>
          <w:hyperlink w:anchor="_Toc166266370" w:history="1">
            <w:r w:rsidR="00AB6FBC" w:rsidRPr="00C25842">
              <w:rPr>
                <w:rStyle w:val="Hyperlink"/>
                <w:rFonts w:ascii="Arial" w:hAnsi="Arial" w:cs="Arial"/>
                <w:b/>
                <w:bCs/>
                <w:noProof/>
              </w:rPr>
              <w:t>7.2.</w:t>
            </w:r>
            <w:r w:rsidR="00AB6FBC">
              <w:rPr>
                <w:rFonts w:eastAsiaTheme="minorEastAsia"/>
                <w:noProof/>
                <w:sz w:val="24"/>
                <w:szCs w:val="24"/>
                <w:lang w:val="en-IN" w:eastAsia="en-IN"/>
              </w:rPr>
              <w:tab/>
            </w:r>
            <w:r w:rsidR="00AB6FBC" w:rsidRPr="00C25842">
              <w:rPr>
                <w:rStyle w:val="Hyperlink"/>
                <w:rFonts w:ascii="Arial" w:hAnsi="Arial" w:cs="Arial"/>
                <w:b/>
                <w:bCs/>
                <w:noProof/>
              </w:rPr>
              <w:t>RECOMMENDATION</w:t>
            </w:r>
            <w:r w:rsidR="00AB6FBC">
              <w:rPr>
                <w:noProof/>
                <w:webHidden/>
              </w:rPr>
              <w:tab/>
            </w:r>
            <w:r w:rsidR="00AB6FBC">
              <w:rPr>
                <w:noProof/>
                <w:webHidden/>
              </w:rPr>
              <w:fldChar w:fldCharType="begin"/>
            </w:r>
            <w:r w:rsidR="00AB6FBC">
              <w:rPr>
                <w:noProof/>
                <w:webHidden/>
              </w:rPr>
              <w:instrText xml:space="preserve"> PAGEREF _Toc166266370 \h </w:instrText>
            </w:r>
            <w:r w:rsidR="00AB6FBC">
              <w:rPr>
                <w:noProof/>
                <w:webHidden/>
              </w:rPr>
            </w:r>
            <w:r w:rsidR="00AB6FBC">
              <w:rPr>
                <w:noProof/>
                <w:webHidden/>
              </w:rPr>
              <w:fldChar w:fldCharType="separate"/>
            </w:r>
            <w:r w:rsidR="00AB6FBC">
              <w:rPr>
                <w:noProof/>
                <w:webHidden/>
              </w:rPr>
              <w:t>20</w:t>
            </w:r>
            <w:r w:rsidR="00AB6FBC">
              <w:rPr>
                <w:noProof/>
                <w:webHidden/>
              </w:rPr>
              <w:fldChar w:fldCharType="end"/>
            </w:r>
          </w:hyperlink>
        </w:p>
        <w:p w14:paraId="45F0842D" w14:textId="0D12DD12" w:rsidR="00AB6FBC" w:rsidRDefault="00000000">
          <w:pPr>
            <w:pStyle w:val="TOC1"/>
            <w:tabs>
              <w:tab w:val="left" w:pos="720"/>
              <w:tab w:val="right" w:leader="dot" w:pos="8296"/>
            </w:tabs>
            <w:rPr>
              <w:rFonts w:eastAsiaTheme="minorEastAsia"/>
              <w:noProof/>
              <w:sz w:val="24"/>
              <w:szCs w:val="24"/>
              <w:lang w:val="en-IN" w:eastAsia="en-IN"/>
            </w:rPr>
          </w:pPr>
          <w:hyperlink w:anchor="_Toc166266371" w:history="1">
            <w:r w:rsidR="00AB6FBC" w:rsidRPr="00C25842">
              <w:rPr>
                <w:rStyle w:val="Hyperlink"/>
                <w:rFonts w:ascii="Arial" w:hAnsi="Arial" w:cs="Arial"/>
                <w:b/>
                <w:bCs/>
                <w:noProof/>
                <w:lang w:val="en-US"/>
              </w:rPr>
              <w:t>1b.</w:t>
            </w:r>
            <w:r w:rsidR="00AB6FBC">
              <w:rPr>
                <w:rFonts w:eastAsiaTheme="minorEastAsia"/>
                <w:noProof/>
                <w:sz w:val="24"/>
                <w:szCs w:val="24"/>
                <w:lang w:val="en-IN" w:eastAsia="en-IN"/>
              </w:rPr>
              <w:tab/>
            </w:r>
            <w:r w:rsidR="00AB6FBC" w:rsidRPr="00C25842">
              <w:rPr>
                <w:rStyle w:val="Hyperlink"/>
                <w:rFonts w:ascii="Arial" w:hAnsi="Arial" w:cs="Arial"/>
                <w:b/>
                <w:bCs/>
                <w:noProof/>
                <w:lang w:val="en-US"/>
              </w:rPr>
              <w:t>SUPPORTING MATERIAL</w:t>
            </w:r>
            <w:r w:rsidR="00AB6FBC">
              <w:rPr>
                <w:noProof/>
                <w:webHidden/>
              </w:rPr>
              <w:tab/>
            </w:r>
            <w:r w:rsidR="00AB6FBC">
              <w:rPr>
                <w:noProof/>
                <w:webHidden/>
              </w:rPr>
              <w:fldChar w:fldCharType="begin"/>
            </w:r>
            <w:r w:rsidR="00AB6FBC">
              <w:rPr>
                <w:noProof/>
                <w:webHidden/>
              </w:rPr>
              <w:instrText xml:space="preserve"> PAGEREF _Toc166266371 \h </w:instrText>
            </w:r>
            <w:r w:rsidR="00AB6FBC">
              <w:rPr>
                <w:noProof/>
                <w:webHidden/>
              </w:rPr>
            </w:r>
            <w:r w:rsidR="00AB6FBC">
              <w:rPr>
                <w:noProof/>
                <w:webHidden/>
              </w:rPr>
              <w:fldChar w:fldCharType="separate"/>
            </w:r>
            <w:r w:rsidR="00AB6FBC">
              <w:rPr>
                <w:noProof/>
                <w:webHidden/>
              </w:rPr>
              <w:t>21</w:t>
            </w:r>
            <w:r w:rsidR="00AB6FBC">
              <w:rPr>
                <w:noProof/>
                <w:webHidden/>
              </w:rPr>
              <w:fldChar w:fldCharType="end"/>
            </w:r>
          </w:hyperlink>
        </w:p>
        <w:p w14:paraId="370B88E4" w14:textId="3AF5C5B6" w:rsidR="00AB6FBC" w:rsidRDefault="00000000">
          <w:pPr>
            <w:pStyle w:val="TOC1"/>
            <w:tabs>
              <w:tab w:val="left" w:pos="720"/>
              <w:tab w:val="right" w:leader="dot" w:pos="8296"/>
            </w:tabs>
            <w:rPr>
              <w:rFonts w:eastAsiaTheme="minorEastAsia"/>
              <w:noProof/>
              <w:sz w:val="24"/>
              <w:szCs w:val="24"/>
              <w:lang w:val="en-IN" w:eastAsia="en-IN"/>
            </w:rPr>
          </w:pPr>
          <w:hyperlink w:anchor="_Toc166266372" w:history="1">
            <w:r w:rsidR="00AB6FBC" w:rsidRPr="00C25842">
              <w:rPr>
                <w:rStyle w:val="Hyperlink"/>
                <w:rFonts w:ascii="Arial" w:hAnsi="Arial" w:cs="Arial"/>
                <w:b/>
                <w:bCs/>
                <w:noProof/>
                <w:lang w:val="en-IN"/>
              </w:rPr>
              <w:t>2a.</w:t>
            </w:r>
            <w:r w:rsidR="00AB6FBC">
              <w:rPr>
                <w:rFonts w:eastAsiaTheme="minorEastAsia"/>
                <w:noProof/>
                <w:sz w:val="24"/>
                <w:szCs w:val="24"/>
                <w:lang w:val="en-IN" w:eastAsia="en-IN"/>
              </w:rPr>
              <w:tab/>
            </w:r>
            <w:r w:rsidR="00AB6FBC" w:rsidRPr="00C25842">
              <w:rPr>
                <w:rStyle w:val="Hyperlink"/>
                <w:rFonts w:ascii="Arial" w:hAnsi="Arial" w:cs="Arial"/>
                <w:b/>
                <w:bCs/>
                <w:noProof/>
              </w:rPr>
              <w:t>REFLECTION AND EVALUATION</w:t>
            </w:r>
            <w:r w:rsidR="00AB6FBC">
              <w:rPr>
                <w:noProof/>
                <w:webHidden/>
              </w:rPr>
              <w:tab/>
            </w:r>
            <w:r w:rsidR="00AB6FBC">
              <w:rPr>
                <w:noProof/>
                <w:webHidden/>
              </w:rPr>
              <w:fldChar w:fldCharType="begin"/>
            </w:r>
            <w:r w:rsidR="00AB6FBC">
              <w:rPr>
                <w:noProof/>
                <w:webHidden/>
              </w:rPr>
              <w:instrText xml:space="preserve"> PAGEREF _Toc166266372 \h </w:instrText>
            </w:r>
            <w:r w:rsidR="00AB6FBC">
              <w:rPr>
                <w:noProof/>
                <w:webHidden/>
              </w:rPr>
            </w:r>
            <w:r w:rsidR="00AB6FBC">
              <w:rPr>
                <w:noProof/>
                <w:webHidden/>
              </w:rPr>
              <w:fldChar w:fldCharType="separate"/>
            </w:r>
            <w:r w:rsidR="00AB6FBC">
              <w:rPr>
                <w:noProof/>
                <w:webHidden/>
              </w:rPr>
              <w:t>23</w:t>
            </w:r>
            <w:r w:rsidR="00AB6FBC">
              <w:rPr>
                <w:noProof/>
                <w:webHidden/>
              </w:rPr>
              <w:fldChar w:fldCharType="end"/>
            </w:r>
          </w:hyperlink>
        </w:p>
        <w:p w14:paraId="508F64CD" w14:textId="4AB5F6A3" w:rsidR="00AB6FBC" w:rsidRDefault="00000000">
          <w:pPr>
            <w:pStyle w:val="TOC1"/>
            <w:tabs>
              <w:tab w:val="left" w:pos="440"/>
              <w:tab w:val="right" w:leader="dot" w:pos="8296"/>
            </w:tabs>
            <w:rPr>
              <w:rFonts w:eastAsiaTheme="minorEastAsia"/>
              <w:noProof/>
              <w:sz w:val="24"/>
              <w:szCs w:val="24"/>
              <w:lang w:val="en-IN" w:eastAsia="en-IN"/>
            </w:rPr>
          </w:pPr>
          <w:hyperlink w:anchor="_Toc166266373" w:history="1">
            <w:r w:rsidR="00AB6FBC" w:rsidRPr="00C25842">
              <w:rPr>
                <w:rStyle w:val="Hyperlink"/>
                <w:rFonts w:ascii="Arial" w:hAnsi="Arial" w:cs="Arial"/>
                <w:b/>
                <w:bCs/>
                <w:noProof/>
              </w:rPr>
              <w:t>8.</w:t>
            </w:r>
            <w:r w:rsidR="00AB6FBC">
              <w:rPr>
                <w:rFonts w:eastAsiaTheme="minorEastAsia"/>
                <w:noProof/>
                <w:sz w:val="24"/>
                <w:szCs w:val="24"/>
                <w:lang w:val="en-IN" w:eastAsia="en-IN"/>
              </w:rPr>
              <w:tab/>
            </w:r>
            <w:r w:rsidR="00AB6FBC" w:rsidRPr="00C25842">
              <w:rPr>
                <w:rStyle w:val="Hyperlink"/>
                <w:rFonts w:ascii="Arial" w:hAnsi="Arial" w:cs="Arial"/>
                <w:b/>
                <w:bCs/>
                <w:noProof/>
              </w:rPr>
              <w:t>REFERENCE</w:t>
            </w:r>
            <w:r w:rsidR="00AB6FBC">
              <w:rPr>
                <w:noProof/>
                <w:webHidden/>
              </w:rPr>
              <w:tab/>
            </w:r>
            <w:r w:rsidR="00AB6FBC">
              <w:rPr>
                <w:noProof/>
                <w:webHidden/>
              </w:rPr>
              <w:fldChar w:fldCharType="begin"/>
            </w:r>
            <w:r w:rsidR="00AB6FBC">
              <w:rPr>
                <w:noProof/>
                <w:webHidden/>
              </w:rPr>
              <w:instrText xml:space="preserve"> PAGEREF _Toc166266373 \h </w:instrText>
            </w:r>
            <w:r w:rsidR="00AB6FBC">
              <w:rPr>
                <w:noProof/>
                <w:webHidden/>
              </w:rPr>
            </w:r>
            <w:r w:rsidR="00AB6FBC">
              <w:rPr>
                <w:noProof/>
                <w:webHidden/>
              </w:rPr>
              <w:fldChar w:fldCharType="separate"/>
            </w:r>
            <w:r w:rsidR="00AB6FBC">
              <w:rPr>
                <w:noProof/>
                <w:webHidden/>
              </w:rPr>
              <w:t>25</w:t>
            </w:r>
            <w:r w:rsidR="00AB6FBC">
              <w:rPr>
                <w:noProof/>
                <w:webHidden/>
              </w:rPr>
              <w:fldChar w:fldCharType="end"/>
            </w:r>
          </w:hyperlink>
        </w:p>
        <w:p w14:paraId="281ADB60" w14:textId="7850C430" w:rsidR="00AB6FBC" w:rsidRDefault="00000000">
          <w:pPr>
            <w:pStyle w:val="TOC1"/>
            <w:tabs>
              <w:tab w:val="left" w:pos="440"/>
              <w:tab w:val="right" w:leader="dot" w:pos="8296"/>
            </w:tabs>
            <w:rPr>
              <w:rFonts w:eastAsiaTheme="minorEastAsia"/>
              <w:noProof/>
              <w:sz w:val="24"/>
              <w:szCs w:val="24"/>
              <w:lang w:val="en-IN" w:eastAsia="en-IN"/>
            </w:rPr>
          </w:pPr>
          <w:hyperlink w:anchor="_Toc166266374" w:history="1">
            <w:r w:rsidR="00AB6FBC" w:rsidRPr="00C25842">
              <w:rPr>
                <w:rStyle w:val="Hyperlink"/>
                <w:rFonts w:ascii="Arial" w:hAnsi="Arial" w:cs="Arial"/>
                <w:b/>
                <w:bCs/>
                <w:noProof/>
              </w:rPr>
              <w:t>9.</w:t>
            </w:r>
            <w:r w:rsidR="00AB6FBC">
              <w:rPr>
                <w:rFonts w:eastAsiaTheme="minorEastAsia"/>
                <w:noProof/>
                <w:sz w:val="24"/>
                <w:szCs w:val="24"/>
                <w:lang w:val="en-IN" w:eastAsia="en-IN"/>
              </w:rPr>
              <w:tab/>
            </w:r>
            <w:r w:rsidR="00AB6FBC" w:rsidRPr="00C25842">
              <w:rPr>
                <w:rStyle w:val="Hyperlink"/>
                <w:rFonts w:ascii="Arial" w:hAnsi="Arial" w:cs="Arial"/>
                <w:b/>
                <w:bCs/>
                <w:noProof/>
              </w:rPr>
              <w:t>APPENDIX</w:t>
            </w:r>
            <w:r w:rsidR="00AB6FBC">
              <w:rPr>
                <w:noProof/>
                <w:webHidden/>
              </w:rPr>
              <w:tab/>
            </w:r>
            <w:r w:rsidR="00AB6FBC">
              <w:rPr>
                <w:noProof/>
                <w:webHidden/>
              </w:rPr>
              <w:fldChar w:fldCharType="begin"/>
            </w:r>
            <w:r w:rsidR="00AB6FBC">
              <w:rPr>
                <w:noProof/>
                <w:webHidden/>
              </w:rPr>
              <w:instrText xml:space="preserve"> PAGEREF _Toc166266374 \h </w:instrText>
            </w:r>
            <w:r w:rsidR="00AB6FBC">
              <w:rPr>
                <w:noProof/>
                <w:webHidden/>
              </w:rPr>
            </w:r>
            <w:r w:rsidR="00AB6FBC">
              <w:rPr>
                <w:noProof/>
                <w:webHidden/>
              </w:rPr>
              <w:fldChar w:fldCharType="separate"/>
            </w:r>
            <w:r w:rsidR="00AB6FBC">
              <w:rPr>
                <w:noProof/>
                <w:webHidden/>
              </w:rPr>
              <w:t>27</w:t>
            </w:r>
            <w:r w:rsidR="00AB6FBC">
              <w:rPr>
                <w:noProof/>
                <w:webHidden/>
              </w:rPr>
              <w:fldChar w:fldCharType="end"/>
            </w:r>
          </w:hyperlink>
        </w:p>
        <w:p w14:paraId="3A577DB3" w14:textId="295EAF9E" w:rsidR="00231B83" w:rsidRDefault="00231B83">
          <w:r>
            <w:rPr>
              <w:b/>
              <w:bCs/>
              <w:noProof/>
            </w:rPr>
            <w:fldChar w:fldCharType="end"/>
          </w:r>
        </w:p>
      </w:sdtContent>
    </w:sdt>
    <w:p w14:paraId="305E12F4" w14:textId="77777777" w:rsidR="00AC4FC2" w:rsidRDefault="00AC4FC2" w:rsidP="009500AB">
      <w:pPr>
        <w:jc w:val="both"/>
        <w:rPr>
          <w:b/>
          <w:bCs/>
        </w:rPr>
      </w:pPr>
    </w:p>
    <w:p w14:paraId="03ECEC81" w14:textId="789A55BE" w:rsidR="00F72EFF" w:rsidRDefault="00F72EFF" w:rsidP="009500AB">
      <w:pPr>
        <w:jc w:val="both"/>
        <w:rPr>
          <w:b/>
          <w:bCs/>
        </w:rPr>
      </w:pPr>
    </w:p>
    <w:p w14:paraId="10D515FC" w14:textId="77777777" w:rsidR="002E0B05" w:rsidRDefault="002E0B05" w:rsidP="009500AB">
      <w:pPr>
        <w:jc w:val="both"/>
        <w:rPr>
          <w:b/>
          <w:bCs/>
        </w:rPr>
      </w:pPr>
    </w:p>
    <w:p w14:paraId="3092E50C" w14:textId="77777777" w:rsidR="002E0B05" w:rsidRDefault="002E0B05" w:rsidP="009500AB">
      <w:pPr>
        <w:jc w:val="both"/>
        <w:rPr>
          <w:b/>
          <w:bCs/>
        </w:rPr>
      </w:pPr>
    </w:p>
    <w:p w14:paraId="0A2D16D6" w14:textId="77777777" w:rsidR="002E0B05" w:rsidRDefault="002E0B05" w:rsidP="009500AB">
      <w:pPr>
        <w:jc w:val="both"/>
        <w:rPr>
          <w:b/>
          <w:bCs/>
        </w:rPr>
      </w:pPr>
    </w:p>
    <w:p w14:paraId="51A81C97" w14:textId="77777777" w:rsidR="002E0B05" w:rsidRDefault="002E0B05" w:rsidP="009500AB">
      <w:pPr>
        <w:jc w:val="both"/>
        <w:rPr>
          <w:b/>
          <w:bCs/>
        </w:rPr>
      </w:pPr>
    </w:p>
    <w:p w14:paraId="5AD07551" w14:textId="77777777" w:rsidR="002E0B05" w:rsidRDefault="002E0B05" w:rsidP="009500AB">
      <w:pPr>
        <w:jc w:val="both"/>
        <w:rPr>
          <w:b/>
          <w:bCs/>
        </w:rPr>
      </w:pPr>
    </w:p>
    <w:p w14:paraId="2702512C" w14:textId="77777777" w:rsidR="002E0B05" w:rsidRDefault="002E0B05" w:rsidP="009500AB">
      <w:pPr>
        <w:jc w:val="both"/>
        <w:rPr>
          <w:b/>
          <w:bCs/>
        </w:rPr>
      </w:pPr>
    </w:p>
    <w:p w14:paraId="15908525" w14:textId="77777777" w:rsidR="002E0B05" w:rsidRDefault="002E0B05" w:rsidP="009500AB">
      <w:pPr>
        <w:jc w:val="both"/>
        <w:rPr>
          <w:b/>
          <w:bCs/>
        </w:rPr>
      </w:pPr>
    </w:p>
    <w:p w14:paraId="00F60453" w14:textId="77777777" w:rsidR="002E0B05" w:rsidRDefault="002E0B05" w:rsidP="009500AB">
      <w:pPr>
        <w:jc w:val="both"/>
        <w:rPr>
          <w:b/>
          <w:bCs/>
        </w:rPr>
      </w:pPr>
    </w:p>
    <w:p w14:paraId="491FDB6F" w14:textId="3DB8573F" w:rsidR="00F72EFF" w:rsidRPr="00A11C60" w:rsidRDefault="00F72EFF" w:rsidP="00AB6FBC">
      <w:pPr>
        <w:pStyle w:val="ListParagraph"/>
        <w:numPr>
          <w:ilvl w:val="0"/>
          <w:numId w:val="17"/>
        </w:numPr>
        <w:jc w:val="both"/>
        <w:outlineLvl w:val="0"/>
        <w:rPr>
          <w:b/>
          <w:bCs/>
        </w:rPr>
      </w:pPr>
      <w:bookmarkStart w:id="0" w:name="_Toc166265719"/>
      <w:bookmarkStart w:id="1" w:name="_Toc166266127"/>
      <w:bookmarkStart w:id="2" w:name="_Toc166266341"/>
      <w:bookmarkEnd w:id="0"/>
      <w:bookmarkEnd w:id="1"/>
      <w:bookmarkEnd w:id="2"/>
    </w:p>
    <w:p w14:paraId="1D83F313" w14:textId="7220BD36" w:rsidR="00AC4FC2" w:rsidRPr="009717D8" w:rsidRDefault="00AC4FC2" w:rsidP="00231B83">
      <w:pPr>
        <w:pStyle w:val="ListParagraph"/>
        <w:numPr>
          <w:ilvl w:val="0"/>
          <w:numId w:val="1"/>
        </w:numPr>
        <w:jc w:val="both"/>
        <w:outlineLvl w:val="0"/>
        <w:rPr>
          <w:rFonts w:ascii="Arial" w:hAnsi="Arial" w:cs="Arial"/>
          <w:b/>
          <w:bCs/>
          <w:sz w:val="24"/>
          <w:szCs w:val="24"/>
        </w:rPr>
      </w:pPr>
      <w:bookmarkStart w:id="3" w:name="_Toc166265720"/>
      <w:bookmarkStart w:id="4" w:name="_Toc166266128"/>
      <w:bookmarkStart w:id="5" w:name="_Toc166266342"/>
      <w:r w:rsidRPr="009717D8">
        <w:rPr>
          <w:rFonts w:ascii="Arial" w:hAnsi="Arial" w:cs="Arial"/>
          <w:b/>
          <w:bCs/>
          <w:sz w:val="24"/>
          <w:szCs w:val="24"/>
        </w:rPr>
        <w:t>EXECUTIVE SUMMARY</w:t>
      </w:r>
      <w:bookmarkEnd w:id="3"/>
      <w:bookmarkEnd w:id="4"/>
      <w:bookmarkEnd w:id="5"/>
    </w:p>
    <w:p w14:paraId="4453DB7B" w14:textId="2E26BAA1" w:rsidR="00AC6E0E" w:rsidRPr="00F671BF" w:rsidRDefault="00AC4FC2" w:rsidP="009500AB">
      <w:pPr>
        <w:spacing w:line="360" w:lineRule="auto"/>
        <w:jc w:val="both"/>
        <w:rPr>
          <w:rFonts w:ascii="Arial" w:hAnsi="Arial" w:cs="Arial"/>
          <w:sz w:val="24"/>
          <w:szCs w:val="24"/>
        </w:rPr>
      </w:pPr>
      <w:r w:rsidRPr="00AC4FC2">
        <w:rPr>
          <w:rFonts w:ascii="Arial" w:hAnsi="Arial" w:cs="Arial"/>
          <w:sz w:val="24"/>
          <w:szCs w:val="24"/>
        </w:rPr>
        <w:t xml:space="preserve">Flybe Group Limited was a </w:t>
      </w:r>
      <w:r w:rsidRPr="00F671BF">
        <w:rPr>
          <w:rFonts w:ascii="Arial" w:hAnsi="Arial" w:cs="Arial"/>
          <w:sz w:val="24"/>
          <w:szCs w:val="24"/>
        </w:rPr>
        <w:t>small British airline</w:t>
      </w:r>
      <w:r w:rsidRPr="00AC4FC2">
        <w:rPr>
          <w:rFonts w:ascii="Arial" w:hAnsi="Arial" w:cs="Arial"/>
          <w:sz w:val="24"/>
          <w:szCs w:val="24"/>
        </w:rPr>
        <w:t xml:space="preserve"> from 1978 to 2021. The firm changed its name multiple times, from Jersey European Airways to British European in 2000 and finally to Flybe in 2002. Flybe Group Limited was publicly listed on the London Stock Exchange until its dissolution on December 28, 2021.</w:t>
      </w:r>
      <w:r w:rsidR="00AC6E0E" w:rsidRPr="00F671BF">
        <w:rPr>
          <w:rFonts w:ascii="Times New Roman" w:eastAsia="Times New Roman" w:hAnsi="Times New Roman" w:cs="Times New Roman"/>
          <w:kern w:val="0"/>
          <w:sz w:val="24"/>
          <w:szCs w:val="24"/>
          <w:lang w:eastAsia="en-IN"/>
          <w14:ligatures w14:val="none"/>
        </w:rPr>
        <w:t xml:space="preserve"> </w:t>
      </w:r>
      <w:r w:rsidR="00AC6E0E" w:rsidRPr="00F671BF">
        <w:rPr>
          <w:rFonts w:ascii="Arial" w:hAnsi="Arial" w:cs="Arial"/>
          <w:sz w:val="24"/>
          <w:szCs w:val="24"/>
        </w:rPr>
        <w:t>(GOV.UK, 2021)</w:t>
      </w:r>
    </w:p>
    <w:p w14:paraId="07755CE0" w14:textId="6D10BC6B" w:rsidR="00AC4FC2" w:rsidRPr="00F671BF" w:rsidRDefault="00AC4FC2" w:rsidP="009500AB">
      <w:pPr>
        <w:spacing w:line="360" w:lineRule="auto"/>
        <w:jc w:val="both"/>
        <w:rPr>
          <w:rFonts w:ascii="Arial" w:hAnsi="Arial" w:cs="Arial"/>
          <w:sz w:val="24"/>
          <w:szCs w:val="24"/>
        </w:rPr>
      </w:pPr>
      <w:r w:rsidRPr="00AC4FC2">
        <w:rPr>
          <w:rFonts w:ascii="Arial" w:hAnsi="Arial" w:cs="Arial"/>
          <w:sz w:val="24"/>
          <w:szCs w:val="24"/>
        </w:rPr>
        <w:br/>
        <w:t xml:space="preserve">The company's major business was to provide scheduled air passenger transportation services throughout Europe, with hubs at Birmingham, Belfast City, Manchester, and Southampton </w:t>
      </w:r>
      <w:r w:rsidRPr="00F671BF">
        <w:rPr>
          <w:rFonts w:ascii="Arial" w:hAnsi="Arial" w:cs="Arial"/>
          <w:sz w:val="24"/>
          <w:szCs w:val="24"/>
        </w:rPr>
        <w:t>Airport</w:t>
      </w:r>
      <w:r w:rsidRPr="00AC4FC2">
        <w:rPr>
          <w:rFonts w:ascii="Arial" w:hAnsi="Arial" w:cs="Arial"/>
          <w:sz w:val="24"/>
          <w:szCs w:val="24"/>
        </w:rPr>
        <w:t>.</w:t>
      </w:r>
      <w:r w:rsidR="00E20FCD">
        <w:rPr>
          <w:rFonts w:ascii="Arial" w:hAnsi="Arial" w:cs="Arial"/>
          <w:sz w:val="24"/>
          <w:szCs w:val="24"/>
        </w:rPr>
        <w:t xml:space="preserve"> </w:t>
      </w:r>
      <w:r w:rsidRPr="00AC4FC2">
        <w:rPr>
          <w:rFonts w:ascii="Arial" w:hAnsi="Arial" w:cs="Arial"/>
          <w:sz w:val="24"/>
          <w:szCs w:val="24"/>
        </w:rPr>
        <w:t>Flybe Group Limited prioritised customer happiness, operational efficiency, and strategic expansion, launching initiatives such as online check-in and onboard shopping.</w:t>
      </w:r>
      <w:r w:rsidR="00901D7C" w:rsidRPr="00F671BF">
        <w:rPr>
          <w:rFonts w:ascii="Arial" w:hAnsi="Arial" w:cs="Arial"/>
          <w:sz w:val="24"/>
          <w:szCs w:val="24"/>
        </w:rPr>
        <w:t xml:space="preserve"> Flybe Annual Report (2017-18)</w:t>
      </w:r>
      <w:r w:rsidRPr="00AC4FC2">
        <w:rPr>
          <w:rFonts w:ascii="Arial" w:hAnsi="Arial" w:cs="Arial"/>
          <w:sz w:val="24"/>
          <w:szCs w:val="24"/>
        </w:rPr>
        <w:br/>
      </w:r>
    </w:p>
    <w:p w14:paraId="425D6B39" w14:textId="77777777" w:rsidR="00F07A5E" w:rsidRDefault="00AC4FC2" w:rsidP="009500AB">
      <w:pPr>
        <w:spacing w:line="360" w:lineRule="auto"/>
        <w:jc w:val="both"/>
        <w:rPr>
          <w:rFonts w:ascii="Arial" w:hAnsi="Arial" w:cs="Arial"/>
          <w:sz w:val="24"/>
          <w:szCs w:val="24"/>
        </w:rPr>
      </w:pPr>
      <w:r w:rsidRPr="00AC4FC2">
        <w:rPr>
          <w:rFonts w:ascii="Arial" w:hAnsi="Arial" w:cs="Arial"/>
          <w:sz w:val="24"/>
          <w:szCs w:val="24"/>
        </w:rPr>
        <w:t xml:space="preserve">The company's financial performance was varied, with losses in some years and revenue increases in others. In 2018, Flybe Group Limited reported a £20.5 million loss before tax, although revenue climbed by 6.4% to £752.6 million. </w:t>
      </w:r>
    </w:p>
    <w:p w14:paraId="0751D33E" w14:textId="11E2BC45" w:rsidR="00AC4FC2" w:rsidRPr="00AC4FC2" w:rsidRDefault="00AC4FC2" w:rsidP="009500AB">
      <w:pPr>
        <w:spacing w:line="360" w:lineRule="auto"/>
        <w:jc w:val="both"/>
        <w:rPr>
          <w:rFonts w:ascii="Arial" w:hAnsi="Arial" w:cs="Arial"/>
          <w:sz w:val="24"/>
          <w:szCs w:val="24"/>
        </w:rPr>
      </w:pPr>
      <w:r w:rsidRPr="00AC4FC2">
        <w:rPr>
          <w:rFonts w:ascii="Arial" w:hAnsi="Arial" w:cs="Arial"/>
          <w:sz w:val="24"/>
          <w:szCs w:val="24"/>
        </w:rPr>
        <w:br/>
        <w:t>However, the corporation experienced considerable issues in recent years, including competition from low-cost carriers and the impact of the COVID-19 epidemic, which resulted in its final demise.</w:t>
      </w:r>
      <w:r w:rsidR="00B06D1F" w:rsidRPr="00B06D1F">
        <w:t xml:space="preserve"> </w:t>
      </w:r>
      <w:r w:rsidR="00B06D1F" w:rsidRPr="00B06D1F">
        <w:rPr>
          <w:rFonts w:ascii="Arial" w:hAnsi="Arial" w:cs="Arial"/>
          <w:sz w:val="24"/>
          <w:szCs w:val="24"/>
        </w:rPr>
        <w:t>Flybe Limited (in Administration)</w:t>
      </w:r>
    </w:p>
    <w:p w14:paraId="0E28568B" w14:textId="4C2A225E" w:rsidR="00AC4FC2" w:rsidRPr="00AC4FC2" w:rsidRDefault="00AC4FC2" w:rsidP="009500AB">
      <w:pPr>
        <w:jc w:val="both"/>
        <w:rPr>
          <w:rFonts w:ascii="Arial" w:hAnsi="Arial" w:cs="Arial"/>
          <w:sz w:val="24"/>
          <w:szCs w:val="24"/>
        </w:rPr>
      </w:pPr>
      <w:r w:rsidRPr="00AC4FC2">
        <w:rPr>
          <w:rFonts w:ascii="Arial" w:hAnsi="Arial" w:cs="Arial"/>
          <w:sz w:val="24"/>
          <w:szCs w:val="24"/>
        </w:rPr>
        <w:br/>
      </w:r>
    </w:p>
    <w:p w14:paraId="16155B0D" w14:textId="77777777" w:rsidR="00AC4FC2" w:rsidRPr="00F671BF" w:rsidRDefault="00AC4FC2" w:rsidP="009500AB">
      <w:pPr>
        <w:jc w:val="both"/>
      </w:pPr>
    </w:p>
    <w:p w14:paraId="17411823" w14:textId="77777777" w:rsidR="00AC4FC2" w:rsidRPr="00F671BF" w:rsidRDefault="00AC4FC2" w:rsidP="009500AB">
      <w:pPr>
        <w:jc w:val="both"/>
      </w:pPr>
    </w:p>
    <w:p w14:paraId="4FD95B77" w14:textId="77777777" w:rsidR="00E40AB8" w:rsidRPr="00F671BF" w:rsidRDefault="00E40AB8" w:rsidP="009500AB">
      <w:pPr>
        <w:jc w:val="both"/>
      </w:pPr>
    </w:p>
    <w:p w14:paraId="124007A1" w14:textId="77777777" w:rsidR="00E40AB8" w:rsidRPr="00F671BF" w:rsidRDefault="00E40AB8" w:rsidP="009500AB">
      <w:pPr>
        <w:jc w:val="both"/>
      </w:pPr>
    </w:p>
    <w:p w14:paraId="40694602" w14:textId="77777777" w:rsidR="00E40AB8" w:rsidRDefault="00E40AB8" w:rsidP="009500AB">
      <w:pPr>
        <w:jc w:val="both"/>
      </w:pPr>
    </w:p>
    <w:p w14:paraId="259F823D" w14:textId="77777777" w:rsidR="00517412" w:rsidRDefault="00517412" w:rsidP="009500AB">
      <w:pPr>
        <w:jc w:val="both"/>
      </w:pPr>
    </w:p>
    <w:p w14:paraId="615EAAFB" w14:textId="77777777" w:rsidR="008506E2" w:rsidRPr="00F671BF" w:rsidRDefault="008506E2" w:rsidP="009500AB">
      <w:pPr>
        <w:jc w:val="both"/>
      </w:pPr>
    </w:p>
    <w:p w14:paraId="66B85DCC" w14:textId="77777777" w:rsidR="00E40AB8" w:rsidRPr="00F671BF" w:rsidRDefault="00E40AB8" w:rsidP="009500AB">
      <w:pPr>
        <w:jc w:val="both"/>
      </w:pPr>
    </w:p>
    <w:p w14:paraId="47E8B4AC" w14:textId="7D5515AF" w:rsidR="00E40AB8" w:rsidRPr="00417F43" w:rsidRDefault="000E0C68" w:rsidP="00231B83">
      <w:pPr>
        <w:pStyle w:val="ListParagraph"/>
        <w:numPr>
          <w:ilvl w:val="0"/>
          <w:numId w:val="1"/>
        </w:numPr>
        <w:jc w:val="both"/>
        <w:outlineLvl w:val="0"/>
        <w:rPr>
          <w:rFonts w:ascii="Arial" w:hAnsi="Arial" w:cs="Arial"/>
          <w:b/>
          <w:bCs/>
          <w:sz w:val="24"/>
          <w:szCs w:val="24"/>
        </w:rPr>
      </w:pPr>
      <w:bookmarkStart w:id="6" w:name="_Toc166265721"/>
      <w:bookmarkStart w:id="7" w:name="_Toc166266129"/>
      <w:bookmarkStart w:id="8" w:name="_Toc166266343"/>
      <w:r w:rsidRPr="00417F43">
        <w:rPr>
          <w:rFonts w:ascii="Arial" w:hAnsi="Arial" w:cs="Arial"/>
          <w:b/>
          <w:bCs/>
          <w:sz w:val="24"/>
          <w:szCs w:val="24"/>
        </w:rPr>
        <w:t>INTRODUCTION</w:t>
      </w:r>
      <w:bookmarkEnd w:id="6"/>
      <w:bookmarkEnd w:id="7"/>
      <w:bookmarkEnd w:id="8"/>
    </w:p>
    <w:p w14:paraId="7CBC021F" w14:textId="77777777" w:rsidR="000E0C68" w:rsidRDefault="000E0C68" w:rsidP="009500AB">
      <w:pPr>
        <w:jc w:val="both"/>
      </w:pPr>
    </w:p>
    <w:p w14:paraId="23BDCF47" w14:textId="49C56F38" w:rsidR="001F1799" w:rsidRPr="001F1799" w:rsidRDefault="00666387" w:rsidP="009500AB">
      <w:pPr>
        <w:spacing w:line="360" w:lineRule="auto"/>
        <w:jc w:val="both"/>
        <w:rPr>
          <w:rFonts w:ascii="Arial" w:hAnsi="Arial" w:cs="Arial"/>
          <w:sz w:val="24"/>
          <w:szCs w:val="24"/>
          <w:lang w:val="en-IN"/>
        </w:rPr>
      </w:pPr>
      <w:r w:rsidRPr="00666387">
        <w:rPr>
          <w:rFonts w:ascii="Arial" w:hAnsi="Arial" w:cs="Arial"/>
          <w:sz w:val="24"/>
          <w:szCs w:val="24"/>
          <w:lang w:val="en-IN"/>
        </w:rPr>
        <w:t xml:space="preserve">In this portfolio, I exhibit my analytical skills by looking at the key causes of the demise of Flybe Group Ltd, a British minor airline that discontinued operations in 2020. </w:t>
      </w:r>
      <w:r w:rsidR="008A1396" w:rsidRPr="008A1396">
        <w:rPr>
          <w:rFonts w:ascii="Arial" w:hAnsi="Arial" w:cs="Arial"/>
          <w:sz w:val="24"/>
          <w:szCs w:val="24"/>
          <w:lang w:val="en-IN"/>
        </w:rPr>
        <w:t>(Macheras, 2018)</w:t>
      </w:r>
      <w:r w:rsidR="00B1596F">
        <w:rPr>
          <w:rFonts w:ascii="Arial" w:hAnsi="Arial" w:cs="Arial"/>
          <w:sz w:val="24"/>
          <w:szCs w:val="24"/>
          <w:lang w:val="en-IN"/>
        </w:rPr>
        <w:t xml:space="preserve">. </w:t>
      </w:r>
      <w:r w:rsidRPr="00666387">
        <w:rPr>
          <w:rFonts w:ascii="Arial" w:hAnsi="Arial" w:cs="Arial"/>
          <w:sz w:val="24"/>
          <w:szCs w:val="24"/>
          <w:lang w:val="en-IN"/>
        </w:rPr>
        <w:t xml:space="preserve">This review aims to discover the various reasons that contributed to the airline's financial difficulties and ultimate insolvency, </w:t>
      </w:r>
      <w:r w:rsidR="001F1799" w:rsidRPr="001F1799">
        <w:rPr>
          <w:rFonts w:ascii="Arial" w:hAnsi="Arial" w:cs="Arial"/>
          <w:sz w:val="24"/>
          <w:szCs w:val="24"/>
          <w:lang w:val="en-IN"/>
        </w:rPr>
        <w:t>(Marco Rodolfo Marabese, 2012)</w:t>
      </w:r>
    </w:p>
    <w:p w14:paraId="5A61DCC0" w14:textId="50FCC233" w:rsidR="00654C51" w:rsidRPr="00654C51" w:rsidRDefault="00654C51" w:rsidP="009500AB">
      <w:pPr>
        <w:spacing w:line="360" w:lineRule="auto"/>
        <w:jc w:val="both"/>
        <w:rPr>
          <w:rFonts w:ascii="Arial" w:hAnsi="Arial" w:cs="Arial"/>
          <w:sz w:val="24"/>
          <w:szCs w:val="24"/>
          <w:lang w:val="en-IN"/>
        </w:rPr>
      </w:pPr>
      <w:r w:rsidRPr="00654C51">
        <w:rPr>
          <w:rFonts w:ascii="Arial" w:hAnsi="Arial" w:cs="Arial"/>
          <w:sz w:val="24"/>
          <w:szCs w:val="24"/>
          <w:lang w:val="en-IN"/>
        </w:rPr>
        <w:t>This research examines Flybe's performance before its downfall, utilizing financial reports and operational data. In-depth research is conducted using Microsoft Excel</w:t>
      </w:r>
      <w:r w:rsidR="0090213D">
        <w:rPr>
          <w:rFonts w:ascii="Arial" w:hAnsi="Arial" w:cs="Arial"/>
          <w:sz w:val="24"/>
          <w:szCs w:val="24"/>
          <w:lang w:val="en-IN"/>
        </w:rPr>
        <w:t>,</w:t>
      </w:r>
      <w:r w:rsidRPr="00654C51">
        <w:rPr>
          <w:rFonts w:ascii="Arial" w:hAnsi="Arial" w:cs="Arial"/>
          <w:sz w:val="24"/>
          <w:szCs w:val="24"/>
          <w:lang w:val="en-IN"/>
        </w:rPr>
        <w:t xml:space="preserve"> Tableau</w:t>
      </w:r>
      <w:r w:rsidR="0090213D">
        <w:rPr>
          <w:rFonts w:ascii="Arial" w:hAnsi="Arial" w:cs="Arial"/>
          <w:sz w:val="24"/>
          <w:szCs w:val="24"/>
          <w:lang w:val="en-IN"/>
        </w:rPr>
        <w:t xml:space="preserve"> and Python</w:t>
      </w:r>
      <w:r w:rsidRPr="00654C51">
        <w:rPr>
          <w:rFonts w:ascii="Arial" w:hAnsi="Arial" w:cs="Arial"/>
          <w:sz w:val="24"/>
          <w:szCs w:val="24"/>
          <w:lang w:val="en-IN"/>
        </w:rPr>
        <w:t xml:space="preserve"> which allow for thorough statistical analysis and dynamic trend display. This method provides a complete knowledge of the factors that contributed to Flybe's downfall and highlights key conclusions that may be applied to other firms facing similar challenges. The study's goal is to give insights into the fundamental difficulties that impacted Flybe, as well as takeaways for other businesses facing similar challenges.</w:t>
      </w:r>
    </w:p>
    <w:p w14:paraId="4778E68B" w14:textId="77777777" w:rsidR="00592498" w:rsidRPr="00926FBC" w:rsidRDefault="00592498" w:rsidP="009500AB">
      <w:pPr>
        <w:spacing w:line="360" w:lineRule="auto"/>
        <w:jc w:val="both"/>
        <w:rPr>
          <w:rFonts w:ascii="Arial" w:hAnsi="Arial" w:cs="Arial"/>
          <w:sz w:val="24"/>
          <w:szCs w:val="24"/>
          <w:lang w:val="en-IN"/>
        </w:rPr>
      </w:pPr>
    </w:p>
    <w:p w14:paraId="7A5C496F" w14:textId="77777777" w:rsidR="000E0C68" w:rsidRDefault="000E0C68" w:rsidP="009500AB">
      <w:pPr>
        <w:jc w:val="both"/>
      </w:pPr>
    </w:p>
    <w:p w14:paraId="0693147C" w14:textId="77777777" w:rsidR="000E0C68" w:rsidRDefault="000E0C68" w:rsidP="009500AB">
      <w:pPr>
        <w:jc w:val="both"/>
      </w:pPr>
    </w:p>
    <w:p w14:paraId="472A4E4E" w14:textId="77777777" w:rsidR="000E0C68" w:rsidRDefault="000E0C68" w:rsidP="009500AB">
      <w:pPr>
        <w:jc w:val="both"/>
      </w:pPr>
    </w:p>
    <w:p w14:paraId="673839A5" w14:textId="77777777" w:rsidR="000E0C68" w:rsidRDefault="000E0C68" w:rsidP="009500AB">
      <w:pPr>
        <w:jc w:val="both"/>
      </w:pPr>
    </w:p>
    <w:p w14:paraId="222FF78F" w14:textId="77777777" w:rsidR="000E0C68" w:rsidRDefault="000E0C68" w:rsidP="009500AB">
      <w:pPr>
        <w:jc w:val="both"/>
      </w:pPr>
    </w:p>
    <w:p w14:paraId="15C2A15A" w14:textId="77777777" w:rsidR="000E0C68" w:rsidRDefault="000E0C68" w:rsidP="009500AB">
      <w:pPr>
        <w:jc w:val="both"/>
      </w:pPr>
    </w:p>
    <w:p w14:paraId="3F669FFF" w14:textId="77777777" w:rsidR="000E0C68" w:rsidRDefault="000E0C68" w:rsidP="009500AB">
      <w:pPr>
        <w:jc w:val="both"/>
      </w:pPr>
    </w:p>
    <w:p w14:paraId="3EA1BD26" w14:textId="77777777" w:rsidR="000E0C68" w:rsidRDefault="000E0C68" w:rsidP="009500AB">
      <w:pPr>
        <w:jc w:val="both"/>
      </w:pPr>
    </w:p>
    <w:p w14:paraId="6C07786E" w14:textId="77777777" w:rsidR="00BD05CA" w:rsidRDefault="00BD05CA" w:rsidP="009500AB">
      <w:pPr>
        <w:jc w:val="both"/>
      </w:pPr>
    </w:p>
    <w:p w14:paraId="090759D3" w14:textId="77777777" w:rsidR="00BD05CA" w:rsidRDefault="00BD05CA" w:rsidP="00E12A7D">
      <w:pPr>
        <w:ind w:firstLine="720"/>
        <w:jc w:val="both"/>
      </w:pPr>
    </w:p>
    <w:p w14:paraId="76EBA483" w14:textId="77777777" w:rsidR="00BD05CA" w:rsidRDefault="00BD05CA" w:rsidP="009500AB">
      <w:pPr>
        <w:jc w:val="both"/>
      </w:pPr>
    </w:p>
    <w:p w14:paraId="49BFB2FA" w14:textId="7C1B7685" w:rsidR="000E0C68" w:rsidRPr="00B72445" w:rsidRDefault="00FC496F" w:rsidP="00231B83">
      <w:pPr>
        <w:pStyle w:val="ListParagraph"/>
        <w:numPr>
          <w:ilvl w:val="0"/>
          <w:numId w:val="1"/>
        </w:numPr>
        <w:jc w:val="both"/>
        <w:outlineLvl w:val="0"/>
        <w:rPr>
          <w:rFonts w:ascii="Arial" w:hAnsi="Arial" w:cs="Arial"/>
          <w:b/>
          <w:bCs/>
          <w:sz w:val="24"/>
          <w:szCs w:val="24"/>
        </w:rPr>
      </w:pPr>
      <w:bookmarkStart w:id="9" w:name="_Toc166265722"/>
      <w:bookmarkStart w:id="10" w:name="_Toc166266130"/>
      <w:bookmarkStart w:id="11" w:name="_Toc166266344"/>
      <w:r w:rsidRPr="00B72445">
        <w:rPr>
          <w:rFonts w:ascii="Arial" w:hAnsi="Arial" w:cs="Arial"/>
          <w:b/>
          <w:bCs/>
          <w:sz w:val="24"/>
          <w:szCs w:val="24"/>
        </w:rPr>
        <w:lastRenderedPageBreak/>
        <w:t>DATA SOURCE</w:t>
      </w:r>
      <w:bookmarkEnd w:id="9"/>
      <w:bookmarkEnd w:id="10"/>
      <w:bookmarkEnd w:id="11"/>
    </w:p>
    <w:p w14:paraId="2EF8058D" w14:textId="77777777" w:rsidR="000E0C68" w:rsidRDefault="000E0C68" w:rsidP="009500AB">
      <w:pPr>
        <w:jc w:val="both"/>
      </w:pPr>
    </w:p>
    <w:p w14:paraId="501CB5F0" w14:textId="2E92D995" w:rsidR="00FC496F" w:rsidRPr="0025165D" w:rsidRDefault="00533A37" w:rsidP="009500AB">
      <w:pPr>
        <w:spacing w:line="360" w:lineRule="auto"/>
        <w:jc w:val="both"/>
        <w:rPr>
          <w:rFonts w:ascii="Arial" w:hAnsi="Arial" w:cs="Arial"/>
          <w:sz w:val="24"/>
          <w:szCs w:val="24"/>
          <w:lang w:val="en-IN"/>
        </w:rPr>
      </w:pPr>
      <w:r w:rsidRPr="00533A37">
        <w:rPr>
          <w:rFonts w:ascii="Arial" w:hAnsi="Arial" w:cs="Arial"/>
          <w:sz w:val="24"/>
          <w:szCs w:val="24"/>
        </w:rPr>
        <w:t>The analysis of Flybe Group Ltd's financial decline used financial data, including profit and loss statements, balance sheets, and key ratios. Fame, a reputable database, provided the necessary depth to evaluate the company's economic performance and identify factors contributing to its financial difficulties.</w:t>
      </w:r>
      <w:r w:rsidR="0025165D" w:rsidRPr="0025165D">
        <w:rPr>
          <w:rFonts w:ascii="Times New Roman" w:eastAsia="Times New Roman" w:hAnsi="Times New Roman" w:cs="Times New Roman"/>
          <w:kern w:val="0"/>
          <w:sz w:val="24"/>
          <w:szCs w:val="24"/>
          <w:lang w:val="en-IN" w:eastAsia="en-IN"/>
          <w14:ligatures w14:val="none"/>
        </w:rPr>
        <w:t xml:space="preserve"> </w:t>
      </w:r>
      <w:r w:rsidR="0025165D" w:rsidRPr="0025165D">
        <w:rPr>
          <w:rFonts w:ascii="Arial" w:hAnsi="Arial" w:cs="Arial"/>
          <w:sz w:val="24"/>
          <w:szCs w:val="24"/>
          <w:lang w:val="en-IN"/>
        </w:rPr>
        <w:t>(FAME, 2018</w:t>
      </w:r>
      <w:r w:rsidR="0025165D">
        <w:rPr>
          <w:rFonts w:ascii="Arial" w:hAnsi="Arial" w:cs="Arial"/>
          <w:sz w:val="24"/>
          <w:szCs w:val="24"/>
          <w:lang w:val="en-IN"/>
        </w:rPr>
        <w:t>).</w:t>
      </w:r>
      <w:r w:rsidRPr="00533A37">
        <w:rPr>
          <w:rFonts w:ascii="Arial" w:hAnsi="Arial" w:cs="Arial"/>
          <w:sz w:val="24"/>
          <w:szCs w:val="24"/>
        </w:rPr>
        <w:t xml:space="preserve"> The data was sourced from Fame, a platform that offers detailed company reports, allowing for a detailed longitudinal analysis of the company's financial health. This comprehensive data was instrumental in understanding Flybe Group Ltd's financial health over an extended period.</w:t>
      </w:r>
    </w:p>
    <w:p w14:paraId="76B7FD3D" w14:textId="412A73A0" w:rsidR="00140670" w:rsidRPr="00140670" w:rsidRDefault="00140670" w:rsidP="009500AB">
      <w:pPr>
        <w:spacing w:line="360" w:lineRule="auto"/>
        <w:jc w:val="both"/>
        <w:rPr>
          <w:rFonts w:ascii="Arial" w:hAnsi="Arial" w:cs="Arial"/>
          <w:sz w:val="24"/>
          <w:szCs w:val="24"/>
          <w:lang w:val="en-IN"/>
        </w:rPr>
      </w:pPr>
      <w:r w:rsidRPr="00140670">
        <w:rPr>
          <w:rFonts w:ascii="Arial" w:hAnsi="Arial" w:cs="Arial"/>
          <w:sz w:val="24"/>
          <w:szCs w:val="24"/>
          <w:lang w:val="en-IN"/>
        </w:rPr>
        <w:t>Accessing the data through Fame required searching the database for Flybe Group Ltd's financial records from 1999 to 2018. The Fame interface enabled a targeted search, allowing for the extraction of certain datasets relevant to this investigation, such as annual reports and financial statements required for developing a complete financial narrative of the organization.</w:t>
      </w:r>
      <w:r w:rsidR="001906DD" w:rsidRPr="001906DD">
        <w:rPr>
          <w:rFonts w:ascii="Times New Roman" w:eastAsia="Times New Roman" w:hAnsi="Times New Roman" w:cs="Times New Roman"/>
          <w:kern w:val="0"/>
          <w:sz w:val="24"/>
          <w:szCs w:val="24"/>
          <w:lang w:val="en-IN" w:eastAsia="en-IN"/>
          <w14:ligatures w14:val="none"/>
        </w:rPr>
        <w:t xml:space="preserve"> </w:t>
      </w:r>
      <w:r w:rsidR="001906DD" w:rsidRPr="001906DD">
        <w:rPr>
          <w:rFonts w:ascii="Arial" w:hAnsi="Arial" w:cs="Arial"/>
          <w:sz w:val="24"/>
          <w:szCs w:val="24"/>
          <w:lang w:val="en-IN"/>
        </w:rPr>
        <w:t>(Investing.com UK, 2021)</w:t>
      </w:r>
    </w:p>
    <w:p w14:paraId="78B9DF46" w14:textId="4BF62C4E" w:rsidR="002C627A" w:rsidRPr="00447EFD" w:rsidRDefault="002C627A" w:rsidP="009500AB">
      <w:pPr>
        <w:spacing w:line="360" w:lineRule="auto"/>
        <w:jc w:val="both"/>
        <w:rPr>
          <w:rFonts w:ascii="Arial" w:hAnsi="Arial" w:cs="Arial"/>
          <w:sz w:val="24"/>
          <w:szCs w:val="24"/>
          <w:lang w:val="en-IN"/>
        </w:rPr>
      </w:pPr>
      <w:r w:rsidRPr="002C627A">
        <w:rPr>
          <w:rFonts w:ascii="Arial" w:hAnsi="Arial" w:cs="Arial"/>
          <w:sz w:val="24"/>
          <w:szCs w:val="24"/>
          <w:lang w:val="en-IN"/>
        </w:rPr>
        <w:t xml:space="preserve">Several data quality concerns were discovered throughout the analytical process: </w:t>
      </w:r>
      <w:r w:rsidR="00447EFD" w:rsidRPr="00447EFD">
        <w:rPr>
          <w:rFonts w:ascii="Arial" w:hAnsi="Arial" w:cs="Arial"/>
          <w:sz w:val="24"/>
          <w:szCs w:val="24"/>
          <w:lang w:val="en-IN"/>
        </w:rPr>
        <w:t>(Suer, 2021)</w:t>
      </w:r>
    </w:p>
    <w:p w14:paraId="344DB543" w14:textId="77777777" w:rsidR="002C627A" w:rsidRPr="002C627A" w:rsidRDefault="002C627A" w:rsidP="009500AB">
      <w:pPr>
        <w:pStyle w:val="ListParagraph"/>
        <w:numPr>
          <w:ilvl w:val="0"/>
          <w:numId w:val="3"/>
        </w:numPr>
        <w:spacing w:line="360" w:lineRule="auto"/>
        <w:jc w:val="both"/>
        <w:rPr>
          <w:lang w:val="en-IN"/>
        </w:rPr>
      </w:pPr>
      <w:r w:rsidRPr="002C627A">
        <w:rPr>
          <w:rFonts w:ascii="Arial" w:hAnsi="Arial" w:cs="Arial"/>
          <w:sz w:val="24"/>
          <w:szCs w:val="24"/>
          <w:lang w:val="en-IN"/>
        </w:rPr>
        <w:t>Missing Values: Some years had partial data inputs, particularly in the profit and loss statements and financial ratios. To solve this, missing values were identified, and the analysis was modified to concentrate on years with complete data to assure trend analysis accuracy.</w:t>
      </w:r>
    </w:p>
    <w:p w14:paraId="03D70855" w14:textId="77777777" w:rsidR="00B221FB" w:rsidRDefault="002C627A" w:rsidP="009500AB">
      <w:pPr>
        <w:pStyle w:val="ListParagraph"/>
        <w:numPr>
          <w:ilvl w:val="0"/>
          <w:numId w:val="3"/>
        </w:numPr>
        <w:spacing w:line="360" w:lineRule="auto"/>
        <w:jc w:val="both"/>
        <w:rPr>
          <w:lang w:val="en-IN"/>
        </w:rPr>
      </w:pPr>
      <w:r w:rsidRPr="002C627A">
        <w:rPr>
          <w:rFonts w:ascii="Arial" w:hAnsi="Arial" w:cs="Arial"/>
          <w:sz w:val="24"/>
          <w:szCs w:val="24"/>
          <w:lang w:val="en-IN"/>
        </w:rPr>
        <w:t>Non-standard elements: Initially, the financial ratios included non-numeric elements such as 'n.s.' (not specified), making numerical computations difficult. To ensure the integrity of the analytical procedures, they were cleaned by converting them to numeric format or eliminating them from certain computations</w:t>
      </w:r>
      <w:r w:rsidRPr="002C627A">
        <w:rPr>
          <w:lang w:val="en-IN"/>
        </w:rPr>
        <w:t xml:space="preserve">. </w:t>
      </w:r>
    </w:p>
    <w:p w14:paraId="3D51B200" w14:textId="77777777" w:rsidR="00B221FB" w:rsidRPr="00B221FB" w:rsidRDefault="00B221FB" w:rsidP="009500AB">
      <w:pPr>
        <w:pStyle w:val="ListParagraph"/>
        <w:numPr>
          <w:ilvl w:val="0"/>
          <w:numId w:val="3"/>
        </w:numPr>
        <w:spacing w:after="0" w:line="360" w:lineRule="auto"/>
        <w:jc w:val="both"/>
        <w:rPr>
          <w:rFonts w:ascii="Times New Roman" w:eastAsia="Times New Roman" w:hAnsi="Times New Roman" w:cs="Times New Roman"/>
          <w:kern w:val="0"/>
          <w:sz w:val="24"/>
          <w:szCs w:val="24"/>
          <w:lang w:val="en-IN" w:eastAsia="en-IN"/>
          <w14:ligatures w14:val="none"/>
        </w:rPr>
      </w:pPr>
      <w:r w:rsidRPr="00B221FB">
        <w:rPr>
          <w:rFonts w:ascii="Arial" w:eastAsia="Times New Roman" w:hAnsi="Arial" w:cs="Arial"/>
          <w:kern w:val="0"/>
          <w:sz w:val="24"/>
          <w:szCs w:val="24"/>
          <w:lang w:val="en-IN" w:eastAsia="en-IN"/>
          <w14:ligatures w14:val="none"/>
        </w:rPr>
        <w:t xml:space="preserve">Consistency in Format: The data needed to be standardized because the format differed across years, notably in how financial information were provided. To address this, all financial numbers </w:t>
      </w:r>
      <w:r w:rsidRPr="00B221FB">
        <w:rPr>
          <w:rFonts w:ascii="Arial" w:eastAsia="Times New Roman" w:hAnsi="Arial" w:cs="Arial"/>
          <w:kern w:val="0"/>
          <w:sz w:val="24"/>
          <w:szCs w:val="24"/>
          <w:lang w:val="en-IN" w:eastAsia="en-IN"/>
          <w14:ligatures w14:val="none"/>
        </w:rPr>
        <w:lastRenderedPageBreak/>
        <w:t xml:space="preserve">were translated to a common unit (USD) for a proper comparison study. </w:t>
      </w:r>
    </w:p>
    <w:p w14:paraId="7AE9BAD2" w14:textId="022670D0" w:rsidR="00B221FB" w:rsidRDefault="00B221FB" w:rsidP="009500AB">
      <w:pPr>
        <w:spacing w:after="0" w:line="360" w:lineRule="auto"/>
        <w:jc w:val="both"/>
        <w:rPr>
          <w:rFonts w:ascii="Times New Roman" w:eastAsia="Times New Roman" w:hAnsi="Times New Roman" w:cs="Times New Roman"/>
          <w:kern w:val="0"/>
          <w:sz w:val="24"/>
          <w:szCs w:val="24"/>
          <w:lang w:val="en-IN" w:eastAsia="en-IN"/>
          <w14:ligatures w14:val="none"/>
        </w:rPr>
      </w:pPr>
      <w:r w:rsidRPr="00B221FB">
        <w:rPr>
          <w:rFonts w:ascii="Arial" w:eastAsia="Times New Roman" w:hAnsi="Arial" w:cs="Arial"/>
          <w:kern w:val="0"/>
          <w:sz w:val="24"/>
          <w:szCs w:val="24"/>
          <w:lang w:val="en-IN" w:eastAsia="en-IN"/>
          <w14:ligatures w14:val="none"/>
        </w:rPr>
        <w:t>By methodically correcting these data quality concerns, the analysis could proceed with a valid dataset, guaranteeing that the insights and conclusions obtained from the financial data were both accurate and representative of Flybe Group Ltd's genuine financial condition for the observed time. This meticulous approach to data management demonstrates the analysis's dependability in comprehending the financial processes that led to Flybe's final demise</w:t>
      </w:r>
      <w:r w:rsidRPr="00B221FB">
        <w:rPr>
          <w:rFonts w:ascii="Times New Roman" w:eastAsia="Times New Roman" w:hAnsi="Times New Roman" w:cs="Times New Roman"/>
          <w:kern w:val="0"/>
          <w:sz w:val="24"/>
          <w:szCs w:val="24"/>
          <w:lang w:val="en-IN" w:eastAsia="en-IN"/>
          <w14:ligatures w14:val="none"/>
        </w:rPr>
        <w:t>.</w:t>
      </w:r>
    </w:p>
    <w:p w14:paraId="74A7448D" w14:textId="77777777" w:rsidR="00B221FB" w:rsidRDefault="00B221FB" w:rsidP="009500AB">
      <w:pPr>
        <w:spacing w:after="0" w:line="360" w:lineRule="auto"/>
        <w:jc w:val="both"/>
        <w:rPr>
          <w:rFonts w:ascii="Times New Roman" w:eastAsia="Times New Roman" w:hAnsi="Times New Roman" w:cs="Times New Roman"/>
          <w:kern w:val="0"/>
          <w:sz w:val="24"/>
          <w:szCs w:val="24"/>
          <w:lang w:val="en-IN" w:eastAsia="en-IN"/>
          <w14:ligatures w14:val="none"/>
        </w:rPr>
      </w:pPr>
    </w:p>
    <w:p w14:paraId="2E97F8C4" w14:textId="77777777" w:rsidR="00E0525F" w:rsidRDefault="00E0525F" w:rsidP="009500AB">
      <w:pPr>
        <w:spacing w:after="0" w:line="360" w:lineRule="auto"/>
        <w:jc w:val="both"/>
        <w:rPr>
          <w:rFonts w:ascii="Times New Roman" w:eastAsia="Times New Roman" w:hAnsi="Times New Roman" w:cs="Times New Roman"/>
          <w:kern w:val="0"/>
          <w:sz w:val="24"/>
          <w:szCs w:val="24"/>
          <w:lang w:val="en-IN" w:eastAsia="en-IN"/>
          <w14:ligatures w14:val="none"/>
        </w:rPr>
      </w:pPr>
    </w:p>
    <w:p w14:paraId="3A2282F3" w14:textId="34265837" w:rsidR="00F070D9" w:rsidRPr="001C2AE4" w:rsidRDefault="00F070D9" w:rsidP="00744FCF">
      <w:pPr>
        <w:pStyle w:val="ListParagraph"/>
        <w:numPr>
          <w:ilvl w:val="0"/>
          <w:numId w:val="1"/>
        </w:numPr>
        <w:spacing w:after="0" w:line="360" w:lineRule="auto"/>
        <w:jc w:val="both"/>
        <w:outlineLvl w:val="0"/>
        <w:rPr>
          <w:rFonts w:ascii="Times New Roman" w:eastAsia="Times New Roman" w:hAnsi="Times New Roman" w:cs="Times New Roman"/>
          <w:b/>
          <w:bCs/>
          <w:kern w:val="0"/>
          <w:sz w:val="24"/>
          <w:szCs w:val="24"/>
          <w:lang w:val="en-IN" w:eastAsia="en-IN"/>
          <w14:ligatures w14:val="none"/>
        </w:rPr>
      </w:pPr>
      <w:bookmarkStart w:id="12" w:name="_Toc166265723"/>
      <w:bookmarkStart w:id="13" w:name="_Toc166266131"/>
      <w:bookmarkStart w:id="14" w:name="_Toc166266345"/>
      <w:r w:rsidRPr="001C2AE4">
        <w:rPr>
          <w:rFonts w:ascii="Arial" w:eastAsia="Times New Roman" w:hAnsi="Arial" w:cs="Arial"/>
          <w:b/>
          <w:bCs/>
          <w:kern w:val="0"/>
          <w:sz w:val="24"/>
          <w:szCs w:val="24"/>
          <w:lang w:val="en-IN" w:eastAsia="en-IN"/>
          <w14:ligatures w14:val="none"/>
        </w:rPr>
        <w:t>ANALYSIS:</w:t>
      </w:r>
      <w:bookmarkEnd w:id="12"/>
      <w:bookmarkEnd w:id="13"/>
      <w:bookmarkEnd w:id="14"/>
    </w:p>
    <w:p w14:paraId="3D01D5B6" w14:textId="77777777" w:rsidR="001C2AE4" w:rsidRPr="00217A0E" w:rsidRDefault="001C2AE4" w:rsidP="009500AB">
      <w:pPr>
        <w:pStyle w:val="ListParagraph"/>
        <w:spacing w:after="0" w:line="360" w:lineRule="auto"/>
        <w:jc w:val="both"/>
        <w:rPr>
          <w:rFonts w:ascii="Times New Roman" w:eastAsia="Times New Roman" w:hAnsi="Times New Roman" w:cs="Times New Roman"/>
          <w:kern w:val="0"/>
          <w:sz w:val="24"/>
          <w:szCs w:val="24"/>
          <w:lang w:val="en-IN" w:eastAsia="en-IN"/>
          <w14:ligatures w14:val="none"/>
        </w:rPr>
      </w:pPr>
    </w:p>
    <w:p w14:paraId="696F59D1" w14:textId="6EE23604" w:rsidR="008D173F" w:rsidRDefault="008D173F" w:rsidP="009500AB">
      <w:pPr>
        <w:pStyle w:val="ListParagraph"/>
        <w:spacing w:after="0" w:line="360" w:lineRule="auto"/>
        <w:jc w:val="both"/>
        <w:rPr>
          <w:rFonts w:ascii="Arial" w:eastAsia="Times New Roman" w:hAnsi="Arial" w:cs="Arial"/>
          <w:kern w:val="0"/>
          <w:sz w:val="24"/>
          <w:szCs w:val="24"/>
          <w:lang w:val="en-IN" w:eastAsia="en-IN"/>
          <w14:ligatures w14:val="none"/>
        </w:rPr>
      </w:pPr>
      <w:r w:rsidRPr="008D173F">
        <w:rPr>
          <w:rFonts w:ascii="Arial" w:eastAsia="Times New Roman" w:hAnsi="Arial" w:cs="Arial"/>
          <w:kern w:val="0"/>
          <w:sz w:val="24"/>
          <w:szCs w:val="24"/>
          <w:lang w:val="en-IN" w:eastAsia="en-IN"/>
          <w14:ligatures w14:val="none"/>
        </w:rPr>
        <w:t>To analyze Flybe Group Ltd's financial decline, a range of data analytic techniques and tools were used to thoroughly assess the company's financial health across several business functions such as marketing, sales, operations, and accounting. Here's an outline of the primary data analysis techniques and the rationale for choosing these tools:</w:t>
      </w:r>
    </w:p>
    <w:p w14:paraId="254C6FA8" w14:textId="77777777" w:rsidR="0098248B" w:rsidRDefault="0098248B" w:rsidP="009500AB">
      <w:pPr>
        <w:pStyle w:val="ListParagraph"/>
        <w:spacing w:after="0" w:line="360" w:lineRule="auto"/>
        <w:jc w:val="both"/>
        <w:rPr>
          <w:rFonts w:ascii="Arial" w:eastAsia="Times New Roman" w:hAnsi="Arial" w:cs="Arial"/>
          <w:kern w:val="0"/>
          <w:sz w:val="24"/>
          <w:szCs w:val="24"/>
          <w:lang w:val="en-IN" w:eastAsia="en-IN"/>
          <w14:ligatures w14:val="none"/>
        </w:rPr>
      </w:pPr>
    </w:p>
    <w:p w14:paraId="7C18738D" w14:textId="77777777" w:rsidR="00A111CF" w:rsidRPr="00A111CF" w:rsidRDefault="00CF71CB" w:rsidP="00744FCF">
      <w:pPr>
        <w:pStyle w:val="ListParagraph"/>
        <w:numPr>
          <w:ilvl w:val="1"/>
          <w:numId w:val="1"/>
        </w:numPr>
        <w:spacing w:after="0" w:line="360" w:lineRule="auto"/>
        <w:jc w:val="both"/>
        <w:outlineLvl w:val="1"/>
        <w:rPr>
          <w:rFonts w:ascii="Arial" w:eastAsia="Times New Roman" w:hAnsi="Arial" w:cs="Arial"/>
          <w:b/>
          <w:bCs/>
          <w:kern w:val="0"/>
          <w:sz w:val="24"/>
          <w:szCs w:val="24"/>
          <w:lang w:val="en-IN" w:eastAsia="en-IN"/>
          <w14:ligatures w14:val="none"/>
        </w:rPr>
      </w:pPr>
      <w:bookmarkStart w:id="15" w:name="_Toc166266346"/>
      <w:r w:rsidRPr="00A111CF">
        <w:rPr>
          <w:rFonts w:ascii="Arial" w:eastAsia="Times New Roman" w:hAnsi="Arial" w:cs="Arial"/>
          <w:b/>
          <w:bCs/>
          <w:kern w:val="0"/>
          <w:sz w:val="24"/>
          <w:szCs w:val="24"/>
          <w:lang w:val="en-IN" w:eastAsia="en-IN"/>
          <w14:ligatures w14:val="none"/>
        </w:rPr>
        <w:t>Data analysis techniques</w:t>
      </w:r>
      <w:bookmarkEnd w:id="15"/>
      <w:r w:rsidRPr="00A111CF">
        <w:rPr>
          <w:rFonts w:ascii="Arial" w:eastAsia="Times New Roman" w:hAnsi="Arial" w:cs="Arial"/>
          <w:b/>
          <w:bCs/>
          <w:kern w:val="0"/>
          <w:sz w:val="24"/>
          <w:szCs w:val="24"/>
          <w:lang w:val="en-IN" w:eastAsia="en-IN"/>
          <w14:ligatures w14:val="none"/>
        </w:rPr>
        <w:t xml:space="preserve"> </w:t>
      </w:r>
    </w:p>
    <w:p w14:paraId="10B50B9F" w14:textId="79BBEF56" w:rsidR="003E384E" w:rsidRPr="00D32877" w:rsidRDefault="003E384E" w:rsidP="00744FCF">
      <w:pPr>
        <w:pStyle w:val="ListParagraph"/>
        <w:numPr>
          <w:ilvl w:val="2"/>
          <w:numId w:val="1"/>
        </w:numPr>
        <w:spacing w:line="360" w:lineRule="auto"/>
        <w:jc w:val="both"/>
        <w:outlineLvl w:val="2"/>
        <w:rPr>
          <w:rFonts w:ascii="Arial" w:eastAsia="Times New Roman" w:hAnsi="Arial" w:cs="Arial"/>
          <w:kern w:val="0"/>
          <w:sz w:val="24"/>
          <w:szCs w:val="24"/>
          <w:lang w:val="en-IN" w:eastAsia="en-IN"/>
          <w14:ligatures w14:val="none"/>
        </w:rPr>
      </w:pPr>
      <w:bookmarkStart w:id="16" w:name="_Toc166266347"/>
      <w:r w:rsidRPr="003E384E">
        <w:rPr>
          <w:rFonts w:ascii="Arial" w:eastAsia="Times New Roman" w:hAnsi="Arial" w:cs="Arial"/>
          <w:kern w:val="0"/>
          <w:sz w:val="24"/>
          <w:szCs w:val="24"/>
          <w:lang w:val="en-IN" w:eastAsia="en-IN"/>
          <w14:ligatures w14:val="none"/>
        </w:rPr>
        <w:t>Descriptive analysis: The portfolio begins with an analysis of Flybe's history, primary business activities, and financial performance, which provides context for the company's future trajectory.</w:t>
      </w:r>
      <w:r w:rsidR="005D24AC" w:rsidRPr="005D24AC">
        <w:rPr>
          <w:rFonts w:ascii="Times New Roman" w:eastAsia="Times New Roman" w:hAnsi="Times New Roman" w:cs="Times New Roman"/>
          <w:kern w:val="0"/>
          <w:sz w:val="24"/>
          <w:szCs w:val="24"/>
          <w:lang w:val="en-IN" w:eastAsia="en-IN"/>
          <w14:ligatures w14:val="none"/>
        </w:rPr>
        <w:t xml:space="preserve"> </w:t>
      </w:r>
      <w:r w:rsidR="005D24AC" w:rsidRPr="005D24AC">
        <w:rPr>
          <w:rFonts w:ascii="Arial" w:eastAsia="Times New Roman" w:hAnsi="Arial" w:cs="Arial"/>
          <w:kern w:val="0"/>
          <w:sz w:val="24"/>
          <w:szCs w:val="24"/>
          <w:lang w:val="en-IN" w:eastAsia="en-IN"/>
          <w14:ligatures w14:val="none"/>
        </w:rPr>
        <w:t>(Jansen, 2023)</w:t>
      </w:r>
      <w:bookmarkEnd w:id="16"/>
    </w:p>
    <w:p w14:paraId="02D7D4BA" w14:textId="0F56A717" w:rsidR="00A111CF" w:rsidRPr="00D32877" w:rsidRDefault="00CF71CB" w:rsidP="00744FCF">
      <w:pPr>
        <w:pStyle w:val="ListParagraph"/>
        <w:numPr>
          <w:ilvl w:val="2"/>
          <w:numId w:val="1"/>
        </w:numPr>
        <w:spacing w:after="0" w:line="360" w:lineRule="auto"/>
        <w:jc w:val="both"/>
        <w:outlineLvl w:val="2"/>
        <w:rPr>
          <w:rFonts w:ascii="Arial" w:eastAsia="Times New Roman" w:hAnsi="Arial" w:cs="Arial"/>
          <w:kern w:val="0"/>
          <w:sz w:val="24"/>
          <w:szCs w:val="24"/>
          <w:lang w:val="en-IN" w:eastAsia="en-IN"/>
          <w14:ligatures w14:val="none"/>
        </w:rPr>
      </w:pPr>
      <w:bookmarkStart w:id="17" w:name="_Toc166266348"/>
      <w:r w:rsidRPr="00CF71CB">
        <w:rPr>
          <w:rFonts w:ascii="Arial" w:eastAsia="Times New Roman" w:hAnsi="Arial" w:cs="Arial"/>
          <w:kern w:val="0"/>
          <w:sz w:val="24"/>
          <w:szCs w:val="24"/>
          <w:lang w:val="en-IN" w:eastAsia="en-IN"/>
          <w14:ligatures w14:val="none"/>
        </w:rPr>
        <w:t xml:space="preserve">Trend analysis: This was used to assess changes in the company's financial performance over time, </w:t>
      </w:r>
      <w:r w:rsidR="00A60169">
        <w:rPr>
          <w:rFonts w:ascii="Arial" w:eastAsia="Times New Roman" w:hAnsi="Arial" w:cs="Arial"/>
          <w:kern w:val="0"/>
          <w:sz w:val="24"/>
          <w:szCs w:val="24"/>
          <w:lang w:val="en-IN" w:eastAsia="en-IN"/>
          <w14:ligatures w14:val="none"/>
        </w:rPr>
        <w:t>emphasising</w:t>
      </w:r>
      <w:r w:rsidRPr="00CF71CB">
        <w:rPr>
          <w:rFonts w:ascii="Arial" w:eastAsia="Times New Roman" w:hAnsi="Arial" w:cs="Arial"/>
          <w:kern w:val="0"/>
          <w:sz w:val="24"/>
          <w:szCs w:val="24"/>
          <w:lang w:val="en-IN" w:eastAsia="en-IN"/>
          <w14:ligatures w14:val="none"/>
        </w:rPr>
        <w:t xml:space="preserve"> turnover, profit margins, and other key financial parameters. This strategy aids in the identification of growth or decrease patterns, which are critical in assessing the company's financial health.</w:t>
      </w:r>
      <w:r w:rsidR="00732BD2" w:rsidRPr="00732BD2">
        <w:rPr>
          <w:rFonts w:ascii="Times New Roman" w:eastAsia="Times New Roman" w:hAnsi="Times New Roman" w:cs="Times New Roman"/>
          <w:kern w:val="0"/>
          <w:sz w:val="24"/>
          <w:szCs w:val="24"/>
          <w:lang w:val="en-IN" w:eastAsia="en-IN"/>
          <w14:ligatures w14:val="none"/>
        </w:rPr>
        <w:t xml:space="preserve"> </w:t>
      </w:r>
      <w:r w:rsidR="00732BD2" w:rsidRPr="00732BD2">
        <w:rPr>
          <w:rFonts w:ascii="Arial" w:eastAsia="Times New Roman" w:hAnsi="Arial" w:cs="Arial"/>
          <w:kern w:val="0"/>
          <w:sz w:val="24"/>
          <w:szCs w:val="24"/>
          <w:lang w:val="en-IN" w:eastAsia="en-IN"/>
          <w14:ligatures w14:val="none"/>
        </w:rPr>
        <w:t>(Banks, 2019)</w:t>
      </w:r>
      <w:bookmarkEnd w:id="17"/>
    </w:p>
    <w:p w14:paraId="0DD9E0B1" w14:textId="205F2A73" w:rsidR="00A111CF" w:rsidRPr="00D32877" w:rsidRDefault="00CF71CB" w:rsidP="00744FCF">
      <w:pPr>
        <w:pStyle w:val="ListParagraph"/>
        <w:numPr>
          <w:ilvl w:val="2"/>
          <w:numId w:val="1"/>
        </w:numPr>
        <w:spacing w:after="0" w:line="360" w:lineRule="auto"/>
        <w:jc w:val="both"/>
        <w:outlineLvl w:val="2"/>
        <w:rPr>
          <w:rFonts w:ascii="Arial" w:eastAsia="Times New Roman" w:hAnsi="Arial" w:cs="Arial"/>
          <w:kern w:val="0"/>
          <w:sz w:val="24"/>
          <w:szCs w:val="24"/>
          <w:lang w:val="en-IN" w:eastAsia="en-IN"/>
          <w14:ligatures w14:val="none"/>
        </w:rPr>
      </w:pPr>
      <w:bookmarkStart w:id="18" w:name="_Toc166266349"/>
      <w:r w:rsidRPr="00CF71CB">
        <w:rPr>
          <w:rFonts w:ascii="Arial" w:eastAsia="Times New Roman" w:hAnsi="Arial" w:cs="Arial"/>
          <w:kern w:val="0"/>
          <w:sz w:val="24"/>
          <w:szCs w:val="24"/>
          <w:lang w:val="en-IN" w:eastAsia="en-IN"/>
          <w14:ligatures w14:val="none"/>
        </w:rPr>
        <w:t xml:space="preserve">Ratio Analysis: Different financial ratios such as Return on Shareholders' Funds, Return on Capital Employed, and Profit Margin were calculated and examined. This technique is crucial in </w:t>
      </w:r>
      <w:r w:rsidR="004B70E5">
        <w:rPr>
          <w:rFonts w:ascii="Arial" w:eastAsia="Times New Roman" w:hAnsi="Arial" w:cs="Arial"/>
          <w:kern w:val="0"/>
          <w:sz w:val="24"/>
          <w:szCs w:val="24"/>
          <w:lang w:val="en-IN" w:eastAsia="en-IN"/>
          <w14:ligatures w14:val="none"/>
        </w:rPr>
        <w:t>economic</w:t>
      </w:r>
      <w:r w:rsidRPr="00CF71CB">
        <w:rPr>
          <w:rFonts w:ascii="Arial" w:eastAsia="Times New Roman" w:hAnsi="Arial" w:cs="Arial"/>
          <w:kern w:val="0"/>
          <w:sz w:val="24"/>
          <w:szCs w:val="24"/>
          <w:lang w:val="en-IN" w:eastAsia="en-IN"/>
          <w14:ligatures w14:val="none"/>
        </w:rPr>
        <w:t xml:space="preserve"> research since it provides insights into </w:t>
      </w:r>
      <w:r w:rsidRPr="00CF71CB">
        <w:rPr>
          <w:rFonts w:ascii="Arial" w:eastAsia="Times New Roman" w:hAnsi="Arial" w:cs="Arial"/>
          <w:kern w:val="0"/>
          <w:sz w:val="24"/>
          <w:szCs w:val="24"/>
          <w:lang w:val="en-IN" w:eastAsia="en-IN"/>
          <w14:ligatures w14:val="none"/>
        </w:rPr>
        <w:lastRenderedPageBreak/>
        <w:t>profitability, efficiency, and liquidity, all of which are critical for measuring a company's operational efficacy.</w:t>
      </w:r>
      <w:r w:rsidR="004D5624" w:rsidRPr="004D5624">
        <w:rPr>
          <w:rFonts w:ascii="Times New Roman" w:eastAsia="Times New Roman" w:hAnsi="Times New Roman" w:cs="Times New Roman"/>
          <w:kern w:val="0"/>
          <w:sz w:val="24"/>
          <w:szCs w:val="24"/>
          <w:lang w:val="en-IN" w:eastAsia="en-IN"/>
          <w14:ligatures w14:val="none"/>
        </w:rPr>
        <w:t xml:space="preserve"> </w:t>
      </w:r>
      <w:r w:rsidR="004D5624" w:rsidRPr="004D5624">
        <w:rPr>
          <w:rFonts w:ascii="Arial" w:eastAsia="Times New Roman" w:hAnsi="Arial" w:cs="Arial"/>
          <w:kern w:val="0"/>
          <w:sz w:val="24"/>
          <w:szCs w:val="24"/>
          <w:lang w:val="en-IN" w:eastAsia="en-IN"/>
          <w14:ligatures w14:val="none"/>
        </w:rPr>
        <w:t>(Happay, 2024)</w:t>
      </w:r>
      <w:bookmarkEnd w:id="18"/>
    </w:p>
    <w:p w14:paraId="7B0D94B8" w14:textId="77777777" w:rsidR="0091442A" w:rsidRPr="0091442A" w:rsidRDefault="0091442A" w:rsidP="009500AB">
      <w:pPr>
        <w:pStyle w:val="ListParagraph"/>
        <w:jc w:val="both"/>
        <w:rPr>
          <w:rFonts w:ascii="Arial" w:eastAsia="Times New Roman" w:hAnsi="Arial" w:cs="Arial"/>
          <w:b/>
          <w:bCs/>
          <w:kern w:val="0"/>
          <w:sz w:val="24"/>
          <w:szCs w:val="24"/>
          <w:lang w:val="en-IN" w:eastAsia="en-IN"/>
          <w14:ligatures w14:val="none"/>
        </w:rPr>
      </w:pPr>
    </w:p>
    <w:p w14:paraId="424E46B9" w14:textId="31F6EF3F" w:rsidR="00353D0B" w:rsidRPr="0091442A" w:rsidRDefault="00353D0B" w:rsidP="00744FCF">
      <w:pPr>
        <w:pStyle w:val="ListParagraph"/>
        <w:numPr>
          <w:ilvl w:val="1"/>
          <w:numId w:val="1"/>
        </w:numPr>
        <w:spacing w:after="0" w:line="360" w:lineRule="auto"/>
        <w:jc w:val="both"/>
        <w:outlineLvl w:val="1"/>
        <w:rPr>
          <w:rFonts w:ascii="Arial" w:eastAsia="Times New Roman" w:hAnsi="Arial" w:cs="Arial"/>
          <w:kern w:val="0"/>
          <w:sz w:val="24"/>
          <w:szCs w:val="24"/>
          <w:lang w:val="en-IN" w:eastAsia="en-IN"/>
          <w14:ligatures w14:val="none"/>
        </w:rPr>
      </w:pPr>
      <w:bookmarkStart w:id="19" w:name="_Toc166266350"/>
      <w:r w:rsidRPr="0091442A">
        <w:rPr>
          <w:rFonts w:ascii="Arial" w:eastAsia="Times New Roman" w:hAnsi="Arial" w:cs="Arial"/>
          <w:b/>
          <w:bCs/>
          <w:kern w:val="0"/>
          <w:sz w:val="24"/>
          <w:szCs w:val="24"/>
          <w:lang w:val="en-IN" w:eastAsia="en-IN"/>
          <w14:ligatures w14:val="none"/>
        </w:rPr>
        <w:t>RATIONALE FOR TOOL SELECTION</w:t>
      </w:r>
      <w:bookmarkEnd w:id="19"/>
    </w:p>
    <w:p w14:paraId="18D95DDA" w14:textId="19557960" w:rsidR="00166378" w:rsidRDefault="00B72A44" w:rsidP="009500AB">
      <w:pPr>
        <w:pStyle w:val="ListParagraph"/>
        <w:spacing w:after="0" w:line="360" w:lineRule="auto"/>
        <w:ind w:left="1440"/>
        <w:jc w:val="both"/>
        <w:rPr>
          <w:rFonts w:ascii="Arial" w:eastAsia="Times New Roman" w:hAnsi="Arial" w:cs="Arial"/>
          <w:b/>
          <w:bCs/>
          <w:kern w:val="0"/>
          <w:sz w:val="24"/>
          <w:szCs w:val="24"/>
          <w:lang w:val="en-IN" w:eastAsia="en-IN"/>
          <w14:ligatures w14:val="none"/>
        </w:rPr>
      </w:pPr>
      <w:r>
        <w:rPr>
          <w:rFonts w:ascii="Arial" w:eastAsia="Times New Roman" w:hAnsi="Arial" w:cs="Arial"/>
          <w:b/>
          <w:bCs/>
          <w:kern w:val="0"/>
          <w:sz w:val="24"/>
          <w:szCs w:val="24"/>
          <w:lang w:val="en-IN" w:eastAsia="en-IN"/>
          <w14:ligatures w14:val="none"/>
        </w:rPr>
        <w:t xml:space="preserve"> </w:t>
      </w:r>
    </w:p>
    <w:p w14:paraId="0C8D4171" w14:textId="349E98C1" w:rsidR="00166378" w:rsidRDefault="00166378" w:rsidP="009500AB">
      <w:pPr>
        <w:pStyle w:val="ListParagraph"/>
        <w:numPr>
          <w:ilvl w:val="0"/>
          <w:numId w:val="5"/>
        </w:numPr>
        <w:spacing w:after="0" w:line="360" w:lineRule="auto"/>
        <w:jc w:val="both"/>
        <w:rPr>
          <w:rFonts w:ascii="Arial" w:eastAsia="Times New Roman" w:hAnsi="Arial" w:cs="Arial"/>
          <w:kern w:val="0"/>
          <w:sz w:val="24"/>
          <w:szCs w:val="24"/>
          <w:lang w:val="en-IN" w:eastAsia="en-IN"/>
          <w14:ligatures w14:val="none"/>
        </w:rPr>
      </w:pPr>
      <w:r w:rsidRPr="00166378">
        <w:rPr>
          <w:rFonts w:ascii="Arial" w:eastAsia="Times New Roman" w:hAnsi="Arial" w:cs="Arial"/>
          <w:kern w:val="0"/>
          <w:sz w:val="24"/>
          <w:szCs w:val="24"/>
          <w:lang w:val="en-IN" w:eastAsia="en-IN"/>
          <w14:ligatures w14:val="none"/>
        </w:rPr>
        <w:t xml:space="preserve">Microsoft Excel is an essential tool for financial analysis, allowing you to </w:t>
      </w:r>
      <w:r w:rsidR="00A60169">
        <w:rPr>
          <w:rFonts w:ascii="Arial" w:eastAsia="Times New Roman" w:hAnsi="Arial" w:cs="Arial"/>
          <w:kern w:val="0"/>
          <w:sz w:val="24"/>
          <w:szCs w:val="24"/>
          <w:lang w:val="en-IN" w:eastAsia="en-IN"/>
          <w14:ligatures w14:val="none"/>
        </w:rPr>
        <w:t>organise</w:t>
      </w:r>
      <w:r w:rsidRPr="00166378">
        <w:rPr>
          <w:rFonts w:ascii="Arial" w:eastAsia="Times New Roman" w:hAnsi="Arial" w:cs="Arial"/>
          <w:kern w:val="0"/>
          <w:sz w:val="24"/>
          <w:szCs w:val="24"/>
          <w:lang w:val="en-IN" w:eastAsia="en-IN"/>
          <w14:ligatures w14:val="none"/>
        </w:rPr>
        <w:t>, calculate, and manipulate massive datasets. It includes pivot tables, formulas, and charting tools for visualisation.</w:t>
      </w:r>
    </w:p>
    <w:p w14:paraId="2738CD42" w14:textId="77777777" w:rsidR="00166378" w:rsidRDefault="00166378" w:rsidP="009500AB">
      <w:pPr>
        <w:pStyle w:val="ListParagraph"/>
        <w:numPr>
          <w:ilvl w:val="0"/>
          <w:numId w:val="5"/>
        </w:numPr>
        <w:spacing w:after="0" w:line="360" w:lineRule="auto"/>
        <w:jc w:val="both"/>
        <w:rPr>
          <w:rFonts w:ascii="Arial" w:eastAsia="Times New Roman" w:hAnsi="Arial" w:cs="Arial"/>
          <w:kern w:val="0"/>
          <w:sz w:val="24"/>
          <w:szCs w:val="24"/>
          <w:lang w:val="en-IN" w:eastAsia="en-IN"/>
          <w14:ligatures w14:val="none"/>
        </w:rPr>
      </w:pPr>
      <w:r w:rsidRPr="00166378">
        <w:rPr>
          <w:rFonts w:ascii="Arial" w:eastAsia="Times New Roman" w:hAnsi="Arial" w:cs="Arial"/>
          <w:kern w:val="0"/>
          <w:sz w:val="24"/>
          <w:szCs w:val="24"/>
          <w:lang w:val="en-IN" w:eastAsia="en-IN"/>
          <w14:ligatures w14:val="none"/>
        </w:rPr>
        <w:t>Tableau generates dynamic graphs and charts that depict interactive financial trends, making data more accessible to non-technical stakeholders.</w:t>
      </w:r>
    </w:p>
    <w:p w14:paraId="748FE76C" w14:textId="6ABAD81F" w:rsidR="00E12A7D" w:rsidRPr="00E12A7D" w:rsidRDefault="006E79E6" w:rsidP="00E12A7D">
      <w:pPr>
        <w:pStyle w:val="ListParagraph"/>
        <w:numPr>
          <w:ilvl w:val="0"/>
          <w:numId w:val="5"/>
        </w:numPr>
        <w:spacing w:after="0" w:line="360" w:lineRule="auto"/>
        <w:jc w:val="both"/>
        <w:rPr>
          <w:rFonts w:ascii="Arial" w:eastAsia="Times New Roman" w:hAnsi="Arial" w:cs="Arial"/>
          <w:kern w:val="0"/>
          <w:sz w:val="24"/>
          <w:szCs w:val="24"/>
          <w:lang w:val="en-IN" w:eastAsia="en-IN"/>
          <w14:ligatures w14:val="none"/>
        </w:rPr>
      </w:pPr>
      <w:r>
        <w:rPr>
          <w:rFonts w:ascii="Arial" w:eastAsia="Times New Roman" w:hAnsi="Arial" w:cs="Arial"/>
          <w:kern w:val="0"/>
          <w:sz w:val="24"/>
          <w:szCs w:val="24"/>
          <w:lang w:val="en-IN" w:eastAsia="en-IN"/>
          <w14:ligatures w14:val="none"/>
        </w:rPr>
        <w:t>Python's libraries, such as Pandas and Matplotlib, provide comprehensive data manipulation and graphical presentation capabilities, as well as the automation of complex dataset cleaning and transformation.</w:t>
      </w:r>
    </w:p>
    <w:p w14:paraId="09E435A0" w14:textId="77777777" w:rsidR="00E12A7D" w:rsidRDefault="00E12A7D" w:rsidP="009500AB">
      <w:pPr>
        <w:pStyle w:val="ListParagraph"/>
        <w:spacing w:after="0" w:line="360" w:lineRule="auto"/>
        <w:jc w:val="both"/>
        <w:rPr>
          <w:rFonts w:ascii="Arial" w:eastAsia="Times New Roman" w:hAnsi="Arial" w:cs="Arial"/>
          <w:kern w:val="0"/>
          <w:sz w:val="24"/>
          <w:szCs w:val="24"/>
          <w:lang w:val="en-IN" w:eastAsia="en-IN"/>
          <w14:ligatures w14:val="none"/>
        </w:rPr>
      </w:pPr>
    </w:p>
    <w:p w14:paraId="0D31B8AE" w14:textId="39835100" w:rsidR="003B4777" w:rsidRDefault="00A15BCE" w:rsidP="00744FCF">
      <w:pPr>
        <w:pStyle w:val="ListParagraph"/>
        <w:numPr>
          <w:ilvl w:val="0"/>
          <w:numId w:val="1"/>
        </w:numPr>
        <w:spacing w:after="0" w:line="360" w:lineRule="auto"/>
        <w:jc w:val="both"/>
        <w:outlineLvl w:val="0"/>
        <w:rPr>
          <w:rFonts w:ascii="Arial" w:eastAsia="Times New Roman" w:hAnsi="Arial" w:cs="Arial"/>
          <w:b/>
          <w:bCs/>
          <w:kern w:val="0"/>
          <w:sz w:val="24"/>
          <w:szCs w:val="24"/>
          <w:lang w:val="en-IN" w:eastAsia="en-IN"/>
          <w14:ligatures w14:val="none"/>
        </w:rPr>
      </w:pPr>
      <w:bookmarkStart w:id="20" w:name="_Toc166265724"/>
      <w:bookmarkStart w:id="21" w:name="_Toc166266132"/>
      <w:bookmarkStart w:id="22" w:name="_Toc166266351"/>
      <w:r w:rsidRPr="00097F10">
        <w:rPr>
          <w:rFonts w:ascii="Arial" w:eastAsia="Times New Roman" w:hAnsi="Arial" w:cs="Arial"/>
          <w:b/>
          <w:bCs/>
          <w:kern w:val="0"/>
          <w:sz w:val="24"/>
          <w:szCs w:val="24"/>
          <w:lang w:val="en-IN" w:eastAsia="en-IN"/>
          <w14:ligatures w14:val="none"/>
        </w:rPr>
        <w:t>DATA VISUALISATION</w:t>
      </w:r>
      <w:bookmarkEnd w:id="20"/>
      <w:bookmarkEnd w:id="21"/>
      <w:bookmarkEnd w:id="22"/>
    </w:p>
    <w:p w14:paraId="1EC35AC3" w14:textId="7DC73ED1" w:rsidR="0069280C" w:rsidRDefault="0069280C" w:rsidP="009500AB">
      <w:pPr>
        <w:pStyle w:val="ListParagraph"/>
        <w:spacing w:after="0" w:line="360" w:lineRule="auto"/>
        <w:jc w:val="both"/>
        <w:rPr>
          <w:rFonts w:ascii="Arial" w:eastAsia="Times New Roman" w:hAnsi="Arial" w:cs="Arial"/>
          <w:b/>
          <w:bCs/>
          <w:kern w:val="0"/>
          <w:sz w:val="24"/>
          <w:szCs w:val="24"/>
          <w:lang w:val="en-IN" w:eastAsia="en-IN"/>
          <w14:ligatures w14:val="none"/>
        </w:rPr>
      </w:pPr>
      <w:r w:rsidRPr="0012612D">
        <w:rPr>
          <w:noProof/>
        </w:rPr>
        <w:drawing>
          <wp:anchor distT="0" distB="0" distL="114300" distR="114300" simplePos="0" relativeHeight="251659264" behindDoc="0" locked="0" layoutInCell="1" allowOverlap="1" wp14:anchorId="534DDCBF" wp14:editId="2B03ED20">
            <wp:simplePos x="0" y="0"/>
            <wp:positionH relativeFrom="column">
              <wp:posOffset>-114300</wp:posOffset>
            </wp:positionH>
            <wp:positionV relativeFrom="paragraph">
              <wp:posOffset>466725</wp:posOffset>
            </wp:positionV>
            <wp:extent cx="5274310" cy="2958465"/>
            <wp:effectExtent l="152400" t="152400" r="364490" b="356235"/>
            <wp:wrapTopAndBottom/>
            <wp:docPr id="1976655745" name="Picture 1" descr="A graph of a graph showing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5745" name="Picture 1" descr="A graph of a graph showing a number of ye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74310" cy="2958465"/>
                    </a:xfrm>
                    <a:prstGeom prst="rect">
                      <a:avLst/>
                    </a:prstGeom>
                    <a:ln>
                      <a:noFill/>
                    </a:ln>
                    <a:effectLst>
                      <a:outerShdw blurRad="292100" dist="139700" dir="2700000" algn="tl" rotWithShape="0">
                        <a:srgbClr val="333333">
                          <a:alpha val="65000"/>
                        </a:srgbClr>
                      </a:outerShdw>
                    </a:effectLst>
                  </pic:spPr>
                </pic:pic>
              </a:graphicData>
            </a:graphic>
          </wp:anchor>
        </w:drawing>
      </w:r>
    </w:p>
    <w:p w14:paraId="593BBF85" w14:textId="6E25113B" w:rsidR="00881E57" w:rsidRPr="006D04A0" w:rsidRDefault="00643174" w:rsidP="00DA2E4B">
      <w:pPr>
        <w:pStyle w:val="ListParagraph"/>
        <w:spacing w:after="0" w:line="360" w:lineRule="auto"/>
        <w:jc w:val="both"/>
        <w:outlineLvl w:val="0"/>
        <w:rPr>
          <w:rFonts w:ascii="Arial" w:eastAsia="Times New Roman" w:hAnsi="Arial" w:cs="Arial"/>
          <w:i/>
          <w:iCs/>
          <w:kern w:val="0"/>
          <w:sz w:val="24"/>
          <w:szCs w:val="24"/>
          <w:lang w:val="en-IN" w:eastAsia="en-IN"/>
          <w14:ligatures w14:val="none"/>
        </w:rPr>
      </w:pPr>
      <w:bookmarkStart w:id="23" w:name="_Toc166266133"/>
      <w:bookmarkStart w:id="24" w:name="_Toc166266352"/>
      <w:r w:rsidRPr="006D04A0">
        <w:rPr>
          <w:rFonts w:ascii="Arial" w:eastAsia="Times New Roman" w:hAnsi="Arial" w:cs="Arial"/>
          <w:i/>
          <w:iCs/>
          <w:kern w:val="0"/>
          <w:sz w:val="24"/>
          <w:szCs w:val="24"/>
          <w:lang w:val="en-IN" w:eastAsia="en-IN"/>
          <w14:ligatures w14:val="none"/>
        </w:rPr>
        <w:t>Figure 1</w:t>
      </w:r>
      <w:r w:rsidR="00630838" w:rsidRPr="006D04A0">
        <w:rPr>
          <w:rFonts w:ascii="Arial" w:eastAsia="Times New Roman" w:hAnsi="Arial" w:cs="Arial"/>
          <w:i/>
          <w:iCs/>
          <w:kern w:val="0"/>
          <w:sz w:val="24"/>
          <w:szCs w:val="24"/>
          <w:lang w:val="en-IN" w:eastAsia="en-IN"/>
          <w14:ligatures w14:val="none"/>
        </w:rPr>
        <w:t>: Net income of Flybe from 1999-2018</w:t>
      </w:r>
      <w:bookmarkEnd w:id="23"/>
      <w:bookmarkEnd w:id="24"/>
    </w:p>
    <w:p w14:paraId="13E9402B" w14:textId="4FD877B1" w:rsidR="003B4777" w:rsidRPr="006D04A0" w:rsidRDefault="003B4777" w:rsidP="009500AB">
      <w:pPr>
        <w:pStyle w:val="ListParagraph"/>
        <w:ind w:left="1440"/>
        <w:jc w:val="both"/>
        <w:rPr>
          <w:rFonts w:ascii="Arial" w:hAnsi="Arial" w:cs="Arial"/>
          <w:i/>
          <w:iCs/>
          <w:sz w:val="24"/>
          <w:szCs w:val="24"/>
        </w:rPr>
      </w:pPr>
      <w:r w:rsidRPr="006D04A0">
        <w:rPr>
          <w:rFonts w:ascii="Arial" w:hAnsi="Arial" w:cs="Arial"/>
          <w:i/>
          <w:iCs/>
          <w:sz w:val="24"/>
          <w:szCs w:val="24"/>
        </w:rPr>
        <w:t>(Source: Author,2024)</w:t>
      </w:r>
    </w:p>
    <w:p w14:paraId="65538E5A" w14:textId="09C95568" w:rsidR="00BA774D" w:rsidRDefault="00881E57" w:rsidP="009500AB">
      <w:pPr>
        <w:spacing w:line="360" w:lineRule="auto"/>
        <w:jc w:val="both"/>
        <w:rPr>
          <w:rFonts w:ascii="Arial" w:eastAsia="Times New Roman" w:hAnsi="Arial" w:cs="Arial"/>
          <w:kern w:val="0"/>
          <w:sz w:val="24"/>
          <w:szCs w:val="24"/>
          <w:lang w:val="en-IN" w:eastAsia="en-IN"/>
          <w14:ligatures w14:val="none"/>
        </w:rPr>
      </w:pPr>
      <w:r w:rsidRPr="00881E57">
        <w:rPr>
          <w:rFonts w:ascii="Arial" w:eastAsia="Times New Roman" w:hAnsi="Arial" w:cs="Arial"/>
          <w:kern w:val="0"/>
          <w:sz w:val="24"/>
          <w:szCs w:val="24"/>
          <w:lang w:val="en-IN" w:eastAsia="en-IN"/>
          <w14:ligatures w14:val="none"/>
        </w:rPr>
        <w:lastRenderedPageBreak/>
        <w:t>The net income graph presents a clear visual picture of the company's financial performance over the last two decades, indicating periods of financial crisis and recovery. Such changes could be linked to a variety of internal and external causes, including market conditions, corporate strategy, and economic settings. This graph is designed to help stakeholders monitor financial health and make educated decisions or plan adjustments.</w:t>
      </w:r>
    </w:p>
    <w:p w14:paraId="3B27E19A" w14:textId="780864AB" w:rsidR="001901E6" w:rsidRPr="00BA774D" w:rsidRDefault="00932FA9" w:rsidP="00744FCF">
      <w:pPr>
        <w:pStyle w:val="ListParagraph"/>
        <w:numPr>
          <w:ilvl w:val="1"/>
          <w:numId w:val="1"/>
        </w:numPr>
        <w:spacing w:line="360" w:lineRule="auto"/>
        <w:jc w:val="both"/>
        <w:outlineLvl w:val="1"/>
        <w:rPr>
          <w:rFonts w:ascii="Arial" w:eastAsia="Times New Roman" w:hAnsi="Arial" w:cs="Arial"/>
          <w:kern w:val="0"/>
          <w:sz w:val="24"/>
          <w:szCs w:val="24"/>
          <w:lang w:val="en-IN" w:eastAsia="en-IN"/>
          <w14:ligatures w14:val="none"/>
        </w:rPr>
      </w:pPr>
      <w:bookmarkStart w:id="25" w:name="_Toc166266353"/>
      <w:r>
        <w:rPr>
          <w:rFonts w:ascii="Arial" w:eastAsia="Times New Roman" w:hAnsi="Arial" w:cs="Arial"/>
          <w:b/>
          <w:bCs/>
          <w:kern w:val="0"/>
          <w:sz w:val="24"/>
          <w:szCs w:val="24"/>
          <w:lang w:val="en-IN" w:eastAsia="en-IN"/>
          <w14:ligatures w14:val="none"/>
        </w:rPr>
        <w:t>TURNOVER TRENDS</w:t>
      </w:r>
      <w:bookmarkEnd w:id="25"/>
    </w:p>
    <w:p w14:paraId="5A49B50F" w14:textId="4C549AC5" w:rsidR="0069280C" w:rsidRPr="006D04A0" w:rsidRDefault="0069280C" w:rsidP="006D04A0">
      <w:pPr>
        <w:pStyle w:val="ListParagraph"/>
        <w:spacing w:line="360" w:lineRule="auto"/>
        <w:jc w:val="both"/>
        <w:outlineLvl w:val="0"/>
        <w:rPr>
          <w:rFonts w:ascii="Arial" w:eastAsia="Times New Roman" w:hAnsi="Arial" w:cs="Arial"/>
          <w:i/>
          <w:iCs/>
          <w:kern w:val="0"/>
          <w:sz w:val="24"/>
          <w:szCs w:val="24"/>
          <w:lang w:val="en-IN" w:eastAsia="en-IN"/>
          <w14:ligatures w14:val="none"/>
        </w:rPr>
      </w:pPr>
      <w:bookmarkStart w:id="26" w:name="_Toc166266134"/>
      <w:bookmarkStart w:id="27" w:name="_Toc166266354"/>
      <w:r w:rsidRPr="006D04A0">
        <w:rPr>
          <w:i/>
          <w:iCs/>
          <w:noProof/>
        </w:rPr>
        <w:drawing>
          <wp:anchor distT="0" distB="0" distL="114300" distR="114300" simplePos="0" relativeHeight="251666432" behindDoc="0" locked="0" layoutInCell="1" allowOverlap="1" wp14:anchorId="17B34C74" wp14:editId="28623348">
            <wp:simplePos x="0" y="0"/>
            <wp:positionH relativeFrom="column">
              <wp:posOffset>213360</wp:posOffset>
            </wp:positionH>
            <wp:positionV relativeFrom="paragraph">
              <wp:posOffset>201930</wp:posOffset>
            </wp:positionV>
            <wp:extent cx="5274310" cy="3159125"/>
            <wp:effectExtent l="152400" t="152400" r="364490" b="365125"/>
            <wp:wrapTopAndBottom/>
            <wp:docPr id="752994130"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4130" name="Picture 1" descr="A graph with a line graph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3159125"/>
                    </a:xfrm>
                    <a:prstGeom prst="rect">
                      <a:avLst/>
                    </a:prstGeom>
                    <a:ln>
                      <a:noFill/>
                    </a:ln>
                    <a:effectLst>
                      <a:outerShdw blurRad="292100" dist="139700" dir="2700000" algn="tl" rotWithShape="0">
                        <a:srgbClr val="333333">
                          <a:alpha val="65000"/>
                        </a:srgbClr>
                      </a:outerShdw>
                    </a:effectLst>
                  </pic:spPr>
                </pic:pic>
              </a:graphicData>
            </a:graphic>
          </wp:anchor>
        </w:drawing>
      </w:r>
      <w:r w:rsidRPr="006D04A0">
        <w:rPr>
          <w:rFonts w:ascii="Arial" w:eastAsia="Times New Roman" w:hAnsi="Arial" w:cs="Arial"/>
          <w:i/>
          <w:iCs/>
          <w:kern w:val="0"/>
          <w:sz w:val="24"/>
          <w:szCs w:val="24"/>
          <w:lang w:val="en-IN" w:eastAsia="en-IN"/>
          <w14:ligatures w14:val="none"/>
        </w:rPr>
        <w:t>Figure 2: Flybe turnover of national and overseas (2010- 2018)</w:t>
      </w:r>
      <w:bookmarkEnd w:id="26"/>
      <w:bookmarkEnd w:id="27"/>
    </w:p>
    <w:p w14:paraId="58B3F27D" w14:textId="50FD33CD" w:rsidR="0069280C" w:rsidRPr="006D04A0" w:rsidRDefault="0069280C" w:rsidP="009500AB">
      <w:pPr>
        <w:pStyle w:val="ListParagraph"/>
        <w:ind w:left="1440"/>
        <w:jc w:val="both"/>
        <w:rPr>
          <w:rFonts w:ascii="Arial" w:hAnsi="Arial" w:cs="Arial"/>
          <w:i/>
          <w:iCs/>
          <w:sz w:val="24"/>
          <w:szCs w:val="24"/>
        </w:rPr>
      </w:pPr>
      <w:r w:rsidRPr="006D04A0">
        <w:rPr>
          <w:rFonts w:ascii="Arial" w:hAnsi="Arial" w:cs="Arial"/>
          <w:i/>
          <w:iCs/>
          <w:sz w:val="24"/>
          <w:szCs w:val="24"/>
        </w:rPr>
        <w:t>(Source: Author,2024)</w:t>
      </w:r>
    </w:p>
    <w:p w14:paraId="6E46300B" w14:textId="77777777" w:rsidR="0069280C" w:rsidRDefault="0069280C" w:rsidP="009500AB">
      <w:pPr>
        <w:pStyle w:val="ListParagraph"/>
        <w:ind w:left="1440"/>
        <w:jc w:val="both"/>
        <w:rPr>
          <w:rFonts w:ascii="Arial" w:hAnsi="Arial" w:cs="Arial"/>
          <w:sz w:val="24"/>
          <w:szCs w:val="24"/>
        </w:rPr>
      </w:pPr>
    </w:p>
    <w:p w14:paraId="4B9E8B71" w14:textId="24A9336B" w:rsidR="0003536B" w:rsidRPr="00807379" w:rsidRDefault="00023B9D" w:rsidP="009500AB">
      <w:pPr>
        <w:spacing w:line="360" w:lineRule="auto"/>
        <w:jc w:val="both"/>
        <w:rPr>
          <w:rFonts w:ascii="Arial" w:eastAsia="Times New Roman" w:hAnsi="Arial" w:cs="Arial"/>
          <w:kern w:val="0"/>
          <w:sz w:val="24"/>
          <w:szCs w:val="24"/>
          <w:lang w:val="en-IN" w:eastAsia="en-IN"/>
          <w14:ligatures w14:val="none"/>
        </w:rPr>
      </w:pPr>
      <w:r w:rsidRPr="00807379">
        <w:rPr>
          <w:rFonts w:ascii="Arial" w:eastAsia="Times New Roman" w:hAnsi="Arial" w:cs="Arial"/>
          <w:kern w:val="0"/>
          <w:sz w:val="24"/>
          <w:szCs w:val="24"/>
          <w:lang w:val="en-IN" w:eastAsia="en-IN"/>
          <w14:ligatures w14:val="none"/>
        </w:rPr>
        <w:t>This graph shows a visual comparison of Flybe's national and international turnover from 2010 to 2018, highlighting significant trends in the company's financial performance across both markets. Notably, national turnover has steadily increased from roughly 400 million to nearly 800 million. This signals strong growth and possible success in the local market. In contrast, overseas turnover remained relatively stable over time, hovering about $200 million, indicating stagnation and maybe problems or limited expansion in international markets. This graph lays the groundwork for examining the underlying variables behind the various trends in Flybe's operations.</w:t>
      </w:r>
    </w:p>
    <w:p w14:paraId="7AB00AF5" w14:textId="77777777" w:rsidR="00D32877" w:rsidRPr="00D32877" w:rsidRDefault="00D32877" w:rsidP="009500AB">
      <w:pPr>
        <w:pStyle w:val="ListParagraph"/>
        <w:spacing w:line="360" w:lineRule="auto"/>
        <w:jc w:val="both"/>
        <w:rPr>
          <w:rFonts w:ascii="Arial" w:eastAsia="Times New Roman" w:hAnsi="Arial" w:cs="Arial"/>
          <w:kern w:val="0"/>
          <w:sz w:val="24"/>
          <w:szCs w:val="24"/>
          <w:lang w:val="en-IN" w:eastAsia="en-IN"/>
          <w14:ligatures w14:val="none"/>
        </w:rPr>
      </w:pPr>
    </w:p>
    <w:p w14:paraId="316F9FCB" w14:textId="36D42D06" w:rsidR="00B870CD" w:rsidRPr="00E70B8A" w:rsidRDefault="00F91259" w:rsidP="00744FCF">
      <w:pPr>
        <w:pStyle w:val="ListParagraph"/>
        <w:numPr>
          <w:ilvl w:val="1"/>
          <w:numId w:val="1"/>
        </w:numPr>
        <w:jc w:val="both"/>
        <w:outlineLvl w:val="1"/>
        <w:rPr>
          <w:rFonts w:ascii="Arial" w:hAnsi="Arial" w:cs="Arial"/>
          <w:b/>
          <w:bCs/>
          <w:sz w:val="24"/>
          <w:szCs w:val="24"/>
        </w:rPr>
      </w:pPr>
      <w:bookmarkStart w:id="28" w:name="_Toc166266355"/>
      <w:r w:rsidRPr="00E70B8A">
        <w:rPr>
          <w:rFonts w:ascii="Arial" w:hAnsi="Arial" w:cs="Arial"/>
          <w:b/>
          <w:bCs/>
          <w:sz w:val="24"/>
          <w:szCs w:val="24"/>
          <w:lang w:eastAsia="en-IN"/>
        </w:rPr>
        <w:t>FINANCIAL RATIO TRENDS</w:t>
      </w:r>
      <w:bookmarkEnd w:id="28"/>
    </w:p>
    <w:p w14:paraId="75C7CCC2" w14:textId="4C41B1BE" w:rsidR="00571CE6" w:rsidRDefault="00571CE6" w:rsidP="009500AB">
      <w:pPr>
        <w:pStyle w:val="ListParagraph"/>
        <w:ind w:left="1440"/>
        <w:jc w:val="both"/>
        <w:rPr>
          <w:rFonts w:ascii="Arial" w:hAnsi="Arial" w:cs="Arial"/>
          <w:sz w:val="24"/>
          <w:szCs w:val="24"/>
        </w:rPr>
      </w:pPr>
    </w:p>
    <w:p w14:paraId="555FC465" w14:textId="04CFFD86" w:rsidR="009F2099" w:rsidRDefault="00571CE6" w:rsidP="009500AB">
      <w:pPr>
        <w:pStyle w:val="ListParagraph"/>
        <w:ind w:left="1440"/>
        <w:jc w:val="both"/>
        <w:rPr>
          <w:rFonts w:ascii="Arial" w:hAnsi="Arial" w:cs="Arial"/>
          <w:sz w:val="24"/>
          <w:szCs w:val="24"/>
        </w:rPr>
      </w:pPr>
      <w:r>
        <w:rPr>
          <w:noProof/>
        </w:rPr>
        <w:drawing>
          <wp:anchor distT="0" distB="0" distL="114300" distR="114300" simplePos="0" relativeHeight="251661312" behindDoc="0" locked="0" layoutInCell="1" allowOverlap="1" wp14:anchorId="6A30658E" wp14:editId="2B54A73C">
            <wp:simplePos x="0" y="0"/>
            <wp:positionH relativeFrom="margin">
              <wp:posOffset>-693</wp:posOffset>
            </wp:positionH>
            <wp:positionV relativeFrom="paragraph">
              <wp:posOffset>263641</wp:posOffset>
            </wp:positionV>
            <wp:extent cx="5274310" cy="3075305"/>
            <wp:effectExtent l="0" t="0" r="2540" b="10795"/>
            <wp:wrapTopAndBottom/>
            <wp:docPr id="376156983" name="Chart 1">
              <a:extLst xmlns:a="http://schemas.openxmlformats.org/drawingml/2006/main">
                <a:ext uri="{FF2B5EF4-FFF2-40B4-BE49-F238E27FC236}">
                  <a16:creationId xmlns:a16="http://schemas.microsoft.com/office/drawing/2014/main" id="{01F293E6-4B8B-52C6-E90B-C3E35C95F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5EB5088D" w14:textId="77777777" w:rsidR="00CE19A0" w:rsidRDefault="00CE19A0" w:rsidP="009500AB">
      <w:pPr>
        <w:pStyle w:val="ListParagraph"/>
        <w:ind w:left="1440"/>
        <w:jc w:val="both"/>
        <w:rPr>
          <w:rFonts w:ascii="Arial" w:hAnsi="Arial" w:cs="Arial"/>
          <w:sz w:val="24"/>
          <w:szCs w:val="24"/>
        </w:rPr>
      </w:pPr>
    </w:p>
    <w:p w14:paraId="74695295" w14:textId="77777777" w:rsidR="001901E6" w:rsidRPr="006D04A0" w:rsidRDefault="0003536B" w:rsidP="006D04A0">
      <w:pPr>
        <w:pStyle w:val="ListParagraph"/>
        <w:ind w:left="1440"/>
        <w:jc w:val="both"/>
        <w:outlineLvl w:val="0"/>
        <w:rPr>
          <w:rFonts w:ascii="Arial" w:hAnsi="Arial" w:cs="Arial"/>
          <w:i/>
          <w:iCs/>
          <w:sz w:val="24"/>
          <w:szCs w:val="24"/>
        </w:rPr>
      </w:pPr>
      <w:bookmarkStart w:id="29" w:name="_Toc166266135"/>
      <w:bookmarkStart w:id="30" w:name="_Toc166266356"/>
      <w:r w:rsidRPr="006D04A0">
        <w:rPr>
          <w:rFonts w:ascii="Arial" w:hAnsi="Arial" w:cs="Arial"/>
          <w:i/>
          <w:iCs/>
          <w:sz w:val="24"/>
          <w:szCs w:val="24"/>
        </w:rPr>
        <w:t>Figure</w:t>
      </w:r>
      <w:r w:rsidR="00CE369F" w:rsidRPr="006D04A0">
        <w:rPr>
          <w:rFonts w:ascii="Arial" w:hAnsi="Arial" w:cs="Arial"/>
          <w:i/>
          <w:iCs/>
          <w:sz w:val="24"/>
          <w:szCs w:val="24"/>
        </w:rPr>
        <w:t xml:space="preserve"> 3: Assets </w:t>
      </w:r>
      <w:r w:rsidR="001901E6" w:rsidRPr="006D04A0">
        <w:rPr>
          <w:rFonts w:ascii="Arial" w:hAnsi="Arial" w:cs="Arial"/>
          <w:i/>
          <w:iCs/>
          <w:sz w:val="24"/>
          <w:szCs w:val="24"/>
        </w:rPr>
        <w:t>Comparison over each year</w:t>
      </w:r>
      <w:bookmarkEnd w:id="29"/>
      <w:bookmarkEnd w:id="30"/>
    </w:p>
    <w:p w14:paraId="04124D40" w14:textId="21B9EA96" w:rsidR="0003536B" w:rsidRPr="006D04A0" w:rsidRDefault="001901E6" w:rsidP="006D04A0">
      <w:pPr>
        <w:pStyle w:val="ListParagraph"/>
        <w:ind w:left="1440"/>
        <w:jc w:val="both"/>
        <w:outlineLvl w:val="0"/>
        <w:rPr>
          <w:rFonts w:ascii="Arial" w:hAnsi="Arial" w:cs="Arial"/>
          <w:i/>
          <w:iCs/>
          <w:sz w:val="24"/>
          <w:szCs w:val="24"/>
        </w:rPr>
      </w:pPr>
      <w:bookmarkStart w:id="31" w:name="_Toc166265728"/>
      <w:bookmarkStart w:id="32" w:name="_Toc166266136"/>
      <w:bookmarkStart w:id="33" w:name="_Toc166266357"/>
      <w:r w:rsidRPr="006D04A0">
        <w:rPr>
          <w:rFonts w:ascii="Arial" w:hAnsi="Arial" w:cs="Arial"/>
          <w:i/>
          <w:iCs/>
          <w:sz w:val="24"/>
          <w:szCs w:val="24"/>
        </w:rPr>
        <w:t>(Source: Author,2024)</w:t>
      </w:r>
      <w:bookmarkEnd w:id="31"/>
      <w:bookmarkEnd w:id="32"/>
      <w:bookmarkEnd w:id="33"/>
    </w:p>
    <w:p w14:paraId="33A5799B" w14:textId="77777777" w:rsidR="00D77B7C" w:rsidRDefault="00D77B7C" w:rsidP="009500AB">
      <w:pPr>
        <w:pStyle w:val="ListParagraph"/>
        <w:ind w:left="1440"/>
        <w:jc w:val="both"/>
        <w:rPr>
          <w:rFonts w:ascii="Arial" w:hAnsi="Arial" w:cs="Arial"/>
          <w:sz w:val="24"/>
          <w:szCs w:val="24"/>
        </w:rPr>
      </w:pPr>
    </w:p>
    <w:p w14:paraId="59341D16" w14:textId="67521065" w:rsidR="00EE21C8" w:rsidRPr="002B6119" w:rsidRDefault="00EE21C8" w:rsidP="009500AB">
      <w:pPr>
        <w:spacing w:line="360" w:lineRule="auto"/>
        <w:jc w:val="both"/>
        <w:rPr>
          <w:rFonts w:ascii="Arial" w:hAnsi="Arial" w:cs="Arial"/>
          <w:sz w:val="24"/>
          <w:szCs w:val="24"/>
          <w:lang w:val="en-IN"/>
        </w:rPr>
      </w:pPr>
      <w:r w:rsidRPr="002B6119">
        <w:rPr>
          <w:rFonts w:ascii="Arial" w:hAnsi="Arial" w:cs="Arial"/>
          <w:sz w:val="24"/>
          <w:szCs w:val="24"/>
          <w:lang w:val="en-IN"/>
        </w:rPr>
        <w:t xml:space="preserve">The graph showing a reduction in asset prices from 1999 to 2018 may suggest financial difficulties that led to Flybe's demise. The rapid fall following 2011, which indicated liquidity concerns, had an impact on daily operations and growth potential. Reductions in tangible and fixed assets indicate </w:t>
      </w:r>
      <w:r w:rsidR="002B6119">
        <w:rPr>
          <w:rFonts w:ascii="Arial" w:hAnsi="Arial" w:cs="Arial"/>
          <w:sz w:val="24"/>
          <w:szCs w:val="24"/>
          <w:lang w:val="en-IN"/>
        </w:rPr>
        <w:t>the</w:t>
      </w:r>
      <w:r w:rsidR="00F318A7">
        <w:rPr>
          <w:rFonts w:ascii="Arial" w:hAnsi="Arial" w:cs="Arial"/>
          <w:sz w:val="24"/>
          <w:szCs w:val="24"/>
          <w:lang w:val="en-IN"/>
        </w:rPr>
        <w:t xml:space="preserve"> </w:t>
      </w:r>
      <w:r w:rsidRPr="002B6119">
        <w:rPr>
          <w:rFonts w:ascii="Arial" w:hAnsi="Arial" w:cs="Arial"/>
          <w:sz w:val="24"/>
          <w:szCs w:val="24"/>
          <w:lang w:val="en-IN"/>
        </w:rPr>
        <w:t xml:space="preserve">downsizing or divestment of important resources, such as </w:t>
      </w:r>
      <w:r w:rsidR="002B6119">
        <w:rPr>
          <w:rFonts w:ascii="Arial" w:hAnsi="Arial" w:cs="Arial"/>
          <w:sz w:val="24"/>
          <w:szCs w:val="24"/>
          <w:lang w:val="en-IN"/>
        </w:rPr>
        <w:t>aeroplanes</w:t>
      </w:r>
      <w:r w:rsidRPr="002B6119">
        <w:rPr>
          <w:rFonts w:ascii="Arial" w:hAnsi="Arial" w:cs="Arial"/>
          <w:sz w:val="24"/>
          <w:szCs w:val="24"/>
          <w:lang w:val="en-IN"/>
        </w:rPr>
        <w:t>, which will have an impact on service quality and operating capability.</w:t>
      </w:r>
    </w:p>
    <w:p w14:paraId="3CD53F17" w14:textId="0942DD3B" w:rsidR="00E60FED" w:rsidRDefault="00E60FED" w:rsidP="009500AB">
      <w:pPr>
        <w:pStyle w:val="ListParagraph"/>
        <w:ind w:left="1440"/>
        <w:jc w:val="both"/>
        <w:rPr>
          <w:rFonts w:ascii="Arial" w:hAnsi="Arial" w:cs="Arial"/>
          <w:sz w:val="24"/>
          <w:szCs w:val="24"/>
        </w:rPr>
      </w:pPr>
    </w:p>
    <w:p w14:paraId="2942AAE9" w14:textId="6C111B40" w:rsidR="009F2099" w:rsidRDefault="009F2099" w:rsidP="009500AB">
      <w:pPr>
        <w:pStyle w:val="ListParagraph"/>
        <w:ind w:left="1440"/>
        <w:jc w:val="both"/>
        <w:rPr>
          <w:rFonts w:ascii="Arial" w:hAnsi="Arial" w:cs="Arial"/>
          <w:sz w:val="24"/>
          <w:szCs w:val="24"/>
        </w:rPr>
      </w:pPr>
    </w:p>
    <w:p w14:paraId="0573B456" w14:textId="3DC173E3" w:rsidR="009F2099" w:rsidRDefault="009F2099" w:rsidP="009500AB">
      <w:pPr>
        <w:pStyle w:val="ListParagraph"/>
        <w:ind w:left="1440"/>
        <w:jc w:val="both"/>
        <w:rPr>
          <w:rFonts w:ascii="Arial" w:hAnsi="Arial" w:cs="Arial"/>
          <w:sz w:val="24"/>
          <w:szCs w:val="24"/>
        </w:rPr>
      </w:pPr>
    </w:p>
    <w:p w14:paraId="3BC8585E" w14:textId="77777777" w:rsidR="00226210" w:rsidRDefault="00226210" w:rsidP="009500AB">
      <w:pPr>
        <w:jc w:val="both"/>
        <w:rPr>
          <w:rFonts w:ascii="Arial" w:hAnsi="Arial" w:cs="Arial"/>
          <w:sz w:val="24"/>
          <w:szCs w:val="24"/>
          <w:lang w:val="en-IN"/>
        </w:rPr>
      </w:pPr>
    </w:p>
    <w:p w14:paraId="732558D0" w14:textId="77777777" w:rsidR="00226210" w:rsidRDefault="00226210" w:rsidP="009500AB">
      <w:pPr>
        <w:jc w:val="both"/>
        <w:rPr>
          <w:rFonts w:ascii="Arial" w:hAnsi="Arial" w:cs="Arial"/>
          <w:sz w:val="24"/>
          <w:szCs w:val="24"/>
          <w:lang w:val="en-IN"/>
        </w:rPr>
      </w:pPr>
    </w:p>
    <w:p w14:paraId="2BA83EF4" w14:textId="77777777" w:rsidR="00226210" w:rsidRDefault="00226210" w:rsidP="009500AB">
      <w:pPr>
        <w:jc w:val="both"/>
        <w:rPr>
          <w:rFonts w:ascii="Arial" w:hAnsi="Arial" w:cs="Arial"/>
          <w:sz w:val="24"/>
          <w:szCs w:val="24"/>
          <w:lang w:val="en-IN"/>
        </w:rPr>
      </w:pPr>
    </w:p>
    <w:p w14:paraId="0E408C4B" w14:textId="77777777" w:rsidR="00226210" w:rsidRDefault="00226210" w:rsidP="009500AB">
      <w:pPr>
        <w:jc w:val="both"/>
        <w:rPr>
          <w:rFonts w:ascii="Arial" w:hAnsi="Arial" w:cs="Arial"/>
          <w:sz w:val="24"/>
          <w:szCs w:val="24"/>
          <w:lang w:val="en-IN"/>
        </w:rPr>
      </w:pPr>
    </w:p>
    <w:p w14:paraId="4DA419F2" w14:textId="77777777" w:rsidR="00226210" w:rsidRDefault="00226210" w:rsidP="009500AB">
      <w:pPr>
        <w:jc w:val="both"/>
        <w:rPr>
          <w:rFonts w:ascii="Arial" w:hAnsi="Arial" w:cs="Arial"/>
          <w:sz w:val="24"/>
          <w:szCs w:val="24"/>
          <w:lang w:val="en-IN"/>
        </w:rPr>
      </w:pPr>
    </w:p>
    <w:p w14:paraId="0B06177E" w14:textId="41F79B5A" w:rsidR="00226210" w:rsidRDefault="00226210" w:rsidP="009500AB">
      <w:pPr>
        <w:jc w:val="both"/>
        <w:rPr>
          <w:rFonts w:ascii="Arial" w:hAnsi="Arial" w:cs="Arial"/>
          <w:sz w:val="24"/>
          <w:szCs w:val="24"/>
          <w:lang w:val="en-IN"/>
        </w:rPr>
      </w:pPr>
      <w:r>
        <w:rPr>
          <w:noProof/>
        </w:rPr>
        <w:lastRenderedPageBreak/>
        <w:drawing>
          <wp:anchor distT="0" distB="0" distL="114300" distR="114300" simplePos="0" relativeHeight="251662336" behindDoc="0" locked="0" layoutInCell="1" allowOverlap="1" wp14:anchorId="72916A18" wp14:editId="4C46C7E1">
            <wp:simplePos x="0" y="0"/>
            <wp:positionH relativeFrom="margin">
              <wp:posOffset>131618</wp:posOffset>
            </wp:positionH>
            <wp:positionV relativeFrom="paragraph">
              <wp:posOffset>362007</wp:posOffset>
            </wp:positionV>
            <wp:extent cx="4465206" cy="2801697"/>
            <wp:effectExtent l="0" t="0" r="12065" b="17780"/>
            <wp:wrapTopAndBottom/>
            <wp:docPr id="1013143569" name="Chart 1">
              <a:extLst xmlns:a="http://schemas.openxmlformats.org/drawingml/2006/main">
                <a:ext uri="{FF2B5EF4-FFF2-40B4-BE49-F238E27FC236}">
                  <a16:creationId xmlns:a16="http://schemas.microsoft.com/office/drawing/2014/main" id="{114596D7-C540-1F72-CB0A-98314EEDB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0C5B234" w14:textId="036E39B9" w:rsidR="00F318A7" w:rsidRDefault="00226210" w:rsidP="008F33F5">
      <w:pPr>
        <w:pStyle w:val="Heading1"/>
        <w:jc w:val="center"/>
        <w:rPr>
          <w:rFonts w:ascii="Arial" w:hAnsi="Arial" w:cs="Arial"/>
          <w:sz w:val="24"/>
          <w:szCs w:val="24"/>
          <w:lang w:val="en-IN"/>
        </w:rPr>
      </w:pPr>
      <w:bookmarkStart w:id="34" w:name="_Toc166266137"/>
      <w:bookmarkStart w:id="35" w:name="_Toc166266358"/>
      <w:r>
        <w:rPr>
          <w:rFonts w:ascii="Arial" w:hAnsi="Arial" w:cs="Arial"/>
          <w:sz w:val="24"/>
          <w:szCs w:val="24"/>
          <w:lang w:val="en-IN"/>
        </w:rPr>
        <w:t xml:space="preserve">Figure </w:t>
      </w:r>
      <w:r w:rsidR="00E02E38">
        <w:rPr>
          <w:rFonts w:ascii="Arial" w:hAnsi="Arial" w:cs="Arial"/>
          <w:sz w:val="24"/>
          <w:szCs w:val="24"/>
          <w:lang w:val="en-IN"/>
        </w:rPr>
        <w:t>4: Net Assets</w:t>
      </w:r>
      <w:r w:rsidR="008B670F">
        <w:rPr>
          <w:rFonts w:ascii="Arial" w:hAnsi="Arial" w:cs="Arial"/>
          <w:sz w:val="24"/>
          <w:szCs w:val="24"/>
          <w:lang w:val="en-IN"/>
        </w:rPr>
        <w:t xml:space="preserve"> Turnover</w:t>
      </w:r>
      <w:r w:rsidR="006D04A0">
        <w:rPr>
          <w:rFonts w:ascii="Arial" w:hAnsi="Arial" w:cs="Arial"/>
          <w:sz w:val="24"/>
          <w:szCs w:val="24"/>
          <w:lang w:val="en-IN"/>
        </w:rPr>
        <w:t xml:space="preserve"> </w:t>
      </w:r>
      <w:r w:rsidR="00E02E38">
        <w:rPr>
          <w:rFonts w:ascii="Arial" w:hAnsi="Arial" w:cs="Arial"/>
          <w:sz w:val="24"/>
          <w:szCs w:val="24"/>
          <w:lang w:val="en-IN"/>
        </w:rPr>
        <w:t>(Source: Author,2024)</w:t>
      </w:r>
      <w:bookmarkEnd w:id="34"/>
      <w:bookmarkEnd w:id="35"/>
    </w:p>
    <w:p w14:paraId="71F61192" w14:textId="77777777" w:rsidR="00A8663B" w:rsidRDefault="00A8663B" w:rsidP="009500AB">
      <w:pPr>
        <w:jc w:val="both"/>
        <w:rPr>
          <w:rFonts w:ascii="Arial" w:hAnsi="Arial" w:cs="Arial"/>
          <w:sz w:val="24"/>
          <w:szCs w:val="24"/>
          <w:lang w:val="en-IN"/>
        </w:rPr>
      </w:pPr>
    </w:p>
    <w:p w14:paraId="62DC6EB9" w14:textId="6DA08412" w:rsidR="000D68B2" w:rsidRPr="000D68B2" w:rsidRDefault="000D68B2" w:rsidP="009500AB">
      <w:pPr>
        <w:spacing w:line="360" w:lineRule="auto"/>
        <w:jc w:val="both"/>
        <w:rPr>
          <w:rFonts w:ascii="Arial" w:hAnsi="Arial" w:cs="Arial"/>
          <w:sz w:val="24"/>
          <w:szCs w:val="24"/>
          <w:lang w:val="en-IN"/>
        </w:rPr>
      </w:pPr>
      <w:r w:rsidRPr="000D68B2">
        <w:rPr>
          <w:rFonts w:ascii="Arial" w:hAnsi="Arial" w:cs="Arial"/>
          <w:sz w:val="24"/>
          <w:szCs w:val="24"/>
          <w:lang w:val="en-IN"/>
        </w:rPr>
        <w:t>The "Net Assets Turnover" graph shows volatility and a peak in 2017 before a severe decrease in 2018, indicating that Flybe's financial trajectory may lead to its collapse in 2020. The peak most likely represented ephemeral increases in asset efficiency or revenue-generating efforts, whereas the fast decrease indicates unsustainable efforts. This decrease in asset usage efficiency, paired with earlier asset value losses, suggests deteriorating financial conditions and inefficiency.</w:t>
      </w:r>
    </w:p>
    <w:p w14:paraId="632B1A15" w14:textId="4439A965" w:rsidR="00E155A2" w:rsidRPr="00540DB0" w:rsidRDefault="002C4901" w:rsidP="009500AB">
      <w:pPr>
        <w:jc w:val="both"/>
        <w:rPr>
          <w:rFonts w:ascii="Arial" w:hAnsi="Arial" w:cs="Arial"/>
          <w:sz w:val="24"/>
          <w:szCs w:val="24"/>
        </w:rPr>
      </w:pPr>
      <w:r>
        <w:rPr>
          <w:noProof/>
        </w:rPr>
        <w:lastRenderedPageBreak/>
        <w:drawing>
          <wp:anchor distT="0" distB="0" distL="114300" distR="114300" simplePos="0" relativeHeight="251660288" behindDoc="0" locked="0" layoutInCell="1" allowOverlap="1" wp14:anchorId="20D5DE23" wp14:editId="732454A4">
            <wp:simplePos x="0" y="0"/>
            <wp:positionH relativeFrom="margin">
              <wp:align>center</wp:align>
            </wp:positionH>
            <wp:positionV relativeFrom="paragraph">
              <wp:posOffset>278130</wp:posOffset>
            </wp:positionV>
            <wp:extent cx="4848860" cy="2937510"/>
            <wp:effectExtent l="0" t="0" r="8890" b="15240"/>
            <wp:wrapTopAndBottom/>
            <wp:docPr id="2055966556" name="Chart 1">
              <a:extLst xmlns:a="http://schemas.openxmlformats.org/drawingml/2006/main">
                <a:ext uri="{FF2B5EF4-FFF2-40B4-BE49-F238E27FC236}">
                  <a16:creationId xmlns:a16="http://schemas.microsoft.com/office/drawing/2014/main" id="{84CABCB1-2F88-010E-8E13-78742A53C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23694DF" w14:textId="79525746" w:rsidR="00E155A2" w:rsidRPr="00A912B5" w:rsidRDefault="00540DB0" w:rsidP="00A912B5">
      <w:pPr>
        <w:pStyle w:val="ListParagraph"/>
        <w:ind w:left="1440"/>
        <w:jc w:val="center"/>
        <w:outlineLvl w:val="0"/>
        <w:rPr>
          <w:rFonts w:ascii="Arial" w:hAnsi="Arial" w:cs="Arial"/>
          <w:i/>
          <w:iCs/>
          <w:sz w:val="24"/>
          <w:szCs w:val="24"/>
        </w:rPr>
      </w:pPr>
      <w:bookmarkStart w:id="36" w:name="_Toc166266138"/>
      <w:bookmarkStart w:id="37" w:name="_Toc166266359"/>
      <w:r w:rsidRPr="00A912B5">
        <w:rPr>
          <w:rFonts w:ascii="Arial" w:hAnsi="Arial" w:cs="Arial"/>
          <w:i/>
          <w:iCs/>
          <w:sz w:val="24"/>
          <w:szCs w:val="24"/>
        </w:rPr>
        <w:t xml:space="preserve">Figure </w:t>
      </w:r>
      <w:r w:rsidR="004939B9" w:rsidRPr="00A912B5">
        <w:rPr>
          <w:rFonts w:ascii="Arial" w:hAnsi="Arial" w:cs="Arial"/>
          <w:i/>
          <w:iCs/>
          <w:sz w:val="24"/>
          <w:szCs w:val="24"/>
        </w:rPr>
        <w:t>5: Return</w:t>
      </w:r>
      <w:r w:rsidR="00513D10" w:rsidRPr="00A912B5">
        <w:rPr>
          <w:rFonts w:ascii="Arial" w:hAnsi="Arial" w:cs="Arial"/>
          <w:i/>
          <w:iCs/>
          <w:sz w:val="24"/>
          <w:szCs w:val="24"/>
        </w:rPr>
        <w:t xml:space="preserve"> on </w:t>
      </w:r>
      <w:r w:rsidR="000600B5" w:rsidRPr="00A912B5">
        <w:rPr>
          <w:rFonts w:ascii="Arial" w:hAnsi="Arial" w:cs="Arial"/>
          <w:i/>
          <w:iCs/>
          <w:sz w:val="24"/>
          <w:szCs w:val="24"/>
        </w:rPr>
        <w:t>Shareholders’</w:t>
      </w:r>
      <w:r w:rsidR="00513D10" w:rsidRPr="00A912B5">
        <w:rPr>
          <w:rFonts w:ascii="Arial" w:hAnsi="Arial" w:cs="Arial"/>
          <w:i/>
          <w:iCs/>
          <w:sz w:val="24"/>
          <w:szCs w:val="24"/>
        </w:rPr>
        <w:t xml:space="preserve"> Funds (Source:</w:t>
      </w:r>
      <w:r w:rsidR="00F318A7" w:rsidRPr="00A912B5">
        <w:rPr>
          <w:rFonts w:ascii="Arial" w:hAnsi="Arial" w:cs="Arial"/>
          <w:i/>
          <w:iCs/>
          <w:sz w:val="24"/>
          <w:szCs w:val="24"/>
        </w:rPr>
        <w:t xml:space="preserve"> </w:t>
      </w:r>
      <w:r w:rsidR="00513D10" w:rsidRPr="00A912B5">
        <w:rPr>
          <w:rFonts w:ascii="Arial" w:hAnsi="Arial" w:cs="Arial"/>
          <w:i/>
          <w:iCs/>
          <w:sz w:val="24"/>
          <w:szCs w:val="24"/>
        </w:rPr>
        <w:t>Author,2024)</w:t>
      </w:r>
      <w:bookmarkEnd w:id="36"/>
      <w:bookmarkEnd w:id="37"/>
    </w:p>
    <w:p w14:paraId="626FC340" w14:textId="7CE0B565" w:rsidR="009F2099" w:rsidRDefault="009F2099" w:rsidP="009500AB">
      <w:pPr>
        <w:pStyle w:val="ListParagraph"/>
        <w:ind w:left="1440"/>
        <w:jc w:val="both"/>
        <w:rPr>
          <w:rFonts w:ascii="Arial" w:hAnsi="Arial" w:cs="Arial"/>
          <w:sz w:val="24"/>
          <w:szCs w:val="24"/>
        </w:rPr>
      </w:pPr>
    </w:p>
    <w:p w14:paraId="2635CC1D" w14:textId="535DAADF" w:rsidR="00F465CA" w:rsidRDefault="00F465CA" w:rsidP="009500AB">
      <w:pPr>
        <w:spacing w:line="360" w:lineRule="auto"/>
        <w:jc w:val="both"/>
        <w:rPr>
          <w:rFonts w:ascii="Arial" w:hAnsi="Arial" w:cs="Arial"/>
          <w:sz w:val="24"/>
          <w:szCs w:val="24"/>
          <w:lang w:val="en-IN"/>
        </w:rPr>
      </w:pPr>
      <w:r w:rsidRPr="00F465CA">
        <w:rPr>
          <w:rFonts w:ascii="Arial" w:hAnsi="Arial" w:cs="Arial"/>
          <w:sz w:val="24"/>
          <w:szCs w:val="24"/>
          <w:lang w:val="en-IN"/>
        </w:rPr>
        <w:t>Flybe's Return on Shareholders' Funds (ROSF) indicates a downward trend from 2010 to 2020, with significant losses in 2012 and thereafter. This demonstrates continued financial difficulty, as Flybe struggled to benefit from its assets and shareholder ownership. The reduction in asset efficiency after 2017 and poor equity returns contributed to Flybe's financial instability and eventual collapse in 2020, demonstrating the problems of maintaining profitability and operational efficiency.</w:t>
      </w:r>
    </w:p>
    <w:p w14:paraId="0A5AA861" w14:textId="77777777" w:rsidR="00A8663B" w:rsidRPr="00F465CA" w:rsidRDefault="00A8663B" w:rsidP="009500AB">
      <w:pPr>
        <w:spacing w:line="360" w:lineRule="auto"/>
        <w:jc w:val="both"/>
        <w:rPr>
          <w:rFonts w:ascii="Arial" w:hAnsi="Arial" w:cs="Arial"/>
          <w:sz w:val="24"/>
          <w:szCs w:val="24"/>
          <w:lang w:val="en-IN"/>
        </w:rPr>
      </w:pPr>
    </w:p>
    <w:p w14:paraId="15C7B193" w14:textId="453E7893" w:rsidR="009F2099" w:rsidRPr="00F465CA" w:rsidRDefault="00513D10" w:rsidP="009500AB">
      <w:pPr>
        <w:jc w:val="both"/>
        <w:rPr>
          <w:rFonts w:ascii="Arial" w:hAnsi="Arial" w:cs="Arial"/>
          <w:sz w:val="24"/>
          <w:szCs w:val="24"/>
        </w:rPr>
      </w:pPr>
      <w:r>
        <w:rPr>
          <w:noProof/>
        </w:rPr>
        <w:lastRenderedPageBreak/>
        <w:drawing>
          <wp:anchor distT="0" distB="0" distL="114300" distR="114300" simplePos="0" relativeHeight="251663360" behindDoc="0" locked="0" layoutInCell="1" allowOverlap="1" wp14:anchorId="5D6661C0" wp14:editId="3CA82BE8">
            <wp:simplePos x="0" y="0"/>
            <wp:positionH relativeFrom="margin">
              <wp:posOffset>-7216</wp:posOffset>
            </wp:positionH>
            <wp:positionV relativeFrom="paragraph">
              <wp:posOffset>354388</wp:posOffset>
            </wp:positionV>
            <wp:extent cx="5202555" cy="2881630"/>
            <wp:effectExtent l="0" t="0" r="17145" b="13970"/>
            <wp:wrapTopAndBottom/>
            <wp:docPr id="101006223" name="Chart 1">
              <a:extLst xmlns:a="http://schemas.openxmlformats.org/drawingml/2006/main">
                <a:ext uri="{FF2B5EF4-FFF2-40B4-BE49-F238E27FC236}">
                  <a16:creationId xmlns:a16="http://schemas.microsoft.com/office/drawing/2014/main" id="{315F94AD-302A-9E6B-28AC-BC1C68CAD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3762F771" w14:textId="51973350" w:rsidR="009F2099" w:rsidRDefault="009F2099" w:rsidP="009500AB">
      <w:pPr>
        <w:pStyle w:val="ListParagraph"/>
        <w:ind w:left="1440"/>
        <w:jc w:val="both"/>
        <w:rPr>
          <w:rFonts w:ascii="Arial" w:hAnsi="Arial" w:cs="Arial"/>
          <w:sz w:val="24"/>
          <w:szCs w:val="24"/>
        </w:rPr>
      </w:pPr>
    </w:p>
    <w:p w14:paraId="3652586A" w14:textId="7C33274E" w:rsidR="009F2099" w:rsidRPr="00CF398B" w:rsidRDefault="00643AE9" w:rsidP="00CF398B">
      <w:pPr>
        <w:pStyle w:val="ListParagraph"/>
        <w:ind w:left="1440"/>
        <w:jc w:val="center"/>
        <w:outlineLvl w:val="0"/>
        <w:rPr>
          <w:rFonts w:ascii="Arial" w:hAnsi="Arial" w:cs="Arial"/>
          <w:i/>
          <w:iCs/>
          <w:sz w:val="24"/>
          <w:szCs w:val="24"/>
        </w:rPr>
      </w:pPr>
      <w:bookmarkStart w:id="38" w:name="_Toc166266139"/>
      <w:bookmarkStart w:id="39" w:name="_Toc166266360"/>
      <w:r w:rsidRPr="00CF398B">
        <w:rPr>
          <w:rFonts w:ascii="Arial" w:hAnsi="Arial" w:cs="Arial"/>
          <w:i/>
          <w:iCs/>
          <w:sz w:val="24"/>
          <w:szCs w:val="24"/>
        </w:rPr>
        <w:t>Figure 6: Represents return on Capital Employed</w:t>
      </w:r>
      <w:bookmarkEnd w:id="38"/>
      <w:bookmarkEnd w:id="39"/>
    </w:p>
    <w:p w14:paraId="184604D5" w14:textId="23F4F389" w:rsidR="00865999" w:rsidRPr="00CF398B" w:rsidRDefault="00865999" w:rsidP="00CF398B">
      <w:pPr>
        <w:pStyle w:val="ListParagraph"/>
        <w:ind w:left="1440"/>
        <w:jc w:val="center"/>
        <w:rPr>
          <w:rFonts w:ascii="Arial" w:hAnsi="Arial" w:cs="Arial"/>
          <w:i/>
          <w:iCs/>
          <w:sz w:val="24"/>
          <w:szCs w:val="24"/>
        </w:rPr>
      </w:pPr>
      <w:r w:rsidRPr="00CF398B">
        <w:rPr>
          <w:rFonts w:ascii="Arial" w:hAnsi="Arial" w:cs="Arial"/>
          <w:i/>
          <w:iCs/>
          <w:sz w:val="24"/>
          <w:szCs w:val="24"/>
        </w:rPr>
        <w:t>(Source: Author,2024)</w:t>
      </w:r>
    </w:p>
    <w:p w14:paraId="4DADE9F3" w14:textId="77777777" w:rsidR="00865999" w:rsidRDefault="00865999" w:rsidP="009500AB">
      <w:pPr>
        <w:pStyle w:val="ListParagraph"/>
        <w:ind w:left="1440"/>
        <w:jc w:val="both"/>
        <w:rPr>
          <w:rFonts w:ascii="Arial" w:hAnsi="Arial" w:cs="Arial"/>
          <w:sz w:val="24"/>
          <w:szCs w:val="24"/>
        </w:rPr>
      </w:pPr>
    </w:p>
    <w:p w14:paraId="6580B92A" w14:textId="77777777" w:rsidR="00582C1F" w:rsidRDefault="00582C1F" w:rsidP="009500AB">
      <w:pPr>
        <w:spacing w:line="360" w:lineRule="auto"/>
        <w:jc w:val="both"/>
        <w:rPr>
          <w:rFonts w:ascii="Arial" w:hAnsi="Arial" w:cs="Arial"/>
          <w:sz w:val="24"/>
          <w:szCs w:val="24"/>
          <w:lang w:val="en-IN"/>
        </w:rPr>
      </w:pPr>
      <w:r w:rsidRPr="00582C1F">
        <w:rPr>
          <w:rFonts w:ascii="Arial" w:hAnsi="Arial" w:cs="Arial"/>
          <w:sz w:val="24"/>
          <w:szCs w:val="24"/>
          <w:lang w:val="en-IN"/>
        </w:rPr>
        <w:t>The "Return on Capital Employed" (ROCE) graph for Flybe indicates a pattern of negative returns, particularly since 2012, showing poor operational efficiency and management decisions. The persistently negative numbers, particularly the steep reductions between 2012 and 2016, correspond to the company's financial difficulties, resulting in declines in asset prices and shareholder returns. This poor capital performance contributed to Flybe's financial instability and eventual collapse in 2020.</w:t>
      </w:r>
    </w:p>
    <w:p w14:paraId="1404FC5E" w14:textId="2D378037" w:rsidR="002C627A" w:rsidRDefault="002C627A" w:rsidP="009500AB">
      <w:pPr>
        <w:spacing w:line="360" w:lineRule="auto"/>
        <w:jc w:val="both"/>
        <w:rPr>
          <w:lang w:val="en-IN"/>
        </w:rPr>
      </w:pPr>
    </w:p>
    <w:p w14:paraId="42E3DDF8" w14:textId="0EB5262F" w:rsidR="00525A98" w:rsidRDefault="00525A98" w:rsidP="009500AB">
      <w:pPr>
        <w:spacing w:line="360" w:lineRule="auto"/>
        <w:jc w:val="both"/>
        <w:rPr>
          <w:lang w:val="en-IN"/>
        </w:rPr>
      </w:pPr>
      <w:r>
        <w:rPr>
          <w:noProof/>
        </w:rPr>
        <w:lastRenderedPageBreak/>
        <w:drawing>
          <wp:inline distT="0" distB="0" distL="0" distR="0" wp14:anchorId="5686911F" wp14:editId="037A2702">
            <wp:extent cx="5180060" cy="2891753"/>
            <wp:effectExtent l="0" t="0" r="1905" b="4445"/>
            <wp:docPr id="1726767166" name="Chart 1">
              <a:extLst xmlns:a="http://schemas.openxmlformats.org/drawingml/2006/main">
                <a:ext uri="{FF2B5EF4-FFF2-40B4-BE49-F238E27FC236}">
                  <a16:creationId xmlns:a16="http://schemas.microsoft.com/office/drawing/2014/main" id="{725D8473-4E32-D7C7-9603-DC7769C99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8025AD" w14:textId="000256D7" w:rsidR="00526126" w:rsidRPr="007D3406" w:rsidRDefault="00711EA1" w:rsidP="00032CFA">
      <w:pPr>
        <w:pStyle w:val="Heading1"/>
        <w:rPr>
          <w:rFonts w:ascii="Arial" w:hAnsi="Arial" w:cs="Arial"/>
          <w:i/>
          <w:iCs/>
          <w:sz w:val="24"/>
          <w:szCs w:val="24"/>
          <w:lang w:val="en-IN"/>
        </w:rPr>
      </w:pPr>
      <w:bookmarkStart w:id="40" w:name="_Toc166266140"/>
      <w:bookmarkStart w:id="41" w:name="_Toc166266361"/>
      <w:r w:rsidRPr="007D3406">
        <w:rPr>
          <w:rFonts w:ascii="Arial" w:hAnsi="Arial" w:cs="Arial"/>
          <w:i/>
          <w:iCs/>
          <w:color w:val="auto"/>
          <w:sz w:val="24"/>
          <w:szCs w:val="24"/>
          <w:lang w:val="en-IN"/>
        </w:rPr>
        <w:t>Figure 7</w:t>
      </w:r>
      <w:r w:rsidR="001C7EF0" w:rsidRPr="007D3406">
        <w:rPr>
          <w:rFonts w:ascii="Arial" w:hAnsi="Arial" w:cs="Arial"/>
          <w:i/>
          <w:iCs/>
          <w:color w:val="auto"/>
          <w:sz w:val="24"/>
          <w:szCs w:val="24"/>
          <w:lang w:val="en-IN"/>
        </w:rPr>
        <w:t>:</w:t>
      </w:r>
      <w:r w:rsidR="002C313E" w:rsidRPr="007D3406">
        <w:rPr>
          <w:rFonts w:ascii="Arial" w:hAnsi="Arial" w:cs="Arial"/>
          <w:i/>
          <w:iCs/>
          <w:color w:val="auto"/>
          <w:sz w:val="24"/>
          <w:szCs w:val="24"/>
          <w:lang w:val="en-IN"/>
        </w:rPr>
        <w:t xml:space="preserve"> Represent</w:t>
      </w:r>
      <w:r w:rsidR="00526126" w:rsidRPr="007D3406">
        <w:rPr>
          <w:rFonts w:ascii="Arial" w:hAnsi="Arial" w:cs="Arial"/>
          <w:i/>
          <w:iCs/>
          <w:color w:val="auto"/>
          <w:sz w:val="24"/>
          <w:szCs w:val="24"/>
          <w:lang w:val="en-IN"/>
        </w:rPr>
        <w:t xml:space="preserve">ation of profit Margin </w:t>
      </w:r>
      <w:r w:rsidR="00E6732C" w:rsidRPr="007D3406">
        <w:rPr>
          <w:rFonts w:ascii="Arial" w:hAnsi="Arial" w:cs="Arial"/>
          <w:i/>
          <w:iCs/>
          <w:color w:val="auto"/>
          <w:sz w:val="24"/>
          <w:szCs w:val="24"/>
          <w:lang w:val="en-IN"/>
        </w:rPr>
        <w:t>in %</w:t>
      </w:r>
      <w:r w:rsidR="00032CFA" w:rsidRPr="007D3406">
        <w:rPr>
          <w:rFonts w:ascii="Arial" w:hAnsi="Arial" w:cs="Arial"/>
          <w:i/>
          <w:iCs/>
          <w:color w:val="auto"/>
          <w:sz w:val="24"/>
          <w:szCs w:val="24"/>
          <w:lang w:val="en-IN"/>
        </w:rPr>
        <w:t xml:space="preserve"> </w:t>
      </w:r>
      <w:r w:rsidR="00526126" w:rsidRPr="007D3406">
        <w:rPr>
          <w:rFonts w:ascii="Arial" w:hAnsi="Arial" w:cs="Arial"/>
          <w:i/>
          <w:iCs/>
          <w:color w:val="auto"/>
          <w:sz w:val="24"/>
          <w:szCs w:val="24"/>
          <w:lang w:val="en-IN"/>
        </w:rPr>
        <w:t>(Source:</w:t>
      </w:r>
      <w:r w:rsidR="00E6732C" w:rsidRPr="007D3406">
        <w:rPr>
          <w:rFonts w:ascii="Arial" w:hAnsi="Arial" w:cs="Arial"/>
          <w:i/>
          <w:iCs/>
          <w:color w:val="auto"/>
          <w:sz w:val="24"/>
          <w:szCs w:val="24"/>
          <w:lang w:val="en-IN"/>
        </w:rPr>
        <w:t xml:space="preserve"> </w:t>
      </w:r>
      <w:r w:rsidR="00526126" w:rsidRPr="007D3406">
        <w:rPr>
          <w:rFonts w:ascii="Arial" w:hAnsi="Arial" w:cs="Arial"/>
          <w:i/>
          <w:iCs/>
          <w:color w:val="auto"/>
          <w:sz w:val="24"/>
          <w:szCs w:val="24"/>
          <w:lang w:val="en-IN"/>
        </w:rPr>
        <w:t>Author,2024</w:t>
      </w:r>
      <w:r w:rsidR="00526126" w:rsidRPr="007D3406">
        <w:rPr>
          <w:rFonts w:ascii="Arial" w:hAnsi="Arial" w:cs="Arial"/>
          <w:i/>
          <w:iCs/>
          <w:sz w:val="24"/>
          <w:szCs w:val="24"/>
          <w:lang w:val="en-IN"/>
        </w:rPr>
        <w:t>)</w:t>
      </w:r>
      <w:bookmarkEnd w:id="40"/>
      <w:bookmarkEnd w:id="41"/>
    </w:p>
    <w:p w14:paraId="5328B681" w14:textId="77777777" w:rsidR="00274A80" w:rsidRPr="00526126" w:rsidRDefault="00274A80" w:rsidP="009500AB">
      <w:pPr>
        <w:spacing w:line="360" w:lineRule="auto"/>
        <w:jc w:val="both"/>
        <w:rPr>
          <w:rFonts w:ascii="Arial" w:hAnsi="Arial" w:cs="Arial"/>
          <w:lang w:val="en-IN"/>
        </w:rPr>
      </w:pPr>
    </w:p>
    <w:p w14:paraId="5322BFC6" w14:textId="6EA38B09" w:rsidR="00E62862" w:rsidRPr="00E62862" w:rsidRDefault="00E62862" w:rsidP="009500AB">
      <w:pPr>
        <w:spacing w:line="360" w:lineRule="auto"/>
        <w:jc w:val="both"/>
        <w:rPr>
          <w:rFonts w:ascii="Arial" w:hAnsi="Arial" w:cs="Arial"/>
          <w:sz w:val="24"/>
          <w:szCs w:val="24"/>
          <w:lang w:val="en-IN"/>
        </w:rPr>
      </w:pPr>
      <w:r w:rsidRPr="00E62862">
        <w:rPr>
          <w:rFonts w:ascii="Arial" w:hAnsi="Arial" w:cs="Arial"/>
          <w:sz w:val="24"/>
          <w:szCs w:val="24"/>
          <w:lang w:val="en-IN"/>
        </w:rPr>
        <w:t>Flybe's "Profit Margin" graph reveals an unstable financial performance, with negative margins in numerous years, particularly around 2002 and 2008, and escalating after 2010. This suggests frequent losses and inefficiency, resulting in low returns on shareholder cash and capital employed. Continuous operational losses and the inability to reverse the deteriorating profitability trend were major contributors to Flybe's financial hardship and eventual insolvency in 2020.</w:t>
      </w:r>
    </w:p>
    <w:p w14:paraId="61D740D0" w14:textId="16313525" w:rsidR="000424EE" w:rsidRDefault="00F318A7" w:rsidP="009500AB">
      <w:pPr>
        <w:spacing w:line="360" w:lineRule="auto"/>
        <w:jc w:val="both"/>
        <w:rPr>
          <w:lang w:val="en-IN"/>
        </w:rPr>
      </w:pPr>
      <w:r>
        <w:rPr>
          <w:noProof/>
        </w:rPr>
        <w:drawing>
          <wp:anchor distT="0" distB="0" distL="114300" distR="114300" simplePos="0" relativeHeight="251664384" behindDoc="0" locked="0" layoutInCell="1" allowOverlap="1" wp14:anchorId="33916BED" wp14:editId="78D08383">
            <wp:simplePos x="0" y="0"/>
            <wp:positionH relativeFrom="margin">
              <wp:align>left</wp:align>
            </wp:positionH>
            <wp:positionV relativeFrom="paragraph">
              <wp:posOffset>206259</wp:posOffset>
            </wp:positionV>
            <wp:extent cx="5274310" cy="2909570"/>
            <wp:effectExtent l="0" t="0" r="2540" b="5080"/>
            <wp:wrapTopAndBottom/>
            <wp:docPr id="1427431432" name="Chart 1">
              <a:extLst xmlns:a="http://schemas.openxmlformats.org/drawingml/2006/main">
                <a:ext uri="{FF2B5EF4-FFF2-40B4-BE49-F238E27FC236}">
                  <a16:creationId xmlns:a16="http://schemas.microsoft.com/office/drawing/2014/main" id="{1900DF9D-7788-ACA6-9D97-303C0E5017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0D956A18" w14:textId="5164C751" w:rsidR="00F25343" w:rsidRDefault="00F25343" w:rsidP="009500AB">
      <w:pPr>
        <w:spacing w:line="360" w:lineRule="auto"/>
        <w:jc w:val="both"/>
        <w:rPr>
          <w:lang w:val="en-IN"/>
        </w:rPr>
      </w:pPr>
    </w:p>
    <w:p w14:paraId="6CE031FA" w14:textId="05AE6C45" w:rsidR="00B25482" w:rsidRPr="007D3406" w:rsidRDefault="00A47A4C" w:rsidP="00467FC8">
      <w:pPr>
        <w:pStyle w:val="Heading1"/>
        <w:jc w:val="center"/>
        <w:rPr>
          <w:rFonts w:ascii="Arial" w:hAnsi="Arial" w:cs="Arial"/>
          <w:i/>
          <w:iCs/>
          <w:color w:val="auto"/>
          <w:sz w:val="24"/>
          <w:szCs w:val="24"/>
          <w:lang w:val="en-IN"/>
        </w:rPr>
      </w:pPr>
      <w:bookmarkStart w:id="42" w:name="_Toc166266141"/>
      <w:bookmarkStart w:id="43" w:name="_Toc166266362"/>
      <w:r w:rsidRPr="007D3406">
        <w:rPr>
          <w:rFonts w:ascii="Arial" w:hAnsi="Arial" w:cs="Arial"/>
          <w:i/>
          <w:iCs/>
          <w:color w:val="auto"/>
          <w:sz w:val="24"/>
          <w:szCs w:val="24"/>
          <w:lang w:val="en-IN"/>
        </w:rPr>
        <w:t>Figure 8: Comparison of ratios</w:t>
      </w:r>
      <w:r w:rsidR="00B25482" w:rsidRPr="007D3406">
        <w:rPr>
          <w:rFonts w:ascii="Arial" w:hAnsi="Arial" w:cs="Arial"/>
          <w:i/>
          <w:iCs/>
          <w:color w:val="auto"/>
          <w:sz w:val="24"/>
          <w:szCs w:val="24"/>
          <w:lang w:val="en-IN"/>
        </w:rPr>
        <w:t xml:space="preserve"> (Source:</w:t>
      </w:r>
      <w:r w:rsidR="00C566EB" w:rsidRPr="007D3406">
        <w:rPr>
          <w:rFonts w:ascii="Arial" w:hAnsi="Arial" w:cs="Arial"/>
          <w:i/>
          <w:iCs/>
          <w:color w:val="auto"/>
          <w:sz w:val="24"/>
          <w:szCs w:val="24"/>
          <w:lang w:val="en-IN"/>
        </w:rPr>
        <w:t xml:space="preserve"> </w:t>
      </w:r>
      <w:r w:rsidR="00B25482" w:rsidRPr="007D3406">
        <w:rPr>
          <w:rFonts w:ascii="Arial" w:hAnsi="Arial" w:cs="Arial"/>
          <w:i/>
          <w:iCs/>
          <w:color w:val="auto"/>
          <w:sz w:val="24"/>
          <w:szCs w:val="24"/>
          <w:lang w:val="en-IN"/>
        </w:rPr>
        <w:t>Author,2024)</w:t>
      </w:r>
      <w:bookmarkEnd w:id="42"/>
      <w:bookmarkEnd w:id="43"/>
    </w:p>
    <w:p w14:paraId="2FE43A90" w14:textId="77777777" w:rsidR="00467FC8" w:rsidRPr="00467FC8" w:rsidRDefault="00467FC8" w:rsidP="00467FC8">
      <w:pPr>
        <w:rPr>
          <w:lang w:val="en-IN"/>
        </w:rPr>
      </w:pPr>
    </w:p>
    <w:p w14:paraId="13BA6E33" w14:textId="4B1EFBDD" w:rsidR="002D4035" w:rsidRPr="002D4035" w:rsidRDefault="000A0EDC" w:rsidP="009500AB">
      <w:pPr>
        <w:spacing w:line="360" w:lineRule="auto"/>
        <w:jc w:val="both"/>
        <w:rPr>
          <w:rFonts w:ascii="Arial" w:hAnsi="Arial" w:cs="Arial"/>
          <w:sz w:val="24"/>
          <w:szCs w:val="24"/>
          <w:lang w:val="en-IN"/>
        </w:rPr>
      </w:pPr>
      <w:r>
        <w:rPr>
          <w:rFonts w:ascii="Arial" w:hAnsi="Arial" w:cs="Arial"/>
          <w:sz w:val="24"/>
          <w:szCs w:val="24"/>
          <w:lang w:val="en-IN"/>
        </w:rPr>
        <w:t xml:space="preserve"> </w:t>
      </w:r>
      <w:r w:rsidR="002D4035" w:rsidRPr="002D4035">
        <w:rPr>
          <w:rFonts w:ascii="Arial" w:hAnsi="Arial" w:cs="Arial"/>
          <w:sz w:val="24"/>
          <w:szCs w:val="24"/>
          <w:lang w:val="en-IN"/>
        </w:rPr>
        <w:t>The "Ratio Comparison" graph shows Flybe's liquidity trends over time, with a fall in the current, liquidity, and shareholders' liquidity ratios after 2013. This suggests increased liquidity concerns, particularly in meeting short-term liabilities with available assets. The reduction coincides with lower profit margins and negative returns on capital used, indicating a deteriorating financial situation. These issues hampered Flybe's capacity to meet operational demands and financial responsibilities, contributing to the company's financial instability and downfall in 2020.</w:t>
      </w:r>
    </w:p>
    <w:p w14:paraId="055E167D" w14:textId="35E0BAF5" w:rsidR="00F25343" w:rsidRDefault="00F25343" w:rsidP="009500AB">
      <w:pPr>
        <w:spacing w:line="360" w:lineRule="auto"/>
        <w:jc w:val="both"/>
        <w:rPr>
          <w:lang w:val="en-IN"/>
        </w:rPr>
      </w:pPr>
    </w:p>
    <w:p w14:paraId="3938B90C" w14:textId="2B41F027" w:rsidR="00F25343" w:rsidRDefault="00535DA5" w:rsidP="009500AB">
      <w:pPr>
        <w:spacing w:line="360" w:lineRule="auto"/>
        <w:jc w:val="both"/>
        <w:rPr>
          <w:lang w:val="en-IN"/>
        </w:rPr>
      </w:pPr>
      <w:r>
        <w:rPr>
          <w:lang w:val="en-IN"/>
        </w:rPr>
        <w:t xml:space="preserve">                               </w:t>
      </w:r>
      <w:r w:rsidR="00DB2795">
        <w:rPr>
          <w:noProof/>
        </w:rPr>
        <w:drawing>
          <wp:anchor distT="0" distB="0" distL="114300" distR="114300" simplePos="0" relativeHeight="251665408" behindDoc="0" locked="0" layoutInCell="1" allowOverlap="1" wp14:anchorId="1BA6D353" wp14:editId="2EB191DE">
            <wp:simplePos x="0" y="0"/>
            <wp:positionH relativeFrom="column">
              <wp:posOffset>0</wp:posOffset>
            </wp:positionH>
            <wp:positionV relativeFrom="paragraph">
              <wp:posOffset>255905</wp:posOffset>
            </wp:positionV>
            <wp:extent cx="5274310" cy="2876550"/>
            <wp:effectExtent l="0" t="0" r="2540" b="0"/>
            <wp:wrapTopAndBottom/>
            <wp:docPr id="1082015849" name="Chart 1">
              <a:extLst xmlns:a="http://schemas.openxmlformats.org/drawingml/2006/main">
                <a:ext uri="{FF2B5EF4-FFF2-40B4-BE49-F238E27FC236}">
                  <a16:creationId xmlns:a16="http://schemas.microsoft.com/office/drawing/2014/main" id="{5785DF59-39FB-18B7-87AA-CDC412933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lang w:val="en-IN"/>
        </w:rPr>
        <w:t xml:space="preserve">      </w:t>
      </w:r>
    </w:p>
    <w:p w14:paraId="66F3D26C" w14:textId="37C4A817" w:rsidR="000E0C68" w:rsidRDefault="00267A2F" w:rsidP="00C8448C">
      <w:pPr>
        <w:pStyle w:val="Heading1"/>
        <w:jc w:val="center"/>
        <w:rPr>
          <w:rFonts w:ascii="Arial" w:hAnsi="Arial" w:cs="Arial"/>
          <w:i/>
          <w:iCs/>
          <w:color w:val="auto"/>
          <w:sz w:val="24"/>
          <w:szCs w:val="24"/>
          <w:lang w:val="en-IN"/>
        </w:rPr>
      </w:pPr>
      <w:bookmarkStart w:id="44" w:name="_Toc166266142"/>
      <w:bookmarkStart w:id="45" w:name="_Toc166266363"/>
      <w:r w:rsidRPr="007D3406">
        <w:rPr>
          <w:rFonts w:ascii="Arial" w:hAnsi="Arial" w:cs="Arial"/>
          <w:i/>
          <w:iCs/>
          <w:color w:val="auto"/>
          <w:sz w:val="24"/>
          <w:szCs w:val="24"/>
          <w:lang w:val="en-IN"/>
        </w:rPr>
        <w:t>Figure 9: Solvency Ratio Comparison (Source:</w:t>
      </w:r>
      <w:r w:rsidR="00D36AFB" w:rsidRPr="007D3406">
        <w:rPr>
          <w:rFonts w:ascii="Arial" w:hAnsi="Arial" w:cs="Arial"/>
          <w:i/>
          <w:iCs/>
          <w:color w:val="auto"/>
          <w:sz w:val="24"/>
          <w:szCs w:val="24"/>
          <w:lang w:val="en-IN"/>
        </w:rPr>
        <w:t xml:space="preserve"> </w:t>
      </w:r>
      <w:r w:rsidRPr="007D3406">
        <w:rPr>
          <w:rFonts w:ascii="Arial" w:hAnsi="Arial" w:cs="Arial"/>
          <w:i/>
          <w:iCs/>
          <w:color w:val="auto"/>
          <w:sz w:val="24"/>
          <w:szCs w:val="24"/>
          <w:lang w:val="en-IN"/>
        </w:rPr>
        <w:t>Author,2024)</w:t>
      </w:r>
      <w:bookmarkEnd w:id="44"/>
      <w:bookmarkEnd w:id="45"/>
    </w:p>
    <w:p w14:paraId="112C1B4F" w14:textId="77777777" w:rsidR="007D3406" w:rsidRPr="007D3406" w:rsidRDefault="007D3406" w:rsidP="007D3406">
      <w:pPr>
        <w:rPr>
          <w:lang w:val="en-IN"/>
        </w:rPr>
      </w:pPr>
    </w:p>
    <w:p w14:paraId="4CF548D6" w14:textId="73993D1C" w:rsidR="000E0C68" w:rsidRDefault="006A6EDF" w:rsidP="009500AB">
      <w:pPr>
        <w:spacing w:line="360" w:lineRule="auto"/>
        <w:jc w:val="both"/>
        <w:rPr>
          <w:rFonts w:ascii="Arial" w:hAnsi="Arial" w:cs="Arial"/>
          <w:sz w:val="24"/>
          <w:szCs w:val="24"/>
          <w:lang w:val="en-IN"/>
        </w:rPr>
      </w:pPr>
      <w:r w:rsidRPr="006A6EDF">
        <w:rPr>
          <w:rFonts w:ascii="Arial" w:hAnsi="Arial" w:cs="Arial"/>
          <w:sz w:val="24"/>
          <w:szCs w:val="24"/>
          <w:lang w:val="en-IN"/>
        </w:rPr>
        <w:t xml:space="preserve">The "Solvency Ratio Comparison" graph shows a decrease in Flybe's liability-based solvency ratio over time, showing increased financial fragility. The drop accelerates after 2007 and lasts until 2018, indicating difficulty in meeting long-term responsibilities with assets. The airline's ongoing declining trend demonstrates its failure to consolidate its financial position, which resulted to </w:t>
      </w:r>
      <w:r w:rsidRPr="006A6EDF">
        <w:rPr>
          <w:rFonts w:ascii="Arial" w:hAnsi="Arial" w:cs="Arial"/>
          <w:sz w:val="24"/>
          <w:szCs w:val="24"/>
          <w:lang w:val="en-IN"/>
        </w:rPr>
        <w:lastRenderedPageBreak/>
        <w:t>its demise in 2020. This pattern is consistent with prior graphs demonstrating diminishing profitability and asset efficiency.</w:t>
      </w:r>
    </w:p>
    <w:p w14:paraId="7CE036C0" w14:textId="59F14E4B" w:rsidR="00E32E42" w:rsidRPr="00E32E42" w:rsidRDefault="00E32E42" w:rsidP="009500AB">
      <w:pPr>
        <w:spacing w:after="0" w:line="360" w:lineRule="auto"/>
        <w:jc w:val="both"/>
        <w:rPr>
          <w:rFonts w:ascii="Arial" w:eastAsia="Times New Roman" w:hAnsi="Arial" w:cs="Arial"/>
          <w:kern w:val="0"/>
          <w:sz w:val="24"/>
          <w:szCs w:val="24"/>
          <w:lang w:val="en-IN" w:eastAsia="en-IN"/>
          <w14:ligatures w14:val="none"/>
        </w:rPr>
      </w:pPr>
      <w:r w:rsidRPr="00B72A44">
        <w:rPr>
          <w:rFonts w:ascii="Arial" w:eastAsia="Times New Roman" w:hAnsi="Arial" w:cs="Arial"/>
          <w:kern w:val="0"/>
          <w:sz w:val="24"/>
          <w:szCs w:val="24"/>
          <w:lang w:val="en-IN" w:eastAsia="en-IN"/>
          <w14:ligatures w14:val="none"/>
        </w:rPr>
        <w:t xml:space="preserve">In </w:t>
      </w:r>
      <w:r w:rsidR="00B72A44" w:rsidRPr="00B72A44">
        <w:rPr>
          <w:rFonts w:ascii="Arial" w:eastAsia="Times New Roman" w:hAnsi="Arial" w:cs="Arial"/>
          <w:kern w:val="0"/>
          <w:sz w:val="24"/>
          <w:szCs w:val="24"/>
          <w:lang w:val="en-IN" w:eastAsia="en-IN"/>
          <w14:ligatures w14:val="none"/>
        </w:rPr>
        <w:t>conclusion.</w:t>
      </w:r>
      <w:r w:rsidR="00B72A44" w:rsidRPr="00E32E42">
        <w:rPr>
          <w:rFonts w:ascii="Arial" w:eastAsia="Times New Roman" w:hAnsi="Arial" w:cs="Arial"/>
          <w:kern w:val="0"/>
          <w:sz w:val="24"/>
          <w:szCs w:val="24"/>
          <w:lang w:val="en-IN" w:eastAsia="en-IN"/>
          <w14:ligatures w14:val="none"/>
        </w:rPr>
        <w:t xml:space="preserve"> T</w:t>
      </w:r>
      <w:r w:rsidR="00B72A44" w:rsidRPr="00B72A44">
        <w:rPr>
          <w:rFonts w:ascii="Arial" w:eastAsia="Times New Roman" w:hAnsi="Arial" w:cs="Arial"/>
          <w:kern w:val="0"/>
          <w:sz w:val="24"/>
          <w:szCs w:val="24"/>
          <w:lang w:val="en-IN" w:eastAsia="en-IN"/>
          <w14:ligatures w14:val="none"/>
        </w:rPr>
        <w:t>hese</w:t>
      </w:r>
      <w:r w:rsidRPr="00E32E42">
        <w:rPr>
          <w:rFonts w:ascii="Arial" w:eastAsia="Times New Roman" w:hAnsi="Arial" w:cs="Arial"/>
          <w:kern w:val="0"/>
          <w:sz w:val="24"/>
          <w:szCs w:val="24"/>
          <w:lang w:val="en-IN" w:eastAsia="en-IN"/>
          <w14:ligatures w14:val="none"/>
        </w:rPr>
        <w:t xml:space="preserve"> graphs depict Flybe Group's financial downturn, leading to its liquidation in 2020. The net income graph shows periods of deficits and brief recoveries, highlighting the cyclical nature of the problems. The turnover patterns show steady growth in national turnover and a standstill in international operations, indicating an over-reliance on the home market. The asset base and efficiency are deteriorating, with a steep decline in net asset turnover and falling asset values indicating liquidity issues and resource limitations. The return on capital employed and return on shareholders' money graphs indicate inefficient operations and strategic errors. The profit margin graph shows ongoing losses and inefficiency, with negative margins and reduced liquidity and solvency ratios indicating growing challenges in fulfilling short- and long-term commitments. These visuals highlight the importance of prudent financial management, strategic vision, and adaptability to market fluctuations, emphasizing the need for prudent financial management and strategic vision.</w:t>
      </w:r>
    </w:p>
    <w:p w14:paraId="63600361" w14:textId="7865D26C" w:rsidR="001F0727" w:rsidRPr="00C34E3F" w:rsidRDefault="001F0727" w:rsidP="009500AB">
      <w:pPr>
        <w:spacing w:after="240" w:line="360" w:lineRule="auto"/>
        <w:jc w:val="both"/>
        <w:rPr>
          <w:rFonts w:ascii="Times New Roman" w:eastAsia="Times New Roman" w:hAnsi="Times New Roman" w:cs="Times New Roman"/>
          <w:kern w:val="0"/>
          <w:sz w:val="24"/>
          <w:szCs w:val="24"/>
          <w:lang w:val="en-IN" w:eastAsia="en-IN"/>
          <w14:ligatures w14:val="none"/>
        </w:rPr>
      </w:pPr>
    </w:p>
    <w:p w14:paraId="0FD703DA" w14:textId="675ADE7F" w:rsidR="005D05EC" w:rsidRPr="009558FF" w:rsidRDefault="00096093" w:rsidP="00744FCF">
      <w:pPr>
        <w:pStyle w:val="ListParagraph"/>
        <w:numPr>
          <w:ilvl w:val="0"/>
          <w:numId w:val="1"/>
        </w:numPr>
        <w:spacing w:line="360" w:lineRule="auto"/>
        <w:jc w:val="both"/>
        <w:outlineLvl w:val="0"/>
        <w:rPr>
          <w:rFonts w:ascii="Arial" w:hAnsi="Arial" w:cs="Arial"/>
          <w:b/>
          <w:bCs/>
          <w:sz w:val="24"/>
          <w:szCs w:val="24"/>
        </w:rPr>
      </w:pPr>
      <w:bookmarkStart w:id="46" w:name="_Toc166265735"/>
      <w:bookmarkStart w:id="47" w:name="_Toc166266143"/>
      <w:bookmarkStart w:id="48" w:name="_Toc166266364"/>
      <w:r w:rsidRPr="009558FF">
        <w:rPr>
          <w:rFonts w:ascii="Arial" w:hAnsi="Arial" w:cs="Arial"/>
          <w:b/>
          <w:bCs/>
          <w:sz w:val="24"/>
          <w:szCs w:val="24"/>
        </w:rPr>
        <w:t>PORT</w:t>
      </w:r>
      <w:r w:rsidR="009956DE" w:rsidRPr="009558FF">
        <w:rPr>
          <w:rFonts w:ascii="Arial" w:hAnsi="Arial" w:cs="Arial"/>
          <w:b/>
          <w:bCs/>
          <w:sz w:val="24"/>
          <w:szCs w:val="24"/>
        </w:rPr>
        <w:t>FOLIO</w:t>
      </w:r>
      <w:r w:rsidR="00B10761" w:rsidRPr="009558FF">
        <w:rPr>
          <w:rFonts w:ascii="Arial" w:hAnsi="Arial" w:cs="Arial"/>
          <w:b/>
          <w:bCs/>
          <w:sz w:val="24"/>
          <w:szCs w:val="24"/>
        </w:rPr>
        <w:t xml:space="preserve"> DECISION</w:t>
      </w:r>
      <w:bookmarkEnd w:id="46"/>
      <w:bookmarkEnd w:id="47"/>
      <w:bookmarkEnd w:id="48"/>
    </w:p>
    <w:p w14:paraId="201804FF" w14:textId="77777777" w:rsidR="000E0C68" w:rsidRDefault="000E0C68" w:rsidP="009500AB">
      <w:pPr>
        <w:jc w:val="both"/>
      </w:pPr>
    </w:p>
    <w:p w14:paraId="4CD0FA3C" w14:textId="19E83E61" w:rsidR="00925392" w:rsidRPr="00925392" w:rsidRDefault="00925392" w:rsidP="009500AB">
      <w:pPr>
        <w:spacing w:line="360" w:lineRule="auto"/>
        <w:jc w:val="both"/>
        <w:rPr>
          <w:rFonts w:ascii="Arial" w:hAnsi="Arial" w:cs="Arial"/>
          <w:sz w:val="24"/>
          <w:szCs w:val="24"/>
          <w:lang w:val="en-IN"/>
        </w:rPr>
      </w:pPr>
      <w:r w:rsidRPr="00925392">
        <w:rPr>
          <w:rFonts w:ascii="Arial" w:hAnsi="Arial" w:cs="Arial"/>
          <w:sz w:val="24"/>
          <w:szCs w:val="24"/>
          <w:lang w:val="en-IN"/>
        </w:rPr>
        <w:t xml:space="preserve">In </w:t>
      </w:r>
      <w:r w:rsidR="005D05EC" w:rsidRPr="00E126AA">
        <w:rPr>
          <w:rFonts w:ascii="Arial" w:hAnsi="Arial" w:cs="Arial"/>
          <w:sz w:val="24"/>
          <w:szCs w:val="24"/>
          <w:lang w:val="en-IN"/>
        </w:rPr>
        <w:t>preparing the</w:t>
      </w:r>
      <w:r w:rsidRPr="00925392">
        <w:rPr>
          <w:rFonts w:ascii="Arial" w:hAnsi="Arial" w:cs="Arial"/>
          <w:sz w:val="24"/>
          <w:szCs w:val="24"/>
          <w:lang w:val="en-IN"/>
        </w:rPr>
        <w:t xml:space="preserve"> portfolio analysis of Flybe Group Ltd's financial fall, I used a systematic approach to data collecting, manipulation, and interpretation to drive my analytical choices and storytelling. This project required a deep dive into the airline's financial health over nearly two decades, resulting in insights that not only tell the tale of Flybe's failure but also provide lessons for other organizations.</w:t>
      </w:r>
    </w:p>
    <w:p w14:paraId="57F209B0" w14:textId="77777777" w:rsidR="000E0C68" w:rsidRDefault="000E0C68" w:rsidP="009500AB">
      <w:pPr>
        <w:jc w:val="both"/>
        <w:rPr>
          <w:sz w:val="24"/>
          <w:szCs w:val="24"/>
        </w:rPr>
      </w:pPr>
    </w:p>
    <w:p w14:paraId="2D4242CA" w14:textId="77777777" w:rsidR="00501507" w:rsidRPr="00501507" w:rsidRDefault="002C419E" w:rsidP="003C3B43">
      <w:pPr>
        <w:pStyle w:val="ListParagraph"/>
        <w:numPr>
          <w:ilvl w:val="1"/>
          <w:numId w:val="1"/>
        </w:numPr>
        <w:jc w:val="both"/>
        <w:outlineLvl w:val="1"/>
        <w:rPr>
          <w:rFonts w:ascii="Arial" w:hAnsi="Arial" w:cs="Arial"/>
          <w:b/>
          <w:bCs/>
        </w:rPr>
      </w:pPr>
      <w:bookmarkStart w:id="49" w:name="_Toc166266365"/>
      <w:r w:rsidRPr="000D6530">
        <w:rPr>
          <w:rFonts w:ascii="Arial" w:hAnsi="Arial" w:cs="Arial"/>
          <w:b/>
          <w:bCs/>
          <w:sz w:val="24"/>
          <w:szCs w:val="24"/>
        </w:rPr>
        <w:t>STORYLINE</w:t>
      </w:r>
      <w:r w:rsidR="00501507">
        <w:rPr>
          <w:rFonts w:ascii="Arial" w:hAnsi="Arial" w:cs="Arial"/>
          <w:b/>
          <w:bCs/>
          <w:sz w:val="24"/>
          <w:szCs w:val="24"/>
        </w:rPr>
        <w:t>:</w:t>
      </w:r>
      <w:bookmarkEnd w:id="49"/>
    </w:p>
    <w:p w14:paraId="0CFA043E" w14:textId="1BF1FB4C" w:rsidR="00E126AA" w:rsidRPr="00C70D74" w:rsidRDefault="00E126AA" w:rsidP="009500AB">
      <w:pPr>
        <w:spacing w:line="360" w:lineRule="auto"/>
        <w:jc w:val="both"/>
        <w:rPr>
          <w:rFonts w:ascii="Arial" w:hAnsi="Arial" w:cs="Arial"/>
          <w:b/>
          <w:bCs/>
        </w:rPr>
      </w:pPr>
      <w:r w:rsidRPr="00C70D74">
        <w:rPr>
          <w:rFonts w:ascii="Arial" w:hAnsi="Arial" w:cs="Arial"/>
          <w:sz w:val="24"/>
          <w:szCs w:val="24"/>
          <w:lang w:val="en-IN"/>
        </w:rPr>
        <w:t xml:space="preserve">This portfolio analyzes the financial collapse of Flybe Group Ltd, a British airline that ceased operations in 2020. It reveals operational and strategic missteps that led to the airline's insolvency, using data from Flybe's financial reports and statements from 1999-2018. The analysis reveals periods of financial crisis and </w:t>
      </w:r>
      <w:r w:rsidRPr="00C70D74">
        <w:rPr>
          <w:rFonts w:ascii="Arial" w:hAnsi="Arial" w:cs="Arial"/>
          <w:sz w:val="24"/>
          <w:szCs w:val="24"/>
          <w:lang w:val="en-IN"/>
        </w:rPr>
        <w:lastRenderedPageBreak/>
        <w:t>recovery, turnover trends, and financial ratio trends. The decline in Return on Shareholders' Funds and Return on Capital Employed from 2010 onwards highlights operational inefficiency and poor management decisions. The portfolio serves as a warning for other airlines, emphasizing the need for robust financial management and strategic agility.</w:t>
      </w:r>
    </w:p>
    <w:p w14:paraId="4DC01B50" w14:textId="77777777" w:rsidR="00C70D74" w:rsidRDefault="000D6530" w:rsidP="003C3B43">
      <w:pPr>
        <w:pStyle w:val="ListParagraph"/>
        <w:numPr>
          <w:ilvl w:val="1"/>
          <w:numId w:val="1"/>
        </w:numPr>
        <w:spacing w:line="360" w:lineRule="auto"/>
        <w:jc w:val="both"/>
        <w:outlineLvl w:val="1"/>
        <w:rPr>
          <w:rFonts w:ascii="Arial" w:hAnsi="Arial" w:cs="Arial"/>
          <w:sz w:val="24"/>
          <w:szCs w:val="24"/>
          <w:lang w:val="en-IN"/>
        </w:rPr>
      </w:pPr>
      <w:bookmarkStart w:id="50" w:name="_Toc166266366"/>
      <w:r w:rsidRPr="00501507">
        <w:rPr>
          <w:rFonts w:ascii="Arial" w:hAnsi="Arial" w:cs="Arial"/>
          <w:b/>
          <w:bCs/>
          <w:sz w:val="24"/>
          <w:szCs w:val="24"/>
          <w:lang w:val="en-IN"/>
        </w:rPr>
        <w:t>THE IMPACT OF DATA-DRIVEN DECISIONS</w:t>
      </w:r>
      <w:r w:rsidR="00514618" w:rsidRPr="00501507">
        <w:rPr>
          <w:rFonts w:ascii="Arial" w:hAnsi="Arial" w:cs="Arial"/>
          <w:b/>
          <w:bCs/>
          <w:sz w:val="24"/>
          <w:szCs w:val="24"/>
          <w:lang w:val="en-IN"/>
        </w:rPr>
        <w:t>:</w:t>
      </w:r>
      <w:bookmarkEnd w:id="50"/>
    </w:p>
    <w:p w14:paraId="45256DA7" w14:textId="2616A4E1" w:rsidR="00C25037" w:rsidRPr="00C70D74" w:rsidRDefault="00C25037" w:rsidP="009500AB">
      <w:pPr>
        <w:spacing w:line="360" w:lineRule="auto"/>
        <w:jc w:val="both"/>
        <w:rPr>
          <w:rFonts w:ascii="Arial" w:hAnsi="Arial" w:cs="Arial"/>
          <w:sz w:val="24"/>
          <w:szCs w:val="24"/>
          <w:lang w:val="en-IN"/>
        </w:rPr>
      </w:pPr>
      <w:r w:rsidRPr="00C70D74">
        <w:rPr>
          <w:rFonts w:ascii="Arial" w:hAnsi="Arial" w:cs="Arial"/>
          <w:sz w:val="24"/>
          <w:szCs w:val="24"/>
          <w:lang w:val="en-IN"/>
        </w:rPr>
        <w:t>The investigation resulted in various strategic recommendations for similar organizations to reduce risk and improve performance. For example, the persistent drop in liquidity and solvency ratios indicated the need for larger financial buffers and more conservative asset management techniques to avert future liquidity crises. A company's resilience to market volatility could be improved by instituting more stringent financial controls and conducting regular performance evaluations</w:t>
      </w:r>
      <w:r w:rsidRPr="00C70D74">
        <w:rPr>
          <w:rFonts w:ascii="Arial" w:hAnsi="Arial" w:cs="Arial"/>
          <w:lang w:val="en-IN"/>
        </w:rPr>
        <w:t>.</w:t>
      </w:r>
    </w:p>
    <w:p w14:paraId="039A0F7E" w14:textId="77777777" w:rsidR="00D26CE7" w:rsidRDefault="00D26CE7" w:rsidP="009500AB">
      <w:pPr>
        <w:jc w:val="both"/>
      </w:pPr>
    </w:p>
    <w:p w14:paraId="4AFF00AE" w14:textId="77777777" w:rsidR="00C70D74" w:rsidRDefault="00501507" w:rsidP="003C3B43">
      <w:pPr>
        <w:pStyle w:val="ListParagraph"/>
        <w:numPr>
          <w:ilvl w:val="1"/>
          <w:numId w:val="1"/>
        </w:numPr>
        <w:spacing w:line="360" w:lineRule="auto"/>
        <w:jc w:val="both"/>
        <w:outlineLvl w:val="1"/>
        <w:rPr>
          <w:rFonts w:ascii="Arial" w:hAnsi="Arial" w:cs="Arial"/>
          <w:sz w:val="24"/>
          <w:szCs w:val="24"/>
          <w:lang w:val="en-IN"/>
        </w:rPr>
      </w:pPr>
      <w:bookmarkStart w:id="51" w:name="_Toc166266367"/>
      <w:r w:rsidRPr="00501507">
        <w:rPr>
          <w:rFonts w:ascii="Arial" w:hAnsi="Arial" w:cs="Arial"/>
          <w:b/>
          <w:bCs/>
          <w:sz w:val="24"/>
          <w:szCs w:val="24"/>
          <w:lang w:val="en-IN"/>
        </w:rPr>
        <w:t>ETHICAL CONSIDERATIONS</w:t>
      </w:r>
      <w:bookmarkEnd w:id="51"/>
      <w:r w:rsidRPr="00501507">
        <w:rPr>
          <w:rFonts w:ascii="Arial" w:hAnsi="Arial" w:cs="Arial"/>
          <w:sz w:val="24"/>
          <w:szCs w:val="24"/>
          <w:lang w:val="en-IN"/>
        </w:rPr>
        <w:t xml:space="preserve"> </w:t>
      </w:r>
    </w:p>
    <w:p w14:paraId="55BC0031" w14:textId="04730E78" w:rsidR="000F618F" w:rsidRPr="00C70D74" w:rsidRDefault="000F618F" w:rsidP="009500AB">
      <w:pPr>
        <w:spacing w:line="360" w:lineRule="auto"/>
        <w:jc w:val="both"/>
        <w:rPr>
          <w:rFonts w:ascii="Arial" w:hAnsi="Arial" w:cs="Arial"/>
          <w:sz w:val="24"/>
          <w:szCs w:val="24"/>
          <w:lang w:val="en-IN"/>
        </w:rPr>
      </w:pPr>
      <w:r w:rsidRPr="00C70D74">
        <w:rPr>
          <w:rFonts w:ascii="Arial" w:hAnsi="Arial" w:cs="Arial"/>
          <w:sz w:val="24"/>
          <w:szCs w:val="24"/>
          <w:lang w:val="en-IN"/>
        </w:rPr>
        <w:t xml:space="preserve">When dealing with data, ethical considerations were crucial. It was critical to ensure accuracy, confidentiality, and integrity when processing and reporting data. Misrepresentation of financial data not only misleads stakeholders but can also result in serious legal consequences. Thus, </w:t>
      </w:r>
      <w:r w:rsidR="00C70D74">
        <w:rPr>
          <w:rFonts w:ascii="Arial" w:hAnsi="Arial" w:cs="Arial"/>
          <w:sz w:val="24"/>
          <w:szCs w:val="24"/>
          <w:lang w:val="en-IN"/>
        </w:rPr>
        <w:t xml:space="preserve">the </w:t>
      </w:r>
      <w:r w:rsidRPr="00C70D74">
        <w:rPr>
          <w:rFonts w:ascii="Arial" w:hAnsi="Arial" w:cs="Arial"/>
          <w:sz w:val="24"/>
          <w:szCs w:val="24"/>
          <w:lang w:val="en-IN"/>
        </w:rPr>
        <w:t>effort was made to appropriately reflect the data, disclose any limitations in the research, and refrain from conjecture beyond what the evidence might fairly support.</w:t>
      </w:r>
      <w:r w:rsidRPr="00C70D74">
        <w:rPr>
          <w:rFonts w:ascii="Arial" w:hAnsi="Arial" w:cs="Arial"/>
          <w:sz w:val="24"/>
          <w:szCs w:val="24"/>
          <w:lang w:val="en-IN"/>
        </w:rPr>
        <w:br/>
        <w:t xml:space="preserve">Furthermore, the decision to exclude the effects of the COVID-19 pandemic from the analysis was motivated by the ethical principle of relevance; focusing on the company's inherent operational and strategic challenges provided clearer insights into the business's underlying issues without the confounding effects of an unprecedented global event. </w:t>
      </w:r>
    </w:p>
    <w:p w14:paraId="2DB8221D" w14:textId="77777777" w:rsidR="00FF671C" w:rsidRPr="00FF671C" w:rsidRDefault="00FF671C" w:rsidP="009500AB">
      <w:pPr>
        <w:pStyle w:val="ListParagraph"/>
        <w:jc w:val="both"/>
        <w:rPr>
          <w:rFonts w:ascii="Arial" w:hAnsi="Arial" w:cs="Arial"/>
          <w:sz w:val="24"/>
          <w:szCs w:val="24"/>
          <w:lang w:val="en-IN"/>
        </w:rPr>
      </w:pPr>
    </w:p>
    <w:p w14:paraId="1C3DFD1B" w14:textId="77777777" w:rsidR="00C70D74" w:rsidRPr="00501507" w:rsidRDefault="00C70D74" w:rsidP="009500AB">
      <w:pPr>
        <w:pStyle w:val="ListParagraph"/>
        <w:spacing w:line="360" w:lineRule="auto"/>
        <w:ind w:left="1440"/>
        <w:jc w:val="both"/>
        <w:rPr>
          <w:rFonts w:ascii="Arial" w:hAnsi="Arial" w:cs="Arial"/>
          <w:sz w:val="24"/>
          <w:szCs w:val="24"/>
          <w:lang w:val="en-IN"/>
        </w:rPr>
      </w:pPr>
    </w:p>
    <w:p w14:paraId="5804E0B1" w14:textId="3D60D67F" w:rsidR="00591FA6" w:rsidRPr="00FF671C" w:rsidRDefault="00FF671C" w:rsidP="003C3B43">
      <w:pPr>
        <w:pStyle w:val="ListParagraph"/>
        <w:numPr>
          <w:ilvl w:val="0"/>
          <w:numId w:val="1"/>
        </w:numPr>
        <w:spacing w:after="0" w:line="360" w:lineRule="auto"/>
        <w:jc w:val="both"/>
        <w:outlineLvl w:val="1"/>
        <w:rPr>
          <w:rFonts w:ascii="Arial" w:eastAsia="Times New Roman" w:hAnsi="Arial" w:cs="Arial"/>
          <w:b/>
          <w:bCs/>
          <w:kern w:val="0"/>
          <w:sz w:val="24"/>
          <w:szCs w:val="24"/>
          <w:lang w:val="en-IN" w:eastAsia="en-IN"/>
          <w14:ligatures w14:val="none"/>
        </w:rPr>
      </w:pPr>
      <w:bookmarkStart w:id="52" w:name="_Toc166266368"/>
      <w:r w:rsidRPr="00FF671C">
        <w:rPr>
          <w:rFonts w:ascii="Arial" w:eastAsia="Times New Roman" w:hAnsi="Arial" w:cs="Arial"/>
          <w:b/>
          <w:bCs/>
          <w:kern w:val="0"/>
          <w:sz w:val="24"/>
          <w:szCs w:val="24"/>
          <w:lang w:val="en-IN" w:eastAsia="en-IN"/>
          <w14:ligatures w14:val="none"/>
        </w:rPr>
        <w:t>CONCLUSION</w:t>
      </w:r>
      <w:r w:rsidR="00591FA6" w:rsidRPr="00FF671C">
        <w:rPr>
          <w:rFonts w:ascii="Arial" w:eastAsia="Times New Roman" w:hAnsi="Arial" w:cs="Arial"/>
          <w:b/>
          <w:bCs/>
          <w:kern w:val="0"/>
          <w:sz w:val="24"/>
          <w:szCs w:val="24"/>
          <w:lang w:val="en-IN" w:eastAsia="en-IN"/>
          <w14:ligatures w14:val="none"/>
        </w:rPr>
        <w:t>:</w:t>
      </w:r>
      <w:bookmarkEnd w:id="52"/>
    </w:p>
    <w:p w14:paraId="53B04F84" w14:textId="14E65D4B" w:rsidR="00591FA6" w:rsidRDefault="00591FA6" w:rsidP="009500AB">
      <w:pPr>
        <w:spacing w:after="0" w:line="360" w:lineRule="auto"/>
        <w:jc w:val="both"/>
        <w:rPr>
          <w:rFonts w:ascii="Times New Roman" w:eastAsia="Times New Roman" w:hAnsi="Times New Roman" w:cs="Times New Roman"/>
          <w:kern w:val="0"/>
          <w:sz w:val="24"/>
          <w:szCs w:val="24"/>
          <w:lang w:val="en-IN" w:eastAsia="en-IN"/>
          <w14:ligatures w14:val="none"/>
        </w:rPr>
      </w:pPr>
      <w:r w:rsidRPr="00591FA6">
        <w:rPr>
          <w:rFonts w:ascii="Arial" w:eastAsia="Times New Roman" w:hAnsi="Arial" w:cs="Arial"/>
          <w:kern w:val="0"/>
          <w:sz w:val="24"/>
          <w:szCs w:val="24"/>
          <w:lang w:val="en-IN" w:eastAsia="en-IN"/>
          <w14:ligatures w14:val="none"/>
        </w:rPr>
        <w:br/>
        <w:t xml:space="preserve">The careful investigation of Flybe's financial data revealed a story that emphasizes the necessity of flexible methods and solid financial planning. </w:t>
      </w:r>
      <w:r w:rsidRPr="00591FA6">
        <w:rPr>
          <w:rFonts w:ascii="Arial" w:eastAsia="Times New Roman" w:hAnsi="Arial" w:cs="Arial"/>
          <w:kern w:val="0"/>
          <w:sz w:val="24"/>
          <w:szCs w:val="24"/>
          <w:lang w:val="en-IN" w:eastAsia="en-IN"/>
          <w14:ligatures w14:val="none"/>
        </w:rPr>
        <w:lastRenderedPageBreak/>
        <w:t>Through this portfolio, I illustrated how rigorous, data-driven analysis can yield actionable insights that not only explain a business failure but also pave the way for informed decision-making in similar situations. This method not only improved the ability to anticipate and reduce risks, but it also underlined the importance of continual monitoring and adjustment of business strategies in response</w:t>
      </w:r>
      <w:r w:rsidR="00823AD4">
        <w:rPr>
          <w:rFonts w:ascii="Arial" w:eastAsia="Times New Roman" w:hAnsi="Arial" w:cs="Arial"/>
          <w:kern w:val="0"/>
          <w:sz w:val="24"/>
          <w:szCs w:val="24"/>
          <w:lang w:val="en-IN" w:eastAsia="en-IN"/>
          <w14:ligatures w14:val="none"/>
        </w:rPr>
        <w:t xml:space="preserve"> t</w:t>
      </w:r>
      <w:r w:rsidRPr="00591FA6">
        <w:rPr>
          <w:rFonts w:ascii="Arial" w:eastAsia="Times New Roman" w:hAnsi="Arial" w:cs="Arial"/>
          <w:kern w:val="0"/>
          <w:sz w:val="24"/>
          <w:szCs w:val="24"/>
          <w:lang w:val="en-IN" w:eastAsia="en-IN"/>
          <w14:ligatures w14:val="none"/>
        </w:rPr>
        <w:t>o</w:t>
      </w:r>
      <w:r w:rsidR="00FA30B3">
        <w:rPr>
          <w:rFonts w:ascii="Arial" w:eastAsia="Times New Roman" w:hAnsi="Arial" w:cs="Arial"/>
          <w:kern w:val="0"/>
          <w:sz w:val="24"/>
          <w:szCs w:val="24"/>
          <w:lang w:val="en-IN" w:eastAsia="en-IN"/>
          <w14:ligatures w14:val="none"/>
        </w:rPr>
        <w:t xml:space="preserve"> </w:t>
      </w:r>
      <w:r w:rsidRPr="00591FA6">
        <w:rPr>
          <w:rFonts w:ascii="Arial" w:eastAsia="Times New Roman" w:hAnsi="Arial" w:cs="Arial"/>
          <w:kern w:val="0"/>
          <w:sz w:val="24"/>
          <w:szCs w:val="24"/>
          <w:lang w:val="en-IN" w:eastAsia="en-IN"/>
          <w14:ligatures w14:val="none"/>
        </w:rPr>
        <w:t>financial health indicators.</w:t>
      </w:r>
      <w:r w:rsidR="00FA30B3">
        <w:rPr>
          <w:rFonts w:ascii="Arial" w:eastAsia="Times New Roman" w:hAnsi="Arial" w:cs="Arial"/>
          <w:kern w:val="0"/>
          <w:sz w:val="24"/>
          <w:szCs w:val="24"/>
          <w:lang w:val="en-IN" w:eastAsia="en-IN"/>
          <w14:ligatures w14:val="none"/>
        </w:rPr>
        <w:t xml:space="preserve"> </w:t>
      </w:r>
      <w:r w:rsidRPr="00591FA6">
        <w:rPr>
          <w:rFonts w:ascii="Arial" w:eastAsia="Times New Roman" w:hAnsi="Arial" w:cs="Arial"/>
          <w:kern w:val="0"/>
          <w:sz w:val="24"/>
          <w:szCs w:val="24"/>
          <w:lang w:val="en-IN" w:eastAsia="en-IN"/>
          <w14:ligatures w14:val="none"/>
        </w:rPr>
        <w:t>This portfolio demonstrates the value of analytics in strategic business management, as well as the ethical responsibilities that come with handling and interpreting company data</w:t>
      </w:r>
      <w:r w:rsidRPr="00591FA6">
        <w:rPr>
          <w:rFonts w:ascii="Times New Roman" w:eastAsia="Times New Roman" w:hAnsi="Times New Roman" w:cs="Times New Roman"/>
          <w:kern w:val="0"/>
          <w:sz w:val="24"/>
          <w:szCs w:val="24"/>
          <w:lang w:val="en-IN" w:eastAsia="en-IN"/>
          <w14:ligatures w14:val="none"/>
        </w:rPr>
        <w:t xml:space="preserve">. </w:t>
      </w:r>
    </w:p>
    <w:p w14:paraId="23B11847" w14:textId="77777777" w:rsidR="00B63B25" w:rsidRPr="00591FA6" w:rsidRDefault="00B63B25" w:rsidP="009500AB">
      <w:pPr>
        <w:spacing w:after="0" w:line="360" w:lineRule="auto"/>
        <w:jc w:val="both"/>
        <w:rPr>
          <w:rFonts w:ascii="Times New Roman" w:eastAsia="Times New Roman" w:hAnsi="Times New Roman" w:cs="Times New Roman"/>
          <w:kern w:val="0"/>
          <w:sz w:val="24"/>
          <w:szCs w:val="24"/>
          <w:lang w:val="en-IN" w:eastAsia="en-IN"/>
          <w14:ligatures w14:val="none"/>
        </w:rPr>
      </w:pPr>
    </w:p>
    <w:p w14:paraId="67A511B2" w14:textId="49F77B88" w:rsidR="00D26CE7" w:rsidRPr="00B63B25" w:rsidRDefault="00B63B25" w:rsidP="003C3B43">
      <w:pPr>
        <w:pStyle w:val="ListParagraph"/>
        <w:numPr>
          <w:ilvl w:val="1"/>
          <w:numId w:val="1"/>
        </w:numPr>
        <w:spacing w:line="360" w:lineRule="auto"/>
        <w:jc w:val="both"/>
        <w:outlineLvl w:val="1"/>
        <w:rPr>
          <w:rFonts w:ascii="Arial" w:hAnsi="Arial" w:cs="Arial"/>
          <w:b/>
          <w:bCs/>
          <w:sz w:val="24"/>
          <w:szCs w:val="24"/>
        </w:rPr>
      </w:pPr>
      <w:bookmarkStart w:id="53" w:name="_Toc166266369"/>
      <w:r w:rsidRPr="00B63B25">
        <w:rPr>
          <w:rFonts w:ascii="Arial" w:hAnsi="Arial" w:cs="Arial"/>
          <w:b/>
          <w:bCs/>
          <w:sz w:val="24"/>
          <w:szCs w:val="24"/>
        </w:rPr>
        <w:t>KEY FINDINGS</w:t>
      </w:r>
      <w:bookmarkEnd w:id="53"/>
    </w:p>
    <w:p w14:paraId="084D5752" w14:textId="7EEABE26" w:rsidR="00B63B25" w:rsidRPr="00B63B25" w:rsidRDefault="00FA30B3" w:rsidP="00FA30B3">
      <w:pPr>
        <w:pStyle w:val="ListParagraph"/>
        <w:numPr>
          <w:ilvl w:val="0"/>
          <w:numId w:val="13"/>
        </w:numPr>
        <w:spacing w:line="360" w:lineRule="auto"/>
        <w:rPr>
          <w:lang w:val="en-IN"/>
        </w:rPr>
      </w:pPr>
      <w:r>
        <w:rPr>
          <w:rFonts w:ascii="Arial" w:hAnsi="Arial" w:cs="Arial"/>
          <w:sz w:val="24"/>
          <w:szCs w:val="24"/>
          <w:lang w:val="en-IN"/>
        </w:rPr>
        <w:t>T</w:t>
      </w:r>
      <w:r w:rsidR="00044BEF" w:rsidRPr="00B63B25">
        <w:rPr>
          <w:rFonts w:ascii="Arial" w:hAnsi="Arial" w:cs="Arial"/>
          <w:sz w:val="24"/>
          <w:szCs w:val="24"/>
          <w:lang w:val="en-IN"/>
        </w:rPr>
        <w:t>he company faced tremendous financial difficulty, as demonstrated by the net income graph, which shows periods of loss interspersed with brief recoveries.</w:t>
      </w:r>
    </w:p>
    <w:p w14:paraId="2AB6C593" w14:textId="0C1B453F" w:rsidR="00B63B25" w:rsidRPr="00B63B25" w:rsidRDefault="00044BEF" w:rsidP="009500AB">
      <w:pPr>
        <w:pStyle w:val="ListParagraph"/>
        <w:numPr>
          <w:ilvl w:val="0"/>
          <w:numId w:val="13"/>
        </w:numPr>
        <w:spacing w:line="360" w:lineRule="auto"/>
        <w:jc w:val="both"/>
        <w:rPr>
          <w:lang w:val="en-IN"/>
        </w:rPr>
      </w:pPr>
      <w:r w:rsidRPr="00B63B25">
        <w:rPr>
          <w:rFonts w:ascii="Arial" w:hAnsi="Arial" w:cs="Arial"/>
          <w:sz w:val="24"/>
          <w:szCs w:val="24"/>
          <w:lang w:val="en-IN"/>
        </w:rPr>
        <w:t xml:space="preserve"> </w:t>
      </w:r>
      <w:r w:rsidR="00B04635">
        <w:rPr>
          <w:rFonts w:ascii="Arial" w:hAnsi="Arial" w:cs="Arial"/>
          <w:sz w:val="24"/>
          <w:szCs w:val="24"/>
          <w:lang w:val="en-IN"/>
        </w:rPr>
        <w:t>A comparison</w:t>
      </w:r>
      <w:r w:rsidRPr="00B63B25">
        <w:rPr>
          <w:rFonts w:ascii="Arial" w:hAnsi="Arial" w:cs="Arial"/>
          <w:sz w:val="24"/>
          <w:szCs w:val="24"/>
          <w:lang w:val="en-IN"/>
        </w:rPr>
        <w:t xml:space="preserve"> of national and international turnover revealed a reliance on the home market and stagnation in global activities.</w:t>
      </w:r>
    </w:p>
    <w:p w14:paraId="3085BF3C" w14:textId="77777777" w:rsidR="00FA30B3" w:rsidRDefault="00044BEF" w:rsidP="00FA30B3">
      <w:pPr>
        <w:pStyle w:val="ListParagraph"/>
        <w:numPr>
          <w:ilvl w:val="0"/>
          <w:numId w:val="13"/>
        </w:numPr>
        <w:spacing w:line="360" w:lineRule="auto"/>
        <w:jc w:val="both"/>
        <w:rPr>
          <w:lang w:val="en-IN"/>
        </w:rPr>
      </w:pPr>
      <w:r w:rsidRPr="00B63B25">
        <w:rPr>
          <w:rFonts w:ascii="Arial" w:hAnsi="Arial" w:cs="Arial"/>
          <w:sz w:val="24"/>
          <w:szCs w:val="24"/>
          <w:lang w:val="en-IN"/>
        </w:rPr>
        <w:t xml:space="preserve"> </w:t>
      </w:r>
      <w:r w:rsidR="00384294">
        <w:rPr>
          <w:rFonts w:ascii="Arial" w:hAnsi="Arial" w:cs="Arial"/>
          <w:sz w:val="24"/>
          <w:szCs w:val="24"/>
          <w:lang w:val="en-IN"/>
        </w:rPr>
        <w:t>F</w:t>
      </w:r>
      <w:r w:rsidRPr="00B63B25">
        <w:rPr>
          <w:rFonts w:ascii="Arial" w:hAnsi="Arial" w:cs="Arial"/>
          <w:sz w:val="24"/>
          <w:szCs w:val="24"/>
          <w:lang w:val="en-IN"/>
        </w:rPr>
        <w:t>inancial ratio patterns, such as dropping asset values and profitability margins, revealed operational inefficiencies and strategic errors that led to Flybe's eventual bankruptcy</w:t>
      </w:r>
      <w:r w:rsidRPr="00B63B25">
        <w:rPr>
          <w:lang w:val="en-IN"/>
        </w:rPr>
        <w:t>.</w:t>
      </w:r>
    </w:p>
    <w:p w14:paraId="1D7D6876" w14:textId="1536D715" w:rsidR="00030F7C" w:rsidRPr="001E33A8" w:rsidRDefault="00030F7C" w:rsidP="001E33A8">
      <w:pPr>
        <w:pStyle w:val="ListParagraph"/>
        <w:numPr>
          <w:ilvl w:val="0"/>
          <w:numId w:val="13"/>
        </w:numPr>
        <w:spacing w:line="360" w:lineRule="auto"/>
        <w:jc w:val="both"/>
        <w:rPr>
          <w:lang w:val="en-IN"/>
        </w:rPr>
      </w:pPr>
      <w:r w:rsidRPr="001E33A8">
        <w:rPr>
          <w:rFonts w:ascii="Arial" w:eastAsia="Times New Roman" w:hAnsi="Arial" w:cs="Arial"/>
          <w:kern w:val="0"/>
          <w:sz w:val="24"/>
          <w:szCs w:val="24"/>
          <w:lang w:val="en-IN" w:eastAsia="en-IN"/>
          <w14:ligatures w14:val="none"/>
        </w:rPr>
        <w:t>The data-driven approach demonstrated efficacy in identifying the fundamental elements that contributed to Flybe's downfall. Through the utilization of analytical and visual aids</w:t>
      </w:r>
      <w:r w:rsidR="002332F5">
        <w:rPr>
          <w:rFonts w:ascii="Arial" w:eastAsia="Times New Roman" w:hAnsi="Arial" w:cs="Arial"/>
          <w:kern w:val="0"/>
          <w:sz w:val="24"/>
          <w:szCs w:val="24"/>
          <w:lang w:val="en-IN" w:eastAsia="en-IN"/>
          <w14:ligatures w14:val="none"/>
        </w:rPr>
        <w:t>,</w:t>
      </w:r>
      <w:r w:rsidR="0032545A">
        <w:rPr>
          <w:rFonts w:ascii="Arial" w:eastAsia="Times New Roman" w:hAnsi="Arial" w:cs="Arial"/>
          <w:kern w:val="0"/>
          <w:sz w:val="24"/>
          <w:szCs w:val="24"/>
          <w:lang w:val="en-IN" w:eastAsia="en-IN"/>
          <w14:ligatures w14:val="none"/>
        </w:rPr>
        <w:t xml:space="preserve"> </w:t>
      </w:r>
      <w:r w:rsidRPr="001E33A8">
        <w:rPr>
          <w:rFonts w:ascii="Arial" w:eastAsia="Times New Roman" w:hAnsi="Arial" w:cs="Arial"/>
          <w:kern w:val="0"/>
          <w:sz w:val="24"/>
          <w:szCs w:val="24"/>
          <w:lang w:val="en-IN" w:eastAsia="en-IN"/>
          <w14:ligatures w14:val="none"/>
        </w:rPr>
        <w:t>the evaluation yielded a thorough comprehension of Flybe's operational and financial difficulties over an extended period.</w:t>
      </w:r>
    </w:p>
    <w:p w14:paraId="04F524B9" w14:textId="77777777" w:rsidR="000600B5" w:rsidRPr="00030F7C" w:rsidRDefault="000600B5" w:rsidP="009500AB">
      <w:pPr>
        <w:spacing w:after="0" w:line="360" w:lineRule="auto"/>
        <w:ind w:left="1080"/>
        <w:jc w:val="both"/>
        <w:rPr>
          <w:rFonts w:ascii="Arial" w:eastAsia="Times New Roman" w:hAnsi="Arial" w:cs="Arial"/>
          <w:kern w:val="0"/>
          <w:sz w:val="24"/>
          <w:szCs w:val="24"/>
          <w:lang w:val="en-IN" w:eastAsia="en-IN"/>
          <w14:ligatures w14:val="none"/>
        </w:rPr>
      </w:pPr>
    </w:p>
    <w:p w14:paraId="7B8A06D0" w14:textId="0A509F25" w:rsidR="00D26CE7" w:rsidRPr="003C3B43" w:rsidRDefault="000600B5" w:rsidP="003C3B43">
      <w:pPr>
        <w:pStyle w:val="ListParagraph"/>
        <w:numPr>
          <w:ilvl w:val="1"/>
          <w:numId w:val="1"/>
        </w:numPr>
        <w:spacing w:line="360" w:lineRule="auto"/>
        <w:jc w:val="both"/>
        <w:outlineLvl w:val="1"/>
        <w:rPr>
          <w:rFonts w:ascii="Arial" w:hAnsi="Arial" w:cs="Arial"/>
          <w:b/>
          <w:bCs/>
          <w:sz w:val="24"/>
          <w:szCs w:val="24"/>
        </w:rPr>
      </w:pPr>
      <w:r w:rsidRPr="003C3B43">
        <w:rPr>
          <w:rFonts w:ascii="Arial" w:hAnsi="Arial" w:cs="Arial"/>
          <w:b/>
          <w:bCs/>
          <w:sz w:val="24"/>
          <w:szCs w:val="24"/>
        </w:rPr>
        <w:t xml:space="preserve">     </w:t>
      </w:r>
      <w:bookmarkStart w:id="54" w:name="_Toc166266370"/>
      <w:r w:rsidRPr="003C3B43">
        <w:rPr>
          <w:rFonts w:ascii="Arial" w:hAnsi="Arial" w:cs="Arial"/>
          <w:b/>
          <w:bCs/>
          <w:sz w:val="24"/>
          <w:szCs w:val="24"/>
        </w:rPr>
        <w:t>RECOMMENDATION</w:t>
      </w:r>
      <w:bookmarkEnd w:id="54"/>
    </w:p>
    <w:p w14:paraId="71AACC25" w14:textId="77777777" w:rsidR="000600B5" w:rsidRPr="000600B5" w:rsidRDefault="000600B5" w:rsidP="009500AB">
      <w:pPr>
        <w:pStyle w:val="ListParagraph"/>
        <w:numPr>
          <w:ilvl w:val="0"/>
          <w:numId w:val="15"/>
        </w:numPr>
        <w:spacing w:line="360" w:lineRule="auto"/>
        <w:jc w:val="both"/>
        <w:rPr>
          <w:lang w:val="en-IN"/>
        </w:rPr>
      </w:pPr>
      <w:r w:rsidRPr="000600B5">
        <w:rPr>
          <w:rFonts w:ascii="Arial" w:hAnsi="Arial" w:cs="Arial"/>
          <w:sz w:val="24"/>
          <w:szCs w:val="24"/>
          <w:lang w:val="en-IN"/>
        </w:rPr>
        <w:t>Diversifying market presence to lessen reliance on one        market.</w:t>
      </w:r>
    </w:p>
    <w:p w14:paraId="7C404F09" w14:textId="77777777" w:rsidR="000600B5" w:rsidRPr="000600B5" w:rsidRDefault="000600B5" w:rsidP="009500AB">
      <w:pPr>
        <w:pStyle w:val="ListParagraph"/>
        <w:numPr>
          <w:ilvl w:val="0"/>
          <w:numId w:val="15"/>
        </w:numPr>
        <w:spacing w:line="360" w:lineRule="auto"/>
        <w:jc w:val="both"/>
        <w:rPr>
          <w:lang w:val="en-IN"/>
        </w:rPr>
      </w:pPr>
      <w:r w:rsidRPr="000600B5">
        <w:rPr>
          <w:rFonts w:ascii="Arial" w:hAnsi="Arial" w:cs="Arial"/>
          <w:sz w:val="24"/>
          <w:szCs w:val="24"/>
          <w:lang w:val="en-IN"/>
        </w:rPr>
        <w:t>Implementing thorough financial and operational efficiency monitoring to detect and fix problems early on.</w:t>
      </w:r>
    </w:p>
    <w:p w14:paraId="1CF2C868" w14:textId="1944B77F" w:rsidR="000600B5" w:rsidRPr="000600B5" w:rsidRDefault="000600B5" w:rsidP="009500AB">
      <w:pPr>
        <w:pStyle w:val="ListParagraph"/>
        <w:numPr>
          <w:ilvl w:val="0"/>
          <w:numId w:val="15"/>
        </w:numPr>
        <w:spacing w:line="360" w:lineRule="auto"/>
        <w:jc w:val="both"/>
        <w:rPr>
          <w:lang w:val="en-IN"/>
        </w:rPr>
      </w:pPr>
      <w:r w:rsidRPr="000600B5">
        <w:rPr>
          <w:rFonts w:ascii="Arial" w:hAnsi="Arial" w:cs="Arial"/>
          <w:sz w:val="24"/>
          <w:szCs w:val="24"/>
          <w:lang w:val="en-IN"/>
        </w:rPr>
        <w:t>Proactively adapting corporate strategy to changing market conditions and internal performance metrics, ensuring sustainability and development</w:t>
      </w:r>
      <w:r w:rsidRPr="000600B5">
        <w:rPr>
          <w:lang w:val="en-IN"/>
        </w:rPr>
        <w:t>.</w:t>
      </w:r>
    </w:p>
    <w:p w14:paraId="67C38D31" w14:textId="28FEFD79" w:rsidR="00D26CE7" w:rsidRDefault="00D26CE7" w:rsidP="009500AB">
      <w:pPr>
        <w:jc w:val="both"/>
      </w:pPr>
    </w:p>
    <w:p w14:paraId="0558230C" w14:textId="77777777" w:rsidR="00BC5561" w:rsidRDefault="00BC5561" w:rsidP="009500AB">
      <w:pPr>
        <w:jc w:val="both"/>
      </w:pPr>
    </w:p>
    <w:p w14:paraId="111574F5" w14:textId="607CAA64" w:rsidR="007903D6" w:rsidRDefault="00FD3002" w:rsidP="00533DC5">
      <w:pPr>
        <w:pStyle w:val="ListParagraph"/>
        <w:numPr>
          <w:ilvl w:val="0"/>
          <w:numId w:val="17"/>
        </w:numPr>
        <w:jc w:val="both"/>
        <w:outlineLvl w:val="0"/>
        <w:rPr>
          <w:rFonts w:ascii="Arial" w:hAnsi="Arial" w:cs="Arial"/>
          <w:b/>
          <w:bCs/>
          <w:sz w:val="24"/>
          <w:szCs w:val="24"/>
          <w:lang w:val="en-US"/>
        </w:rPr>
      </w:pPr>
      <w:bookmarkStart w:id="55" w:name="_Toc166265736"/>
      <w:bookmarkStart w:id="56" w:name="_Toc166266144"/>
      <w:bookmarkStart w:id="57" w:name="_Toc166266371"/>
      <w:r w:rsidRPr="006A0748">
        <w:rPr>
          <w:rFonts w:ascii="Arial" w:hAnsi="Arial" w:cs="Arial"/>
          <w:b/>
          <w:bCs/>
          <w:sz w:val="24"/>
          <w:szCs w:val="24"/>
          <w:lang w:val="en-US"/>
        </w:rPr>
        <w:t>SUPPORTING MAT</w:t>
      </w:r>
      <w:r w:rsidR="006A0748" w:rsidRPr="006A0748">
        <w:rPr>
          <w:rFonts w:ascii="Arial" w:hAnsi="Arial" w:cs="Arial"/>
          <w:b/>
          <w:bCs/>
          <w:sz w:val="24"/>
          <w:szCs w:val="24"/>
          <w:lang w:val="en-US"/>
        </w:rPr>
        <w:t>ERIAL</w:t>
      </w:r>
      <w:bookmarkEnd w:id="55"/>
      <w:bookmarkEnd w:id="56"/>
      <w:bookmarkEnd w:id="57"/>
      <w:r w:rsidR="007903D6" w:rsidRPr="006A0748">
        <w:rPr>
          <w:rFonts w:ascii="Arial" w:hAnsi="Arial" w:cs="Arial"/>
          <w:b/>
          <w:bCs/>
          <w:sz w:val="24"/>
          <w:szCs w:val="24"/>
          <w:lang w:val="en-US"/>
        </w:rPr>
        <w:t xml:space="preserve"> </w:t>
      </w:r>
    </w:p>
    <w:p w14:paraId="3B652C9B" w14:textId="77777777" w:rsidR="006A0748" w:rsidRDefault="006A0748" w:rsidP="006A0748">
      <w:pPr>
        <w:pStyle w:val="ListParagraph"/>
        <w:jc w:val="both"/>
        <w:rPr>
          <w:rFonts w:ascii="Arial" w:hAnsi="Arial" w:cs="Arial"/>
          <w:b/>
          <w:bCs/>
          <w:sz w:val="24"/>
          <w:szCs w:val="24"/>
          <w:lang w:val="en-US"/>
        </w:rPr>
      </w:pPr>
    </w:p>
    <w:p w14:paraId="7B44E5A3" w14:textId="77777777" w:rsidR="006A0748" w:rsidRDefault="006A0748" w:rsidP="006A0748">
      <w:pPr>
        <w:pStyle w:val="ListParagraph"/>
        <w:jc w:val="both"/>
        <w:rPr>
          <w:rFonts w:ascii="Arial" w:hAnsi="Arial" w:cs="Arial"/>
          <w:b/>
          <w:bCs/>
          <w:sz w:val="24"/>
          <w:szCs w:val="24"/>
          <w:lang w:val="en-US"/>
        </w:rPr>
      </w:pPr>
    </w:p>
    <w:p w14:paraId="386C74AC" w14:textId="0ACC30B6" w:rsidR="00B06908" w:rsidRDefault="005F2B6F" w:rsidP="005F2B6F">
      <w:pPr>
        <w:pStyle w:val="ListParagraph"/>
        <w:spacing w:line="360" w:lineRule="auto"/>
        <w:rPr>
          <w:rFonts w:ascii="Arial" w:hAnsi="Arial" w:cs="Arial"/>
          <w:sz w:val="24"/>
          <w:szCs w:val="24"/>
          <w:lang w:val="en-IN"/>
        </w:rPr>
      </w:pPr>
      <w:r w:rsidRPr="005F2B6F">
        <w:rPr>
          <w:rFonts w:ascii="Arial" w:hAnsi="Arial" w:cs="Arial"/>
          <w:sz w:val="24"/>
          <w:szCs w:val="24"/>
          <w:lang w:val="en-IN"/>
        </w:rPr>
        <w:t xml:space="preserve">In the context of your thorough portfolio </w:t>
      </w:r>
      <w:r w:rsidR="005C311A">
        <w:rPr>
          <w:rFonts w:ascii="Arial" w:hAnsi="Arial" w:cs="Arial"/>
          <w:sz w:val="24"/>
          <w:szCs w:val="24"/>
          <w:lang w:val="en-IN"/>
        </w:rPr>
        <w:t>of</w:t>
      </w:r>
      <w:r w:rsidRPr="005F2B6F">
        <w:rPr>
          <w:rFonts w:ascii="Arial" w:hAnsi="Arial" w:cs="Arial"/>
          <w:sz w:val="24"/>
          <w:szCs w:val="24"/>
          <w:lang w:val="en-IN"/>
        </w:rPr>
        <w:t xml:space="preserve"> Flybe Group Ltd's financial research, incorporating supporting information is critical for substantiating your conclusions and giving your audience full proof. The following are the sorts of supporting resources you should discuss and include: </w:t>
      </w:r>
      <w:r w:rsidRPr="005F2B6F">
        <w:rPr>
          <w:rFonts w:ascii="Arial" w:hAnsi="Arial" w:cs="Arial"/>
          <w:sz w:val="24"/>
          <w:szCs w:val="24"/>
          <w:lang w:val="en-IN"/>
        </w:rPr>
        <w:br/>
      </w:r>
      <w:r w:rsidRPr="005F2B6F">
        <w:rPr>
          <w:rFonts w:ascii="Arial" w:hAnsi="Arial" w:cs="Arial"/>
          <w:sz w:val="24"/>
          <w:szCs w:val="24"/>
          <w:lang w:val="en-IN"/>
        </w:rPr>
        <w:br/>
        <w:t>1. Financial Statements: Include</w:t>
      </w:r>
      <w:r w:rsidR="002B04D8">
        <w:rPr>
          <w:rFonts w:ascii="Arial" w:hAnsi="Arial" w:cs="Arial"/>
          <w:sz w:val="24"/>
          <w:szCs w:val="24"/>
          <w:lang w:val="en-IN"/>
        </w:rPr>
        <w:t>d</w:t>
      </w:r>
      <w:r w:rsidRPr="005F2B6F">
        <w:rPr>
          <w:rFonts w:ascii="Arial" w:hAnsi="Arial" w:cs="Arial"/>
          <w:sz w:val="24"/>
          <w:szCs w:val="24"/>
          <w:lang w:val="en-IN"/>
        </w:rPr>
        <w:t xml:space="preserve"> comprehensive balance sheets, income statements, and cash flow statements f</w:t>
      </w:r>
      <w:r w:rsidR="002B04D8">
        <w:rPr>
          <w:rFonts w:ascii="Arial" w:hAnsi="Arial" w:cs="Arial"/>
          <w:sz w:val="24"/>
          <w:szCs w:val="24"/>
          <w:lang w:val="en-IN"/>
        </w:rPr>
        <w:t>rom</w:t>
      </w:r>
      <w:r w:rsidRPr="005F2B6F">
        <w:rPr>
          <w:rFonts w:ascii="Arial" w:hAnsi="Arial" w:cs="Arial"/>
          <w:sz w:val="24"/>
          <w:szCs w:val="24"/>
          <w:lang w:val="en-IN"/>
        </w:rPr>
        <w:t xml:space="preserve"> years under consideration. This establishes a fundamental picture of the company's financial health throughout time.</w:t>
      </w:r>
      <w:r w:rsidR="00784BC7">
        <w:rPr>
          <w:rFonts w:ascii="Arial" w:hAnsi="Arial" w:cs="Arial"/>
          <w:sz w:val="24"/>
          <w:szCs w:val="24"/>
          <w:lang w:val="en-IN"/>
        </w:rPr>
        <w:t xml:space="preserve"> </w:t>
      </w:r>
      <w:r w:rsidR="002B04D8">
        <w:rPr>
          <w:rFonts w:ascii="Arial" w:hAnsi="Arial" w:cs="Arial"/>
          <w:sz w:val="24"/>
          <w:szCs w:val="24"/>
          <w:lang w:val="en-IN"/>
        </w:rPr>
        <w:t xml:space="preserve">(attached in </w:t>
      </w:r>
      <w:r w:rsidR="00784BC7">
        <w:rPr>
          <w:rFonts w:ascii="Arial" w:hAnsi="Arial" w:cs="Arial"/>
          <w:sz w:val="24"/>
          <w:szCs w:val="24"/>
          <w:lang w:val="en-IN"/>
        </w:rPr>
        <w:t xml:space="preserve">Excel file in </w:t>
      </w:r>
      <w:r w:rsidR="005C311A">
        <w:rPr>
          <w:rFonts w:ascii="Arial" w:hAnsi="Arial" w:cs="Arial"/>
          <w:sz w:val="24"/>
          <w:szCs w:val="24"/>
          <w:lang w:val="en-IN"/>
        </w:rPr>
        <w:t>Dropbox</w:t>
      </w:r>
      <w:r w:rsidR="00784BC7">
        <w:rPr>
          <w:rFonts w:ascii="Arial" w:hAnsi="Arial" w:cs="Arial"/>
          <w:sz w:val="24"/>
          <w:szCs w:val="24"/>
          <w:lang w:val="en-IN"/>
        </w:rPr>
        <w:t>)</w:t>
      </w:r>
      <w:r w:rsidRPr="005F2B6F">
        <w:rPr>
          <w:rFonts w:ascii="Arial" w:hAnsi="Arial" w:cs="Arial"/>
          <w:sz w:val="24"/>
          <w:szCs w:val="24"/>
          <w:lang w:val="en-IN"/>
        </w:rPr>
        <w:br/>
      </w:r>
      <w:r w:rsidR="00F933AC" w:rsidRPr="00F933AC">
        <w:rPr>
          <w:rFonts w:ascii="Arial" w:hAnsi="Arial" w:cs="Arial"/>
          <w:noProof/>
          <w:sz w:val="24"/>
          <w:szCs w:val="24"/>
          <w:lang w:val="en-IN"/>
        </w:rPr>
        <w:drawing>
          <wp:inline distT="0" distB="0" distL="0" distR="0" wp14:anchorId="56757462" wp14:editId="77678CB1">
            <wp:extent cx="4884420" cy="2726690"/>
            <wp:effectExtent l="0" t="0" r="0" b="0"/>
            <wp:docPr id="552738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38466" name="Picture 1" descr="A screenshot of a computer&#10;&#10;Description automatically generated"/>
                    <pic:cNvPicPr/>
                  </pic:nvPicPr>
                  <pic:blipFill>
                    <a:blip r:embed="rId18"/>
                    <a:stretch>
                      <a:fillRect/>
                    </a:stretch>
                  </pic:blipFill>
                  <pic:spPr>
                    <a:xfrm>
                      <a:off x="0" y="0"/>
                      <a:ext cx="4884420" cy="2726690"/>
                    </a:xfrm>
                    <a:prstGeom prst="rect">
                      <a:avLst/>
                    </a:prstGeom>
                  </pic:spPr>
                </pic:pic>
              </a:graphicData>
            </a:graphic>
          </wp:inline>
        </w:drawing>
      </w:r>
      <w:r w:rsidRPr="005F2B6F">
        <w:rPr>
          <w:rFonts w:ascii="Arial" w:hAnsi="Arial" w:cs="Arial"/>
          <w:sz w:val="24"/>
          <w:szCs w:val="24"/>
          <w:lang w:val="en-IN"/>
        </w:rPr>
        <w:br/>
      </w:r>
      <w:r w:rsidRPr="005F2B6F">
        <w:rPr>
          <w:rFonts w:ascii="Arial" w:hAnsi="Arial" w:cs="Arial"/>
          <w:sz w:val="24"/>
          <w:szCs w:val="24"/>
          <w:lang w:val="en-IN"/>
        </w:rPr>
        <w:br/>
        <w:t xml:space="preserve">2. Ratio Calculations: </w:t>
      </w:r>
      <w:r w:rsidR="00E54B28">
        <w:rPr>
          <w:rFonts w:ascii="Arial" w:hAnsi="Arial" w:cs="Arial"/>
          <w:sz w:val="24"/>
          <w:szCs w:val="24"/>
          <w:lang w:val="en-IN"/>
        </w:rPr>
        <w:t>Record</w:t>
      </w:r>
      <w:r w:rsidRPr="005F2B6F">
        <w:rPr>
          <w:rFonts w:ascii="Arial" w:hAnsi="Arial" w:cs="Arial"/>
          <w:sz w:val="24"/>
          <w:szCs w:val="24"/>
          <w:lang w:val="en-IN"/>
        </w:rPr>
        <w:t xml:space="preserve"> the calculations for all financial ratios utilized in your analysis. This can include formulae and actual computed figures for each year, which helps to validate the trends and conclusions. </w:t>
      </w:r>
      <w:r w:rsidR="00784BC7">
        <w:rPr>
          <w:rFonts w:ascii="Arial" w:hAnsi="Arial" w:cs="Arial"/>
          <w:sz w:val="24"/>
          <w:szCs w:val="24"/>
          <w:lang w:val="en-IN"/>
        </w:rPr>
        <w:t xml:space="preserve">(attached in Excel file in </w:t>
      </w:r>
      <w:r w:rsidR="00E54B28">
        <w:rPr>
          <w:rFonts w:ascii="Arial" w:hAnsi="Arial" w:cs="Arial"/>
          <w:sz w:val="24"/>
          <w:szCs w:val="24"/>
          <w:lang w:val="en-IN"/>
        </w:rPr>
        <w:t>Dropbox</w:t>
      </w:r>
      <w:r w:rsidR="00784BC7">
        <w:rPr>
          <w:rFonts w:ascii="Arial" w:hAnsi="Arial" w:cs="Arial"/>
          <w:sz w:val="24"/>
          <w:szCs w:val="24"/>
          <w:lang w:val="en-IN"/>
        </w:rPr>
        <w:t>)</w:t>
      </w:r>
    </w:p>
    <w:p w14:paraId="20222504" w14:textId="77777777" w:rsidR="00B06908" w:rsidRDefault="00B06908" w:rsidP="005F2B6F">
      <w:pPr>
        <w:pStyle w:val="ListParagraph"/>
        <w:spacing w:line="360" w:lineRule="auto"/>
        <w:rPr>
          <w:rFonts w:ascii="Arial" w:hAnsi="Arial" w:cs="Arial"/>
          <w:sz w:val="24"/>
          <w:szCs w:val="24"/>
          <w:lang w:val="en-IN"/>
        </w:rPr>
      </w:pPr>
    </w:p>
    <w:p w14:paraId="6EB2184A" w14:textId="66E74A31" w:rsidR="00836616" w:rsidRDefault="00836616" w:rsidP="0073283D">
      <w:pPr>
        <w:pStyle w:val="ListParagraph"/>
        <w:spacing w:line="360" w:lineRule="auto"/>
        <w:rPr>
          <w:rFonts w:ascii="Arial" w:hAnsi="Arial" w:cs="Arial"/>
          <w:sz w:val="24"/>
          <w:szCs w:val="24"/>
          <w:lang w:val="en-IN"/>
        </w:rPr>
      </w:pPr>
      <w:r>
        <w:rPr>
          <w:rFonts w:ascii="Arial" w:hAnsi="Arial" w:cs="Arial"/>
          <w:sz w:val="24"/>
          <w:szCs w:val="24"/>
          <w:lang w:val="en-IN"/>
        </w:rPr>
        <w:t xml:space="preserve">3. </w:t>
      </w:r>
      <w:r w:rsidR="0073283D" w:rsidRPr="0073283D">
        <w:rPr>
          <w:rFonts w:ascii="Arial" w:hAnsi="Arial" w:cs="Arial"/>
          <w:sz w:val="24"/>
          <w:szCs w:val="24"/>
          <w:lang w:val="en-IN"/>
        </w:rPr>
        <w:t>Data Sources Documentation: Provide</w:t>
      </w:r>
      <w:r w:rsidR="00E54B28">
        <w:rPr>
          <w:rFonts w:ascii="Arial" w:hAnsi="Arial" w:cs="Arial"/>
          <w:sz w:val="24"/>
          <w:szCs w:val="24"/>
          <w:lang w:val="en-IN"/>
        </w:rPr>
        <w:t>d</w:t>
      </w:r>
      <w:r w:rsidR="0073283D" w:rsidRPr="0073283D">
        <w:rPr>
          <w:rFonts w:ascii="Arial" w:hAnsi="Arial" w:cs="Arial"/>
          <w:sz w:val="24"/>
          <w:szCs w:val="24"/>
          <w:lang w:val="en-IN"/>
        </w:rPr>
        <w:t xml:space="preserve"> a clear list of all data sources, including direct links or specific references to databases such as Fame, corporate reports, and financial news items. This increases the trustworthiness of your data, allowing others to verify it or </w:t>
      </w:r>
      <w:r w:rsidR="0073283D" w:rsidRPr="0073283D">
        <w:rPr>
          <w:rFonts w:ascii="Arial" w:hAnsi="Arial" w:cs="Arial"/>
          <w:sz w:val="24"/>
          <w:szCs w:val="24"/>
          <w:lang w:val="en-IN"/>
        </w:rPr>
        <w:lastRenderedPageBreak/>
        <w:t xml:space="preserve">investigate further. </w:t>
      </w:r>
      <w:r w:rsidR="005612E2">
        <w:rPr>
          <w:rFonts w:ascii="Arial" w:hAnsi="Arial" w:cs="Arial"/>
          <w:sz w:val="24"/>
          <w:szCs w:val="24"/>
          <w:lang w:val="en-IN"/>
        </w:rPr>
        <w:t>(</w:t>
      </w:r>
      <w:hyperlink r:id="rId19" w:history="1">
        <w:r w:rsidR="006A778C" w:rsidRPr="00734AFE">
          <w:rPr>
            <w:rStyle w:val="Hyperlink"/>
            <w:rFonts w:ascii="Arial" w:hAnsi="Arial" w:cs="Arial"/>
            <w:sz w:val="24"/>
            <w:szCs w:val="24"/>
            <w:lang w:val="en-IN"/>
          </w:rPr>
          <w:t>https://fame-r1-bvdinfo-com.oxfordbrookes.idm.oclc.org/version-20240321-1-1/fame/1/Companies/Report)(fame</w:t>
        </w:r>
      </w:hyperlink>
      <w:r w:rsidR="006A778C">
        <w:rPr>
          <w:rFonts w:ascii="Arial" w:hAnsi="Arial" w:cs="Arial"/>
          <w:sz w:val="24"/>
          <w:szCs w:val="24"/>
          <w:lang w:val="en-IN"/>
        </w:rPr>
        <w:t>)</w:t>
      </w:r>
    </w:p>
    <w:p w14:paraId="44EECBF0" w14:textId="5859C168" w:rsidR="00BA1062" w:rsidRDefault="00BA1062" w:rsidP="0073283D">
      <w:pPr>
        <w:pStyle w:val="ListParagraph"/>
        <w:spacing w:line="360" w:lineRule="auto"/>
        <w:rPr>
          <w:rFonts w:ascii="Arial" w:hAnsi="Arial" w:cs="Arial"/>
          <w:sz w:val="24"/>
          <w:szCs w:val="24"/>
          <w:lang w:val="en-IN"/>
        </w:rPr>
      </w:pPr>
      <w:r w:rsidRPr="00BA1062">
        <w:rPr>
          <w:rFonts w:ascii="Arial" w:hAnsi="Arial" w:cs="Arial"/>
          <w:sz w:val="24"/>
          <w:szCs w:val="24"/>
        </w:rPr>
        <w:t xml:space="preserve">Financial Times (n.d.). </w:t>
      </w:r>
      <w:r w:rsidRPr="00BA1062">
        <w:rPr>
          <w:rFonts w:ascii="Arial" w:hAnsi="Arial" w:cs="Arial"/>
          <w:i/>
          <w:iCs/>
          <w:sz w:val="24"/>
          <w:szCs w:val="24"/>
        </w:rPr>
        <w:t>Subscribe to Read | Financial Times</w:t>
      </w:r>
      <w:r w:rsidRPr="00BA1062">
        <w:rPr>
          <w:rFonts w:ascii="Arial" w:hAnsi="Arial" w:cs="Arial"/>
          <w:sz w:val="24"/>
          <w:szCs w:val="24"/>
        </w:rPr>
        <w:t xml:space="preserve">. [online] www.ft.com. Available at: </w:t>
      </w:r>
      <w:hyperlink r:id="rId20" w:history="1">
        <w:r w:rsidRPr="00BA1062">
          <w:rPr>
            <w:rStyle w:val="Hyperlink"/>
            <w:rFonts w:ascii="Arial" w:hAnsi="Arial" w:cs="Arial"/>
            <w:sz w:val="24"/>
            <w:szCs w:val="24"/>
          </w:rPr>
          <w:t>https://www.ft.com/content/782da316-3ea8-11ea-b232-000f4477fbca</w:t>
        </w:r>
      </w:hyperlink>
    </w:p>
    <w:p w14:paraId="3D6C6E7F" w14:textId="77777777" w:rsidR="00887A27" w:rsidRPr="00887A27" w:rsidRDefault="00887A27" w:rsidP="00887A27">
      <w:pPr>
        <w:pStyle w:val="ListParagraph"/>
        <w:rPr>
          <w:rFonts w:ascii="Arial" w:hAnsi="Arial" w:cs="Arial"/>
          <w:sz w:val="24"/>
          <w:szCs w:val="24"/>
          <w:lang w:val="en-IN"/>
        </w:rPr>
      </w:pPr>
      <w:r w:rsidRPr="00887A27">
        <w:rPr>
          <w:rFonts w:ascii="Arial" w:hAnsi="Arial" w:cs="Arial"/>
          <w:sz w:val="24"/>
          <w:szCs w:val="24"/>
          <w:lang w:val="en-IN"/>
        </w:rPr>
        <w:t xml:space="preserve">Investing.com UK. (2021). </w:t>
      </w:r>
      <w:r w:rsidRPr="00887A27">
        <w:rPr>
          <w:rFonts w:ascii="Arial" w:hAnsi="Arial" w:cs="Arial"/>
          <w:i/>
          <w:iCs/>
          <w:sz w:val="24"/>
          <w:szCs w:val="24"/>
          <w:lang w:val="en-IN"/>
        </w:rPr>
        <w:t>Flybe (FLYB) Annual Report</w:t>
      </w:r>
      <w:r w:rsidRPr="00887A27">
        <w:rPr>
          <w:rFonts w:ascii="Arial" w:hAnsi="Arial" w:cs="Arial"/>
          <w:sz w:val="24"/>
          <w:szCs w:val="24"/>
          <w:lang w:val="en-IN"/>
        </w:rPr>
        <w:t xml:space="preserve">. [online] Available at: </w:t>
      </w:r>
      <w:hyperlink r:id="rId21" w:history="1">
        <w:r w:rsidRPr="00887A27">
          <w:rPr>
            <w:rStyle w:val="Hyperlink"/>
            <w:rFonts w:ascii="Arial" w:hAnsi="Arial" w:cs="Arial"/>
            <w:sz w:val="24"/>
            <w:szCs w:val="24"/>
            <w:lang w:val="en-IN"/>
          </w:rPr>
          <w:t>https://uk.investing.com/equities/flybe-group-balance-sheet</w:t>
        </w:r>
      </w:hyperlink>
    </w:p>
    <w:p w14:paraId="13AB4D46" w14:textId="77777777" w:rsidR="00FA042F" w:rsidRDefault="00887A27" w:rsidP="00FA042F">
      <w:pPr>
        <w:pStyle w:val="ListParagraph"/>
        <w:rPr>
          <w:rFonts w:ascii="Arial" w:hAnsi="Arial" w:cs="Arial"/>
          <w:sz w:val="24"/>
          <w:szCs w:val="24"/>
          <w:lang w:val="en-IN"/>
        </w:rPr>
      </w:pPr>
      <w:r w:rsidRPr="00887A27">
        <w:rPr>
          <w:rFonts w:ascii="Arial" w:hAnsi="Arial" w:cs="Arial"/>
          <w:sz w:val="24"/>
          <w:szCs w:val="24"/>
          <w:lang w:val="en-IN"/>
        </w:rPr>
        <w:t xml:space="preserve">  [Accessed 7 May 2024].</w:t>
      </w:r>
    </w:p>
    <w:p w14:paraId="52490203" w14:textId="20209B18" w:rsidR="00836616" w:rsidRPr="00FA042F" w:rsidRDefault="00403B3C" w:rsidP="00B327FB">
      <w:pPr>
        <w:pStyle w:val="ListParagraph"/>
        <w:spacing w:line="360" w:lineRule="auto"/>
        <w:rPr>
          <w:rFonts w:ascii="Arial" w:hAnsi="Arial" w:cs="Arial"/>
          <w:sz w:val="24"/>
          <w:szCs w:val="24"/>
          <w:lang w:val="en-IN"/>
        </w:rPr>
      </w:pPr>
      <w:r w:rsidRPr="00BB1838">
        <w:rPr>
          <w:rFonts w:ascii="Arial" w:hAnsi="Arial" w:cs="Arial"/>
          <w:noProof/>
          <w:sz w:val="24"/>
          <w:szCs w:val="24"/>
          <w:lang w:val="en-IN"/>
        </w:rPr>
        <w:drawing>
          <wp:anchor distT="0" distB="0" distL="114300" distR="114300" simplePos="0" relativeHeight="251671552" behindDoc="0" locked="0" layoutInCell="1" allowOverlap="1" wp14:anchorId="724777C4" wp14:editId="51F7263F">
            <wp:simplePos x="0" y="0"/>
            <wp:positionH relativeFrom="column">
              <wp:posOffset>550333</wp:posOffset>
            </wp:positionH>
            <wp:positionV relativeFrom="paragraph">
              <wp:posOffset>945092</wp:posOffset>
            </wp:positionV>
            <wp:extent cx="4595258" cy="5319221"/>
            <wp:effectExtent l="0" t="0" r="0" b="0"/>
            <wp:wrapTopAndBottom/>
            <wp:docPr id="17532638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63882"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95258" cy="5319221"/>
                    </a:xfrm>
                    <a:prstGeom prst="rect">
                      <a:avLst/>
                    </a:prstGeom>
                  </pic:spPr>
                </pic:pic>
              </a:graphicData>
            </a:graphic>
          </wp:anchor>
        </w:drawing>
      </w:r>
      <w:r w:rsidR="0073283D" w:rsidRPr="00FA042F">
        <w:rPr>
          <w:rFonts w:ascii="Arial" w:hAnsi="Arial" w:cs="Arial"/>
          <w:sz w:val="24"/>
          <w:szCs w:val="24"/>
          <w:lang w:val="en-IN"/>
        </w:rPr>
        <w:br/>
      </w:r>
      <w:r w:rsidR="00836616" w:rsidRPr="00FA042F">
        <w:rPr>
          <w:rFonts w:ascii="Arial" w:hAnsi="Arial" w:cs="Arial"/>
          <w:sz w:val="24"/>
          <w:szCs w:val="24"/>
          <w:lang w:val="en-IN"/>
        </w:rPr>
        <w:t xml:space="preserve">4. </w:t>
      </w:r>
      <w:r w:rsidR="0073283D" w:rsidRPr="00FA042F">
        <w:rPr>
          <w:rFonts w:ascii="Arial" w:hAnsi="Arial" w:cs="Arial"/>
          <w:sz w:val="24"/>
          <w:szCs w:val="24"/>
          <w:lang w:val="en-IN"/>
        </w:rPr>
        <w:t xml:space="preserve">Analytical Scripts and Outputs: </w:t>
      </w:r>
      <w:r w:rsidR="005B0AB6">
        <w:rPr>
          <w:rFonts w:ascii="Arial" w:hAnsi="Arial" w:cs="Arial"/>
          <w:sz w:val="24"/>
          <w:szCs w:val="24"/>
          <w:lang w:val="en-IN"/>
        </w:rPr>
        <w:t xml:space="preserve">I have </w:t>
      </w:r>
      <w:r w:rsidR="0073283D" w:rsidRPr="00FA042F">
        <w:rPr>
          <w:rFonts w:ascii="Arial" w:hAnsi="Arial" w:cs="Arial"/>
          <w:sz w:val="24"/>
          <w:szCs w:val="24"/>
          <w:lang w:val="en-IN"/>
        </w:rPr>
        <w:t xml:space="preserve">utilized Python </w:t>
      </w:r>
      <w:r w:rsidR="005B0AB6">
        <w:rPr>
          <w:rFonts w:ascii="Arial" w:hAnsi="Arial" w:cs="Arial"/>
          <w:sz w:val="24"/>
          <w:szCs w:val="24"/>
          <w:lang w:val="en-IN"/>
        </w:rPr>
        <w:t xml:space="preserve">as one of the </w:t>
      </w:r>
      <w:r w:rsidR="0073283D" w:rsidRPr="00FA042F">
        <w:rPr>
          <w:rFonts w:ascii="Arial" w:hAnsi="Arial" w:cs="Arial"/>
          <w:sz w:val="24"/>
          <w:szCs w:val="24"/>
          <w:lang w:val="en-IN"/>
        </w:rPr>
        <w:t xml:space="preserve">statistical tools, </w:t>
      </w:r>
      <w:r w:rsidR="005B0AB6">
        <w:rPr>
          <w:rFonts w:ascii="Arial" w:hAnsi="Arial" w:cs="Arial"/>
          <w:sz w:val="24"/>
          <w:szCs w:val="24"/>
          <w:lang w:val="en-IN"/>
        </w:rPr>
        <w:t>providing</w:t>
      </w:r>
      <w:r w:rsidR="0073283D" w:rsidRPr="00FA042F">
        <w:rPr>
          <w:rFonts w:ascii="Arial" w:hAnsi="Arial" w:cs="Arial"/>
          <w:sz w:val="24"/>
          <w:szCs w:val="24"/>
          <w:lang w:val="en-IN"/>
        </w:rPr>
        <w:t xml:space="preserve"> scripts, code comments, and results from statistical tests. </w:t>
      </w:r>
    </w:p>
    <w:p w14:paraId="592EBC2C" w14:textId="6C33F3E5" w:rsidR="00BB1838" w:rsidRDefault="00BB1838" w:rsidP="0073283D">
      <w:pPr>
        <w:pStyle w:val="ListParagraph"/>
        <w:spacing w:line="360" w:lineRule="auto"/>
        <w:rPr>
          <w:rFonts w:ascii="Arial" w:hAnsi="Arial" w:cs="Arial"/>
          <w:sz w:val="24"/>
          <w:szCs w:val="24"/>
          <w:lang w:val="en-IN"/>
        </w:rPr>
      </w:pPr>
    </w:p>
    <w:p w14:paraId="57E6D2A0" w14:textId="4FE56A85" w:rsidR="00445D7B" w:rsidRDefault="00445D7B" w:rsidP="00445D7B">
      <w:pPr>
        <w:pStyle w:val="ListParagraph"/>
        <w:spacing w:line="360" w:lineRule="auto"/>
        <w:rPr>
          <w:rFonts w:ascii="Arial" w:hAnsi="Arial" w:cs="Arial"/>
          <w:sz w:val="24"/>
          <w:szCs w:val="24"/>
          <w:lang w:val="en-IN"/>
        </w:rPr>
      </w:pPr>
    </w:p>
    <w:p w14:paraId="5129BB33" w14:textId="77777777" w:rsidR="00CC4761" w:rsidRDefault="008529CE" w:rsidP="00533DC5">
      <w:pPr>
        <w:pStyle w:val="ListParagraph"/>
        <w:numPr>
          <w:ilvl w:val="0"/>
          <w:numId w:val="19"/>
        </w:numPr>
        <w:spacing w:line="360" w:lineRule="auto"/>
        <w:outlineLvl w:val="0"/>
        <w:rPr>
          <w:rFonts w:ascii="Arial" w:hAnsi="Arial" w:cs="Arial"/>
          <w:b/>
          <w:bCs/>
          <w:sz w:val="24"/>
          <w:szCs w:val="24"/>
          <w:lang w:val="en-IN"/>
        </w:rPr>
      </w:pPr>
      <w:bookmarkStart w:id="58" w:name="_Toc166265737"/>
      <w:bookmarkStart w:id="59" w:name="_Toc166266145"/>
      <w:bookmarkStart w:id="60" w:name="_Toc166266372"/>
      <w:r w:rsidRPr="008529CE">
        <w:rPr>
          <w:rFonts w:ascii="Arial" w:hAnsi="Arial" w:cs="Arial"/>
          <w:b/>
          <w:bCs/>
          <w:sz w:val="24"/>
          <w:szCs w:val="24"/>
        </w:rPr>
        <w:t>REFLECTION AND EVALUATION</w:t>
      </w:r>
      <w:bookmarkEnd w:id="58"/>
      <w:bookmarkEnd w:id="59"/>
      <w:bookmarkEnd w:id="60"/>
      <w:r w:rsidR="005F2B6F" w:rsidRPr="008529CE">
        <w:rPr>
          <w:rFonts w:ascii="Arial" w:hAnsi="Arial" w:cs="Arial"/>
          <w:b/>
          <w:bCs/>
          <w:sz w:val="24"/>
          <w:szCs w:val="24"/>
          <w:lang w:val="en-IN"/>
        </w:rPr>
        <w:br/>
      </w:r>
    </w:p>
    <w:p w14:paraId="08F71E1D" w14:textId="0905765E" w:rsidR="00C3194E" w:rsidRPr="00C3194E" w:rsidRDefault="0035427E" w:rsidP="0039413C">
      <w:pPr>
        <w:spacing w:line="360" w:lineRule="auto"/>
        <w:rPr>
          <w:rFonts w:ascii="Arial" w:eastAsia="Times New Roman" w:hAnsi="Arial" w:cs="Arial"/>
          <w:kern w:val="0"/>
          <w:sz w:val="24"/>
          <w:szCs w:val="24"/>
          <w:lang w:val="en-IN" w:eastAsia="en-IN"/>
          <w14:ligatures w14:val="none"/>
        </w:rPr>
      </w:pPr>
      <w:r w:rsidRPr="004D2BEA">
        <w:rPr>
          <w:rFonts w:ascii="Arial" w:eastAsia="Times New Roman" w:hAnsi="Arial" w:cs="Arial"/>
          <w:b/>
          <w:bCs/>
          <w:kern w:val="0"/>
          <w:sz w:val="24"/>
          <w:szCs w:val="24"/>
          <w:lang w:val="en-IN" w:eastAsia="en-IN"/>
          <w14:ligatures w14:val="none"/>
        </w:rPr>
        <w:t>Strengths of a Data-Driven Approach</w:t>
      </w:r>
      <w:r w:rsidRPr="0039413C">
        <w:rPr>
          <w:rFonts w:ascii="Arial" w:eastAsia="Times New Roman" w:hAnsi="Arial" w:cs="Arial"/>
          <w:kern w:val="0"/>
          <w:sz w:val="24"/>
          <w:szCs w:val="24"/>
          <w:lang w:val="en-IN" w:eastAsia="en-IN"/>
          <w14:ligatures w14:val="none"/>
        </w:rPr>
        <w:t xml:space="preserve">: </w:t>
      </w:r>
    </w:p>
    <w:p w14:paraId="551F8955" w14:textId="12509D6A" w:rsidR="0039413C" w:rsidRPr="00C3194E" w:rsidRDefault="0035427E" w:rsidP="00C3194E">
      <w:pPr>
        <w:pStyle w:val="ListParagraph"/>
        <w:numPr>
          <w:ilvl w:val="0"/>
          <w:numId w:val="27"/>
        </w:numPr>
        <w:spacing w:line="360" w:lineRule="auto"/>
        <w:rPr>
          <w:rFonts w:ascii="Arial" w:hAnsi="Arial" w:cs="Arial"/>
          <w:b/>
          <w:bCs/>
          <w:sz w:val="24"/>
          <w:szCs w:val="24"/>
          <w:lang w:val="en-IN"/>
        </w:rPr>
      </w:pPr>
      <w:r w:rsidRPr="00C3194E">
        <w:rPr>
          <w:rFonts w:ascii="Arial" w:eastAsia="Times New Roman" w:hAnsi="Arial" w:cs="Arial"/>
          <w:kern w:val="0"/>
          <w:sz w:val="24"/>
          <w:szCs w:val="24"/>
          <w:lang w:val="en-IN" w:eastAsia="en-IN"/>
          <w14:ligatures w14:val="none"/>
        </w:rPr>
        <w:t xml:space="preserve">The data-driven method enabled a complete investigation of Flybe's financial health over a long </w:t>
      </w:r>
      <w:r w:rsidR="00F20C67" w:rsidRPr="00C3194E">
        <w:rPr>
          <w:rFonts w:ascii="Arial" w:eastAsia="Times New Roman" w:hAnsi="Arial" w:cs="Arial"/>
          <w:kern w:val="0"/>
          <w:sz w:val="24"/>
          <w:szCs w:val="24"/>
          <w:lang w:val="en-IN" w:eastAsia="en-IN"/>
          <w14:ligatures w14:val="none"/>
        </w:rPr>
        <w:t>period</w:t>
      </w:r>
      <w:r w:rsidRPr="00C3194E">
        <w:rPr>
          <w:rFonts w:ascii="Arial" w:eastAsia="Times New Roman" w:hAnsi="Arial" w:cs="Arial"/>
          <w:kern w:val="0"/>
          <w:sz w:val="24"/>
          <w:szCs w:val="24"/>
          <w:lang w:val="en-IN" w:eastAsia="en-IN"/>
          <w14:ligatures w14:val="none"/>
        </w:rPr>
        <w:t>, allowing for the detection of trends and patterns.</w:t>
      </w:r>
    </w:p>
    <w:p w14:paraId="33FFD0C2" w14:textId="77777777" w:rsidR="0039413C" w:rsidRPr="00C3194E" w:rsidRDefault="0035427E" w:rsidP="00C3194E">
      <w:pPr>
        <w:pStyle w:val="ListParagraph"/>
        <w:numPr>
          <w:ilvl w:val="0"/>
          <w:numId w:val="27"/>
        </w:numPr>
        <w:spacing w:line="360" w:lineRule="auto"/>
        <w:rPr>
          <w:rFonts w:ascii="Arial" w:hAnsi="Arial" w:cs="Arial"/>
          <w:b/>
          <w:bCs/>
          <w:sz w:val="24"/>
          <w:szCs w:val="24"/>
          <w:lang w:val="en-IN"/>
        </w:rPr>
      </w:pPr>
      <w:r w:rsidRPr="00C3194E">
        <w:rPr>
          <w:rFonts w:ascii="Arial" w:eastAsia="Times New Roman" w:hAnsi="Arial" w:cs="Arial"/>
          <w:kern w:val="0"/>
          <w:sz w:val="24"/>
          <w:szCs w:val="24"/>
          <w:lang w:val="en-IN" w:eastAsia="en-IN"/>
          <w14:ligatures w14:val="none"/>
        </w:rPr>
        <w:t xml:space="preserve">The research used financial data to give actual proof to back up its findings and conclusions, which increased the assessment's credibility. </w:t>
      </w:r>
    </w:p>
    <w:p w14:paraId="0423C20B" w14:textId="32279805" w:rsidR="006A0748" w:rsidRPr="00C3194E" w:rsidRDefault="0035427E" w:rsidP="00C3194E">
      <w:pPr>
        <w:pStyle w:val="ListParagraph"/>
        <w:numPr>
          <w:ilvl w:val="0"/>
          <w:numId w:val="27"/>
        </w:numPr>
        <w:spacing w:line="360" w:lineRule="auto"/>
        <w:rPr>
          <w:rFonts w:ascii="Arial" w:hAnsi="Arial" w:cs="Arial"/>
          <w:b/>
          <w:bCs/>
          <w:sz w:val="24"/>
          <w:szCs w:val="24"/>
          <w:lang w:val="en-IN"/>
        </w:rPr>
      </w:pPr>
      <w:r w:rsidRPr="00C3194E">
        <w:rPr>
          <w:rFonts w:ascii="Arial" w:eastAsia="Times New Roman" w:hAnsi="Arial" w:cs="Arial"/>
          <w:kern w:val="0"/>
          <w:sz w:val="24"/>
          <w:szCs w:val="24"/>
          <w:lang w:val="en-IN" w:eastAsia="en-IN"/>
          <w14:ligatures w14:val="none"/>
        </w:rPr>
        <w:t xml:space="preserve">Tableau and other data visualization tools made it easier to convey complicated information in a simple and accessible manner, hence improving communication and comprehension. </w:t>
      </w:r>
    </w:p>
    <w:p w14:paraId="3FAD06A9" w14:textId="77777777" w:rsidR="00991B43" w:rsidRDefault="00991B43" w:rsidP="00991B43">
      <w:pPr>
        <w:pStyle w:val="ListParagraph"/>
        <w:spacing w:line="360" w:lineRule="auto"/>
        <w:rPr>
          <w:rFonts w:ascii="Arial" w:hAnsi="Arial" w:cs="Arial"/>
          <w:b/>
          <w:bCs/>
          <w:sz w:val="24"/>
          <w:szCs w:val="24"/>
        </w:rPr>
      </w:pPr>
    </w:p>
    <w:p w14:paraId="45CCDBBA" w14:textId="3039A865" w:rsidR="00F20C67" w:rsidRDefault="007A486B" w:rsidP="00F20C67">
      <w:pPr>
        <w:spacing w:line="360" w:lineRule="auto"/>
        <w:rPr>
          <w:rFonts w:ascii="Arial" w:hAnsi="Arial" w:cs="Arial"/>
          <w:sz w:val="24"/>
          <w:szCs w:val="24"/>
          <w:lang w:val="en-IN"/>
        </w:rPr>
      </w:pPr>
      <w:r w:rsidRPr="004D2BEA">
        <w:rPr>
          <w:rFonts w:ascii="Arial" w:hAnsi="Arial" w:cs="Arial"/>
          <w:b/>
          <w:bCs/>
          <w:sz w:val="24"/>
          <w:szCs w:val="24"/>
          <w:lang w:val="en-IN"/>
        </w:rPr>
        <w:t>Weakness &amp; Limitations</w:t>
      </w:r>
      <w:r w:rsidR="00C3194E">
        <w:rPr>
          <w:rFonts w:ascii="Arial" w:hAnsi="Arial" w:cs="Arial"/>
          <w:sz w:val="24"/>
          <w:szCs w:val="24"/>
          <w:lang w:val="en-IN"/>
        </w:rPr>
        <w:t>:</w:t>
      </w:r>
      <w:r w:rsidRPr="00F20C67">
        <w:rPr>
          <w:rFonts w:ascii="Arial" w:hAnsi="Arial" w:cs="Arial"/>
          <w:sz w:val="24"/>
          <w:szCs w:val="24"/>
          <w:lang w:val="en-IN"/>
        </w:rPr>
        <w:t xml:space="preserve"> </w:t>
      </w:r>
    </w:p>
    <w:p w14:paraId="0D093250" w14:textId="18AFAD2D" w:rsidR="004C3F51" w:rsidRDefault="00C3194E" w:rsidP="00F20C67">
      <w:pPr>
        <w:pStyle w:val="ListParagraph"/>
        <w:numPr>
          <w:ilvl w:val="0"/>
          <w:numId w:val="25"/>
        </w:numPr>
        <w:spacing w:line="360" w:lineRule="auto"/>
        <w:rPr>
          <w:rFonts w:ascii="Arial" w:hAnsi="Arial" w:cs="Arial"/>
          <w:sz w:val="24"/>
          <w:szCs w:val="24"/>
          <w:lang w:val="en-IN"/>
        </w:rPr>
      </w:pPr>
      <w:r>
        <w:rPr>
          <w:rFonts w:ascii="Arial" w:hAnsi="Arial" w:cs="Arial"/>
          <w:sz w:val="24"/>
          <w:szCs w:val="24"/>
          <w:lang w:val="en-IN"/>
        </w:rPr>
        <w:t xml:space="preserve"> </w:t>
      </w:r>
      <w:r w:rsidR="007A486B" w:rsidRPr="00F20C67">
        <w:rPr>
          <w:rFonts w:ascii="Arial" w:hAnsi="Arial" w:cs="Arial"/>
          <w:sz w:val="24"/>
          <w:szCs w:val="24"/>
          <w:lang w:val="en-IN"/>
        </w:rPr>
        <w:t>Data quality issues, such as missing values and non-standard components, presented obstacles that need thorough cleaning and standardization.</w:t>
      </w:r>
    </w:p>
    <w:p w14:paraId="766ADE00" w14:textId="77777777" w:rsidR="004C3F51" w:rsidRDefault="007A486B" w:rsidP="00F20C67">
      <w:pPr>
        <w:pStyle w:val="ListParagraph"/>
        <w:numPr>
          <w:ilvl w:val="0"/>
          <w:numId w:val="25"/>
        </w:numPr>
        <w:spacing w:line="360" w:lineRule="auto"/>
        <w:rPr>
          <w:rFonts w:ascii="Arial" w:hAnsi="Arial" w:cs="Arial"/>
          <w:sz w:val="24"/>
          <w:szCs w:val="24"/>
          <w:lang w:val="en-IN"/>
        </w:rPr>
      </w:pPr>
      <w:r w:rsidRPr="00F20C67">
        <w:rPr>
          <w:rFonts w:ascii="Arial" w:hAnsi="Arial" w:cs="Arial"/>
          <w:sz w:val="24"/>
          <w:szCs w:val="24"/>
          <w:lang w:val="en-IN"/>
        </w:rPr>
        <w:t xml:space="preserve">The exclusion of the COVID-19 pandemic's influence from the analysis may have hampered the assessment's thoroughness, perhaps missing important external aspects. </w:t>
      </w:r>
    </w:p>
    <w:p w14:paraId="588D89EA" w14:textId="4F0B0FD2" w:rsidR="007A486B" w:rsidRPr="00F20C67" w:rsidRDefault="007A486B" w:rsidP="00F20C67">
      <w:pPr>
        <w:pStyle w:val="ListParagraph"/>
        <w:numPr>
          <w:ilvl w:val="0"/>
          <w:numId w:val="25"/>
        </w:numPr>
        <w:spacing w:line="360" w:lineRule="auto"/>
        <w:rPr>
          <w:rFonts w:ascii="Arial" w:hAnsi="Arial" w:cs="Arial"/>
          <w:sz w:val="24"/>
          <w:szCs w:val="24"/>
          <w:lang w:val="en-IN"/>
        </w:rPr>
      </w:pPr>
      <w:r w:rsidRPr="00F20C67">
        <w:rPr>
          <w:rFonts w:ascii="Arial" w:hAnsi="Arial" w:cs="Arial"/>
          <w:sz w:val="24"/>
          <w:szCs w:val="24"/>
          <w:lang w:val="en-IN"/>
        </w:rPr>
        <w:t xml:space="preserve">Financial data interpretation might be biased or misinterpreted, emphasizing the significance of thorough research and validation. </w:t>
      </w:r>
    </w:p>
    <w:p w14:paraId="0858FC63" w14:textId="77777777" w:rsidR="00914945" w:rsidRPr="00914945" w:rsidRDefault="00914945" w:rsidP="00914945">
      <w:pPr>
        <w:pStyle w:val="ListParagraph"/>
        <w:rPr>
          <w:rFonts w:ascii="Arial" w:hAnsi="Arial" w:cs="Arial"/>
          <w:sz w:val="24"/>
          <w:szCs w:val="24"/>
          <w:lang w:val="en-IN"/>
        </w:rPr>
      </w:pPr>
    </w:p>
    <w:p w14:paraId="1BAF8797" w14:textId="77777777" w:rsidR="00C3194E" w:rsidRDefault="00267EFB" w:rsidP="004C3F51">
      <w:pPr>
        <w:spacing w:after="0" w:line="360" w:lineRule="auto"/>
        <w:rPr>
          <w:rFonts w:ascii="Arial" w:eastAsia="Times New Roman" w:hAnsi="Arial" w:cs="Arial"/>
          <w:kern w:val="0"/>
          <w:sz w:val="24"/>
          <w:szCs w:val="24"/>
          <w:lang w:val="en-IN" w:eastAsia="en-IN"/>
          <w14:ligatures w14:val="none"/>
        </w:rPr>
      </w:pPr>
      <w:r w:rsidRPr="004D2BEA">
        <w:rPr>
          <w:rFonts w:ascii="Arial" w:eastAsia="Times New Roman" w:hAnsi="Arial" w:cs="Arial"/>
          <w:b/>
          <w:bCs/>
          <w:kern w:val="0"/>
          <w:sz w:val="24"/>
          <w:szCs w:val="24"/>
          <w:lang w:val="en-IN" w:eastAsia="en-IN"/>
          <w14:ligatures w14:val="none"/>
        </w:rPr>
        <w:t>Challenges encountered</w:t>
      </w:r>
      <w:r w:rsidRPr="004C3F51">
        <w:rPr>
          <w:rFonts w:ascii="Arial" w:eastAsia="Times New Roman" w:hAnsi="Arial" w:cs="Arial"/>
          <w:kern w:val="0"/>
          <w:sz w:val="24"/>
          <w:szCs w:val="24"/>
          <w:lang w:val="en-IN" w:eastAsia="en-IN"/>
          <w14:ligatures w14:val="none"/>
        </w:rPr>
        <w:t xml:space="preserve">: </w:t>
      </w:r>
    </w:p>
    <w:p w14:paraId="201818FF" w14:textId="77777777" w:rsidR="00C3194E" w:rsidRDefault="00C3194E" w:rsidP="004C3F51">
      <w:pPr>
        <w:spacing w:after="0" w:line="360" w:lineRule="auto"/>
        <w:rPr>
          <w:rFonts w:ascii="Arial" w:eastAsia="Times New Roman" w:hAnsi="Arial" w:cs="Arial"/>
          <w:kern w:val="0"/>
          <w:sz w:val="24"/>
          <w:szCs w:val="24"/>
          <w:lang w:val="en-IN" w:eastAsia="en-IN"/>
          <w14:ligatures w14:val="none"/>
        </w:rPr>
      </w:pPr>
    </w:p>
    <w:p w14:paraId="1F75F269" w14:textId="77777777" w:rsidR="00C3194E" w:rsidRPr="00C3194E" w:rsidRDefault="00267EFB" w:rsidP="00C3194E">
      <w:pPr>
        <w:pStyle w:val="ListParagraph"/>
        <w:numPr>
          <w:ilvl w:val="0"/>
          <w:numId w:val="26"/>
        </w:numPr>
        <w:spacing w:after="0" w:line="360" w:lineRule="auto"/>
        <w:rPr>
          <w:rFonts w:ascii="Times New Roman" w:eastAsia="Times New Roman" w:hAnsi="Times New Roman" w:cs="Times New Roman"/>
          <w:kern w:val="0"/>
          <w:sz w:val="24"/>
          <w:szCs w:val="24"/>
          <w:lang w:val="en-IN" w:eastAsia="en-IN"/>
          <w14:ligatures w14:val="none"/>
        </w:rPr>
      </w:pPr>
      <w:r w:rsidRPr="00C3194E">
        <w:rPr>
          <w:rFonts w:ascii="Arial" w:eastAsia="Times New Roman" w:hAnsi="Arial" w:cs="Arial"/>
          <w:kern w:val="0"/>
          <w:sz w:val="24"/>
          <w:szCs w:val="24"/>
          <w:lang w:val="en-IN" w:eastAsia="en-IN"/>
          <w14:ligatures w14:val="none"/>
        </w:rPr>
        <w:t>To ensure the correctness and trustworthiness of financial data from diverse sources, including as Fame and corporate reports, rigorous verification and validation were necessary.</w:t>
      </w:r>
    </w:p>
    <w:p w14:paraId="779BDBAE" w14:textId="77777777" w:rsidR="00C3194E" w:rsidRPr="00C3194E" w:rsidRDefault="00267EFB" w:rsidP="00C3194E">
      <w:pPr>
        <w:pStyle w:val="ListParagraph"/>
        <w:numPr>
          <w:ilvl w:val="0"/>
          <w:numId w:val="26"/>
        </w:numPr>
        <w:spacing w:after="0" w:line="360" w:lineRule="auto"/>
        <w:rPr>
          <w:rFonts w:ascii="Times New Roman" w:eastAsia="Times New Roman" w:hAnsi="Times New Roman" w:cs="Times New Roman"/>
          <w:kern w:val="0"/>
          <w:sz w:val="24"/>
          <w:szCs w:val="24"/>
          <w:lang w:val="en-IN" w:eastAsia="en-IN"/>
          <w14:ligatures w14:val="none"/>
        </w:rPr>
      </w:pPr>
      <w:r w:rsidRPr="00C3194E">
        <w:rPr>
          <w:rFonts w:ascii="Arial" w:eastAsia="Times New Roman" w:hAnsi="Arial" w:cs="Arial"/>
          <w:kern w:val="0"/>
          <w:sz w:val="24"/>
          <w:szCs w:val="24"/>
          <w:lang w:val="en-IN" w:eastAsia="en-IN"/>
          <w14:ligatures w14:val="none"/>
        </w:rPr>
        <w:t xml:space="preserve">Standardizing data formats and correcting differences across years presented technological hurdles that demanded extra preparation work. </w:t>
      </w:r>
      <w:r w:rsidRPr="00C3194E">
        <w:rPr>
          <w:rFonts w:ascii="Arial" w:eastAsia="Times New Roman" w:hAnsi="Arial" w:cs="Arial"/>
          <w:kern w:val="0"/>
          <w:sz w:val="24"/>
          <w:szCs w:val="24"/>
          <w:lang w:val="en-IN" w:eastAsia="en-IN"/>
          <w14:ligatures w14:val="none"/>
        </w:rPr>
        <w:br/>
      </w:r>
    </w:p>
    <w:p w14:paraId="46740D87" w14:textId="02043CC4" w:rsidR="00267EFB" w:rsidRDefault="00267EFB" w:rsidP="00C3194E">
      <w:pPr>
        <w:pStyle w:val="ListParagraph"/>
        <w:numPr>
          <w:ilvl w:val="0"/>
          <w:numId w:val="26"/>
        </w:numPr>
        <w:spacing w:after="0" w:line="360" w:lineRule="auto"/>
        <w:rPr>
          <w:rFonts w:ascii="Times New Roman" w:eastAsia="Times New Roman" w:hAnsi="Times New Roman" w:cs="Times New Roman"/>
          <w:kern w:val="0"/>
          <w:sz w:val="24"/>
          <w:szCs w:val="24"/>
          <w:lang w:val="en-IN" w:eastAsia="en-IN"/>
          <w14:ligatures w14:val="none"/>
        </w:rPr>
      </w:pPr>
      <w:r w:rsidRPr="00C3194E">
        <w:rPr>
          <w:rFonts w:ascii="Arial" w:eastAsia="Times New Roman" w:hAnsi="Arial" w:cs="Arial"/>
          <w:kern w:val="0"/>
          <w:sz w:val="24"/>
          <w:szCs w:val="24"/>
          <w:lang w:val="en-IN" w:eastAsia="en-IN"/>
          <w14:ligatures w14:val="none"/>
        </w:rPr>
        <w:lastRenderedPageBreak/>
        <w:t>Balancing the complexity of study with the requirement for simple presentation and narrative was difficult, necessitating careful selection of significant ideas and discoveries</w:t>
      </w:r>
      <w:r w:rsidRPr="00C3194E">
        <w:rPr>
          <w:rFonts w:ascii="Times New Roman" w:eastAsia="Times New Roman" w:hAnsi="Times New Roman" w:cs="Times New Roman"/>
          <w:kern w:val="0"/>
          <w:sz w:val="24"/>
          <w:szCs w:val="24"/>
          <w:lang w:val="en-IN" w:eastAsia="en-IN"/>
          <w14:ligatures w14:val="none"/>
        </w:rPr>
        <w:t xml:space="preserve">. </w:t>
      </w:r>
    </w:p>
    <w:p w14:paraId="127BC373" w14:textId="77777777" w:rsidR="00755741" w:rsidRDefault="00755741" w:rsidP="00755741">
      <w:pPr>
        <w:pStyle w:val="ListParagraph"/>
        <w:spacing w:after="0" w:line="360" w:lineRule="auto"/>
        <w:rPr>
          <w:rFonts w:ascii="Times New Roman" w:eastAsia="Times New Roman" w:hAnsi="Times New Roman" w:cs="Times New Roman"/>
          <w:kern w:val="0"/>
          <w:sz w:val="24"/>
          <w:szCs w:val="24"/>
          <w:lang w:val="en-IN" w:eastAsia="en-IN"/>
          <w14:ligatures w14:val="none"/>
        </w:rPr>
      </w:pPr>
    </w:p>
    <w:p w14:paraId="2FF254DF" w14:textId="4E8BAAA7" w:rsidR="00755741" w:rsidRPr="004D2BEA" w:rsidRDefault="00E83B11" w:rsidP="00E83B11">
      <w:pPr>
        <w:spacing w:after="0" w:line="360" w:lineRule="auto"/>
        <w:rPr>
          <w:rFonts w:ascii="Arial" w:eastAsia="Times New Roman" w:hAnsi="Arial" w:cs="Arial"/>
          <w:b/>
          <w:bCs/>
          <w:kern w:val="0"/>
          <w:sz w:val="24"/>
          <w:szCs w:val="24"/>
          <w:lang w:val="en-IN" w:eastAsia="en-IN"/>
          <w14:ligatures w14:val="none"/>
        </w:rPr>
      </w:pPr>
      <w:r w:rsidRPr="004D2BEA">
        <w:rPr>
          <w:rFonts w:ascii="Arial" w:eastAsia="Times New Roman" w:hAnsi="Arial" w:cs="Arial"/>
          <w:b/>
          <w:bCs/>
          <w:kern w:val="0"/>
          <w:sz w:val="24"/>
          <w:szCs w:val="24"/>
          <w:lang w:val="en-IN" w:eastAsia="en-IN"/>
          <w14:ligatures w14:val="none"/>
        </w:rPr>
        <w:t>Learnings and Areas for Improvement:</w:t>
      </w:r>
    </w:p>
    <w:p w14:paraId="37B44B39" w14:textId="77777777" w:rsidR="00E83B11" w:rsidRPr="00E83B11" w:rsidRDefault="00E83B11" w:rsidP="00E83B11">
      <w:pPr>
        <w:pStyle w:val="ListParagraph"/>
        <w:spacing w:after="0" w:line="360" w:lineRule="auto"/>
        <w:rPr>
          <w:rFonts w:ascii="Arial" w:eastAsia="Times New Roman" w:hAnsi="Arial" w:cs="Arial"/>
          <w:kern w:val="0"/>
          <w:sz w:val="24"/>
          <w:szCs w:val="24"/>
          <w:lang w:val="en-IN" w:eastAsia="en-IN"/>
          <w14:ligatures w14:val="none"/>
        </w:rPr>
      </w:pPr>
    </w:p>
    <w:p w14:paraId="0ACEED00" w14:textId="4F187920" w:rsidR="00E83B11" w:rsidRDefault="00755741" w:rsidP="00E83B11">
      <w:pPr>
        <w:pStyle w:val="ListParagraph"/>
        <w:numPr>
          <w:ilvl w:val="0"/>
          <w:numId w:val="28"/>
        </w:numPr>
        <w:spacing w:after="0" w:line="360" w:lineRule="auto"/>
        <w:rPr>
          <w:rFonts w:ascii="Arial" w:eastAsia="Times New Roman" w:hAnsi="Arial" w:cs="Arial"/>
          <w:kern w:val="0"/>
          <w:sz w:val="24"/>
          <w:szCs w:val="24"/>
          <w:lang w:val="en-IN" w:eastAsia="en-IN"/>
          <w14:ligatures w14:val="none"/>
        </w:rPr>
      </w:pPr>
      <w:r w:rsidRPr="00E83B11">
        <w:rPr>
          <w:rFonts w:ascii="Arial" w:eastAsia="Times New Roman" w:hAnsi="Arial" w:cs="Arial"/>
          <w:kern w:val="0"/>
          <w:sz w:val="24"/>
          <w:szCs w:val="24"/>
          <w:lang w:val="en-IN" w:eastAsia="en-IN"/>
          <w14:ligatures w14:val="none"/>
        </w:rPr>
        <w:t xml:space="preserve">Better preprocessing methods for data, such as more reliable approaches to </w:t>
      </w:r>
      <w:r w:rsidR="00635807">
        <w:rPr>
          <w:rFonts w:ascii="Arial" w:eastAsia="Times New Roman" w:hAnsi="Arial" w:cs="Arial"/>
          <w:kern w:val="0"/>
          <w:sz w:val="24"/>
          <w:szCs w:val="24"/>
          <w:lang w:val="en-IN" w:eastAsia="en-IN"/>
          <w14:ligatures w14:val="none"/>
        </w:rPr>
        <w:t>dealing</w:t>
      </w:r>
      <w:r w:rsidRPr="00E83B11">
        <w:rPr>
          <w:rFonts w:ascii="Arial" w:eastAsia="Times New Roman" w:hAnsi="Arial" w:cs="Arial"/>
          <w:kern w:val="0"/>
          <w:sz w:val="24"/>
          <w:szCs w:val="24"/>
          <w:lang w:val="en-IN" w:eastAsia="en-IN"/>
          <w14:ligatures w14:val="none"/>
        </w:rPr>
        <w:t xml:space="preserve"> with non-standard components and missing values, may improve the precision and efficiency of subsequent analysis.</w:t>
      </w:r>
    </w:p>
    <w:p w14:paraId="3C9E9BCA" w14:textId="7B21C6C3" w:rsidR="00E83B11" w:rsidRDefault="00755741" w:rsidP="00E83B11">
      <w:pPr>
        <w:pStyle w:val="ListParagraph"/>
        <w:numPr>
          <w:ilvl w:val="0"/>
          <w:numId w:val="28"/>
        </w:numPr>
        <w:spacing w:after="0" w:line="360" w:lineRule="auto"/>
        <w:rPr>
          <w:rFonts w:ascii="Arial" w:eastAsia="Times New Roman" w:hAnsi="Arial" w:cs="Arial"/>
          <w:kern w:val="0"/>
          <w:sz w:val="24"/>
          <w:szCs w:val="24"/>
          <w:lang w:val="en-IN" w:eastAsia="en-IN"/>
          <w14:ligatures w14:val="none"/>
        </w:rPr>
      </w:pPr>
      <w:r w:rsidRPr="00E83B11">
        <w:rPr>
          <w:rFonts w:ascii="Arial" w:eastAsia="Times New Roman" w:hAnsi="Arial" w:cs="Arial"/>
          <w:kern w:val="0"/>
          <w:sz w:val="24"/>
          <w:szCs w:val="24"/>
          <w:lang w:val="en-IN" w:eastAsia="en-IN"/>
          <w14:ligatures w14:val="none"/>
        </w:rPr>
        <w:t xml:space="preserve">Sensitivity analysis would offer a more comprehensive insight </w:t>
      </w:r>
      <w:r w:rsidR="00635807">
        <w:rPr>
          <w:rFonts w:ascii="Arial" w:eastAsia="Times New Roman" w:hAnsi="Arial" w:cs="Arial"/>
          <w:kern w:val="0"/>
          <w:sz w:val="24"/>
          <w:szCs w:val="24"/>
          <w:lang w:val="en-IN" w:eastAsia="en-IN"/>
          <w14:ligatures w14:val="none"/>
        </w:rPr>
        <w:t>into</w:t>
      </w:r>
      <w:r w:rsidRPr="00E83B11">
        <w:rPr>
          <w:rFonts w:ascii="Arial" w:eastAsia="Times New Roman" w:hAnsi="Arial" w:cs="Arial"/>
          <w:kern w:val="0"/>
          <w:sz w:val="24"/>
          <w:szCs w:val="24"/>
          <w:lang w:val="en-IN" w:eastAsia="en-IN"/>
          <w14:ligatures w14:val="none"/>
        </w:rPr>
        <w:t xml:space="preserve"> corporate performance by evaluating the influence of external circumstances, such </w:t>
      </w:r>
      <w:r w:rsidR="00635807">
        <w:rPr>
          <w:rFonts w:ascii="Arial" w:eastAsia="Times New Roman" w:hAnsi="Arial" w:cs="Arial"/>
          <w:kern w:val="0"/>
          <w:sz w:val="24"/>
          <w:szCs w:val="24"/>
          <w:lang w:val="en-IN" w:eastAsia="en-IN"/>
          <w14:ligatures w14:val="none"/>
        </w:rPr>
        <w:t xml:space="preserve">as </w:t>
      </w:r>
      <w:r w:rsidRPr="00E83B11">
        <w:rPr>
          <w:rFonts w:ascii="Arial" w:eastAsia="Times New Roman" w:hAnsi="Arial" w:cs="Arial"/>
          <w:kern w:val="0"/>
          <w:sz w:val="24"/>
          <w:szCs w:val="24"/>
          <w:lang w:val="en-IN" w:eastAsia="en-IN"/>
          <w14:ligatures w14:val="none"/>
        </w:rPr>
        <w:t xml:space="preserve">the COVID-19 pandemic. </w:t>
      </w:r>
    </w:p>
    <w:p w14:paraId="19585C72" w14:textId="4C463651" w:rsidR="00755741" w:rsidRDefault="00755741" w:rsidP="00E83B11">
      <w:pPr>
        <w:pStyle w:val="ListParagraph"/>
        <w:numPr>
          <w:ilvl w:val="0"/>
          <w:numId w:val="28"/>
        </w:numPr>
        <w:spacing w:after="0" w:line="360" w:lineRule="auto"/>
        <w:rPr>
          <w:rFonts w:ascii="Arial" w:eastAsia="Times New Roman" w:hAnsi="Arial" w:cs="Arial"/>
          <w:kern w:val="0"/>
          <w:sz w:val="24"/>
          <w:szCs w:val="24"/>
          <w:lang w:val="en-IN" w:eastAsia="en-IN"/>
          <w14:ligatures w14:val="none"/>
        </w:rPr>
      </w:pPr>
      <w:r w:rsidRPr="00E83B11">
        <w:rPr>
          <w:rFonts w:ascii="Arial" w:eastAsia="Times New Roman" w:hAnsi="Arial" w:cs="Arial"/>
          <w:kern w:val="0"/>
          <w:sz w:val="24"/>
          <w:szCs w:val="24"/>
          <w:lang w:val="en-IN" w:eastAsia="en-IN"/>
          <w14:ligatures w14:val="none"/>
        </w:rPr>
        <w:t>Improving cooperation and multidisciplinary viewpoints, with contributions from stakeholders, industry experts, and financial analysts, might improve the study and guarantee a more thorough evaluation.</w:t>
      </w:r>
    </w:p>
    <w:p w14:paraId="0E1B7BC0" w14:textId="77777777" w:rsidR="004D2BEA" w:rsidRPr="004D2BEA" w:rsidRDefault="004D2BEA" w:rsidP="004D2BEA">
      <w:pPr>
        <w:pStyle w:val="ListParagraph"/>
        <w:spacing w:after="0" w:line="360" w:lineRule="auto"/>
        <w:rPr>
          <w:rFonts w:ascii="Arial" w:eastAsia="Times New Roman" w:hAnsi="Arial" w:cs="Arial"/>
          <w:b/>
          <w:bCs/>
          <w:kern w:val="0"/>
          <w:sz w:val="24"/>
          <w:szCs w:val="24"/>
          <w:lang w:val="en-IN" w:eastAsia="en-IN"/>
          <w14:ligatures w14:val="none"/>
        </w:rPr>
      </w:pPr>
    </w:p>
    <w:p w14:paraId="1DE2DB30" w14:textId="77777777" w:rsidR="00635807" w:rsidRDefault="00635807" w:rsidP="00635807">
      <w:pPr>
        <w:spacing w:after="0" w:line="360" w:lineRule="auto"/>
        <w:rPr>
          <w:rFonts w:ascii="Arial" w:eastAsia="Times New Roman" w:hAnsi="Arial" w:cs="Arial"/>
          <w:b/>
          <w:bCs/>
          <w:kern w:val="0"/>
          <w:sz w:val="24"/>
          <w:szCs w:val="24"/>
          <w:lang w:val="en-IN" w:eastAsia="en-IN"/>
          <w14:ligatures w14:val="none"/>
        </w:rPr>
      </w:pPr>
      <w:r w:rsidRPr="004D2BEA">
        <w:rPr>
          <w:rFonts w:ascii="Arial" w:eastAsia="Times New Roman" w:hAnsi="Arial" w:cs="Arial"/>
          <w:b/>
          <w:bCs/>
          <w:kern w:val="0"/>
          <w:sz w:val="24"/>
          <w:szCs w:val="24"/>
          <w:lang w:val="en-IN" w:eastAsia="en-IN"/>
          <w14:ligatures w14:val="none"/>
        </w:rPr>
        <w:t xml:space="preserve">Future Implications for Data-Driven Decision-Making: </w:t>
      </w:r>
    </w:p>
    <w:p w14:paraId="451178A3" w14:textId="77777777" w:rsidR="004D2BEA" w:rsidRPr="004D2BEA" w:rsidRDefault="004D2BEA" w:rsidP="00635807">
      <w:pPr>
        <w:spacing w:after="0" w:line="360" w:lineRule="auto"/>
        <w:rPr>
          <w:rFonts w:ascii="Arial" w:eastAsia="Times New Roman" w:hAnsi="Arial" w:cs="Arial"/>
          <w:b/>
          <w:bCs/>
          <w:kern w:val="0"/>
          <w:sz w:val="24"/>
          <w:szCs w:val="24"/>
          <w:lang w:val="en-IN" w:eastAsia="en-IN"/>
          <w14:ligatures w14:val="none"/>
        </w:rPr>
      </w:pPr>
    </w:p>
    <w:p w14:paraId="134438ED" w14:textId="77777777" w:rsidR="00635807" w:rsidRDefault="00635807" w:rsidP="00635807">
      <w:pPr>
        <w:pStyle w:val="ListParagraph"/>
        <w:numPr>
          <w:ilvl w:val="0"/>
          <w:numId w:val="30"/>
        </w:numPr>
        <w:spacing w:after="0" w:line="360" w:lineRule="auto"/>
        <w:rPr>
          <w:rFonts w:ascii="Arial" w:eastAsia="Times New Roman" w:hAnsi="Arial" w:cs="Arial"/>
          <w:kern w:val="0"/>
          <w:sz w:val="24"/>
          <w:szCs w:val="24"/>
          <w:lang w:val="en-IN" w:eastAsia="en-IN"/>
          <w14:ligatures w14:val="none"/>
        </w:rPr>
      </w:pPr>
      <w:r w:rsidRPr="00635807">
        <w:rPr>
          <w:rFonts w:ascii="Arial" w:eastAsia="Times New Roman" w:hAnsi="Arial" w:cs="Arial"/>
          <w:kern w:val="0"/>
          <w:sz w:val="24"/>
          <w:szCs w:val="24"/>
          <w:lang w:val="en-IN" w:eastAsia="en-IN"/>
          <w14:ligatures w14:val="none"/>
        </w:rPr>
        <w:t>The experience acquired from completing this research emphasizes the importance of data-driven decision-making in understanding company dynamics and making strategic decisions.</w:t>
      </w:r>
    </w:p>
    <w:p w14:paraId="6A73D940" w14:textId="65C0AC70" w:rsidR="00635807" w:rsidRDefault="00635807" w:rsidP="00635807">
      <w:pPr>
        <w:pStyle w:val="ListParagraph"/>
        <w:numPr>
          <w:ilvl w:val="0"/>
          <w:numId w:val="30"/>
        </w:numPr>
        <w:spacing w:after="0" w:line="360" w:lineRule="auto"/>
        <w:rPr>
          <w:rFonts w:ascii="Arial" w:eastAsia="Times New Roman" w:hAnsi="Arial" w:cs="Arial"/>
          <w:kern w:val="0"/>
          <w:sz w:val="24"/>
          <w:szCs w:val="24"/>
          <w:lang w:val="en-IN" w:eastAsia="en-IN"/>
          <w14:ligatures w14:val="none"/>
        </w:rPr>
      </w:pPr>
      <w:r w:rsidRPr="00635807">
        <w:rPr>
          <w:rFonts w:ascii="Arial" w:eastAsia="Times New Roman" w:hAnsi="Arial" w:cs="Arial"/>
          <w:kern w:val="0"/>
          <w:sz w:val="24"/>
          <w:szCs w:val="24"/>
          <w:lang w:val="en-IN" w:eastAsia="en-IN"/>
          <w14:ligatures w14:val="none"/>
        </w:rPr>
        <w:t xml:space="preserve">Advancements in data analytics tools and methodologies provide </w:t>
      </w:r>
      <w:r>
        <w:rPr>
          <w:rFonts w:ascii="Arial" w:eastAsia="Times New Roman" w:hAnsi="Arial" w:cs="Arial"/>
          <w:kern w:val="0"/>
          <w:sz w:val="24"/>
          <w:szCs w:val="24"/>
          <w:lang w:val="en-IN" w:eastAsia="en-IN"/>
          <w14:ligatures w14:val="none"/>
        </w:rPr>
        <w:t xml:space="preserve">the </w:t>
      </w:r>
      <w:r w:rsidRPr="00635807">
        <w:rPr>
          <w:rFonts w:ascii="Arial" w:eastAsia="Times New Roman" w:hAnsi="Arial" w:cs="Arial"/>
          <w:kern w:val="0"/>
          <w:sz w:val="24"/>
          <w:szCs w:val="24"/>
          <w:lang w:val="en-IN" w:eastAsia="en-IN"/>
          <w14:ligatures w14:val="none"/>
        </w:rPr>
        <w:t xml:space="preserve">potential for more complex analysis and predictive </w:t>
      </w:r>
      <w:r>
        <w:rPr>
          <w:rFonts w:ascii="Arial" w:eastAsia="Times New Roman" w:hAnsi="Arial" w:cs="Arial"/>
          <w:kern w:val="0"/>
          <w:sz w:val="24"/>
          <w:szCs w:val="24"/>
          <w:lang w:val="en-IN" w:eastAsia="en-IN"/>
          <w14:ligatures w14:val="none"/>
        </w:rPr>
        <w:t>modelling</w:t>
      </w:r>
      <w:r w:rsidRPr="00635807">
        <w:rPr>
          <w:rFonts w:ascii="Arial" w:eastAsia="Times New Roman" w:hAnsi="Arial" w:cs="Arial"/>
          <w:kern w:val="0"/>
          <w:sz w:val="24"/>
          <w:szCs w:val="24"/>
          <w:lang w:val="en-IN" w:eastAsia="en-IN"/>
          <w14:ligatures w14:val="none"/>
        </w:rPr>
        <w:t xml:space="preserve">, allowing companies to solve difficulties and capitalize on opportunities in a proactive manner. </w:t>
      </w:r>
    </w:p>
    <w:p w14:paraId="2FC69458" w14:textId="574AC4FC" w:rsidR="00635807" w:rsidRDefault="00635807" w:rsidP="00635807">
      <w:pPr>
        <w:pStyle w:val="ListParagraph"/>
        <w:numPr>
          <w:ilvl w:val="0"/>
          <w:numId w:val="30"/>
        </w:numPr>
        <w:spacing w:after="0" w:line="360" w:lineRule="auto"/>
        <w:rPr>
          <w:rFonts w:ascii="Arial" w:eastAsia="Times New Roman" w:hAnsi="Arial" w:cs="Arial"/>
          <w:kern w:val="0"/>
          <w:sz w:val="24"/>
          <w:szCs w:val="24"/>
          <w:lang w:val="en-IN" w:eastAsia="en-IN"/>
          <w14:ligatures w14:val="none"/>
        </w:rPr>
      </w:pPr>
      <w:r w:rsidRPr="00635807">
        <w:rPr>
          <w:rFonts w:ascii="Arial" w:eastAsia="Times New Roman" w:hAnsi="Arial" w:cs="Arial"/>
          <w:kern w:val="0"/>
          <w:sz w:val="24"/>
          <w:szCs w:val="24"/>
          <w:lang w:val="en-IN" w:eastAsia="en-IN"/>
          <w14:ligatures w14:val="none"/>
        </w:rPr>
        <w:t xml:space="preserve">Embracing a culture of data-driven decision-making may help firms adapt to changing market conditions, improve operational efficiency, and generate long-term success. </w:t>
      </w:r>
    </w:p>
    <w:p w14:paraId="02D81986" w14:textId="77777777" w:rsidR="004E2550" w:rsidRDefault="004E2550" w:rsidP="004E2550">
      <w:pPr>
        <w:spacing w:after="0" w:line="360" w:lineRule="auto"/>
        <w:rPr>
          <w:rFonts w:ascii="Arial" w:eastAsia="Times New Roman" w:hAnsi="Arial" w:cs="Arial"/>
          <w:kern w:val="0"/>
          <w:sz w:val="24"/>
          <w:szCs w:val="24"/>
          <w:lang w:val="en-IN" w:eastAsia="en-IN"/>
          <w14:ligatures w14:val="none"/>
        </w:rPr>
      </w:pPr>
    </w:p>
    <w:p w14:paraId="63BDE90B" w14:textId="77777777" w:rsidR="004E2550" w:rsidRDefault="004E2550" w:rsidP="004E2550">
      <w:pPr>
        <w:spacing w:after="0" w:line="360" w:lineRule="auto"/>
        <w:rPr>
          <w:rFonts w:ascii="Arial" w:eastAsia="Times New Roman" w:hAnsi="Arial" w:cs="Arial"/>
          <w:kern w:val="0"/>
          <w:sz w:val="24"/>
          <w:szCs w:val="24"/>
          <w:lang w:val="en-IN" w:eastAsia="en-IN"/>
          <w14:ligatures w14:val="none"/>
        </w:rPr>
      </w:pPr>
    </w:p>
    <w:p w14:paraId="72F5F134" w14:textId="77777777" w:rsidR="004E2550" w:rsidRDefault="004E2550" w:rsidP="004E2550">
      <w:pPr>
        <w:spacing w:after="0" w:line="360" w:lineRule="auto"/>
        <w:rPr>
          <w:rFonts w:ascii="Arial" w:eastAsia="Times New Roman" w:hAnsi="Arial" w:cs="Arial"/>
          <w:kern w:val="0"/>
          <w:sz w:val="24"/>
          <w:szCs w:val="24"/>
          <w:lang w:val="en-IN" w:eastAsia="en-IN"/>
          <w14:ligatures w14:val="none"/>
        </w:rPr>
      </w:pPr>
    </w:p>
    <w:p w14:paraId="2BD02D97" w14:textId="77777777" w:rsidR="004E2550" w:rsidRDefault="004E2550" w:rsidP="004E2550">
      <w:pPr>
        <w:spacing w:after="0" w:line="360" w:lineRule="auto"/>
        <w:rPr>
          <w:rFonts w:ascii="Arial" w:eastAsia="Times New Roman" w:hAnsi="Arial" w:cs="Arial"/>
          <w:kern w:val="0"/>
          <w:sz w:val="24"/>
          <w:szCs w:val="24"/>
          <w:lang w:val="en-IN" w:eastAsia="en-IN"/>
          <w14:ligatures w14:val="none"/>
        </w:rPr>
      </w:pPr>
    </w:p>
    <w:p w14:paraId="626C2C85" w14:textId="77777777" w:rsidR="004E2550" w:rsidRPr="004E2550" w:rsidRDefault="004E2550" w:rsidP="004E2550">
      <w:pPr>
        <w:spacing w:after="0" w:line="360" w:lineRule="auto"/>
        <w:rPr>
          <w:rFonts w:ascii="Arial" w:eastAsia="Times New Roman" w:hAnsi="Arial" w:cs="Arial"/>
          <w:kern w:val="0"/>
          <w:sz w:val="24"/>
          <w:szCs w:val="24"/>
          <w:lang w:val="en-IN" w:eastAsia="en-IN"/>
          <w14:ligatures w14:val="none"/>
        </w:rPr>
      </w:pPr>
    </w:p>
    <w:p w14:paraId="1681549D" w14:textId="567ADC44" w:rsidR="004E2550" w:rsidRPr="004E2550" w:rsidRDefault="004E2550" w:rsidP="004E2550">
      <w:pPr>
        <w:spacing w:after="0" w:line="360" w:lineRule="auto"/>
        <w:rPr>
          <w:rFonts w:ascii="Times New Roman" w:eastAsia="Times New Roman" w:hAnsi="Times New Roman" w:cs="Times New Roman"/>
          <w:kern w:val="0"/>
          <w:sz w:val="24"/>
          <w:szCs w:val="24"/>
          <w:lang w:val="en-IN" w:eastAsia="en-IN"/>
          <w14:ligatures w14:val="none"/>
        </w:rPr>
      </w:pPr>
      <w:r w:rsidRPr="004E2550">
        <w:rPr>
          <w:rFonts w:ascii="Arial" w:eastAsia="Times New Roman" w:hAnsi="Arial" w:cs="Arial"/>
          <w:b/>
          <w:bCs/>
          <w:kern w:val="0"/>
          <w:sz w:val="24"/>
          <w:szCs w:val="24"/>
          <w:lang w:val="en-IN" w:eastAsia="en-IN"/>
          <w14:ligatures w14:val="none"/>
        </w:rPr>
        <w:t>Surprising insight</w:t>
      </w:r>
      <w:r w:rsidRPr="004E2550">
        <w:rPr>
          <w:rFonts w:ascii="Arial" w:eastAsia="Times New Roman" w:hAnsi="Arial" w:cs="Arial"/>
          <w:kern w:val="0"/>
          <w:sz w:val="24"/>
          <w:szCs w:val="24"/>
          <w:lang w:val="en-IN" w:eastAsia="en-IN"/>
          <w14:ligatures w14:val="none"/>
        </w:rPr>
        <w:t xml:space="preserve">: </w:t>
      </w:r>
      <w:r w:rsidRPr="004E2550">
        <w:rPr>
          <w:rFonts w:ascii="Arial" w:eastAsia="Times New Roman" w:hAnsi="Arial" w:cs="Arial"/>
          <w:kern w:val="0"/>
          <w:sz w:val="24"/>
          <w:szCs w:val="24"/>
          <w:lang w:val="en-IN" w:eastAsia="en-IN"/>
          <w14:ligatures w14:val="none"/>
        </w:rPr>
        <w:br/>
      </w:r>
      <w:r w:rsidRPr="004E2550">
        <w:rPr>
          <w:rFonts w:ascii="Arial" w:eastAsia="Times New Roman" w:hAnsi="Arial" w:cs="Arial"/>
          <w:kern w:val="0"/>
          <w:sz w:val="24"/>
          <w:szCs w:val="24"/>
          <w:lang w:val="en-IN" w:eastAsia="en-IN"/>
          <w14:ligatures w14:val="none"/>
        </w:rPr>
        <w:br/>
      </w:r>
      <w:r>
        <w:rPr>
          <w:rFonts w:ascii="Arial" w:eastAsia="Times New Roman" w:hAnsi="Arial" w:cs="Arial"/>
          <w:kern w:val="0"/>
          <w:sz w:val="24"/>
          <w:szCs w:val="24"/>
          <w:lang w:val="en-IN" w:eastAsia="en-IN"/>
          <w14:ligatures w14:val="none"/>
        </w:rPr>
        <w:t xml:space="preserve"> </w:t>
      </w:r>
      <w:r w:rsidRPr="004E2550">
        <w:rPr>
          <w:rFonts w:ascii="Arial" w:eastAsia="Times New Roman" w:hAnsi="Arial" w:cs="Arial"/>
          <w:kern w:val="0"/>
          <w:sz w:val="24"/>
          <w:szCs w:val="24"/>
          <w:lang w:val="en-IN" w:eastAsia="en-IN"/>
          <w14:ligatures w14:val="none"/>
        </w:rPr>
        <w:t xml:space="preserve">Despite Flybe's attempts to </w:t>
      </w:r>
      <w:r w:rsidR="00CB5F0B">
        <w:rPr>
          <w:rFonts w:ascii="Arial" w:eastAsia="Times New Roman" w:hAnsi="Arial" w:cs="Arial"/>
          <w:kern w:val="0"/>
          <w:sz w:val="24"/>
          <w:szCs w:val="24"/>
          <w:lang w:val="en-IN" w:eastAsia="en-IN"/>
          <w14:ligatures w14:val="none"/>
        </w:rPr>
        <w:t>prioritise</w:t>
      </w:r>
      <w:r w:rsidRPr="004E2550">
        <w:rPr>
          <w:rFonts w:ascii="Arial" w:eastAsia="Times New Roman" w:hAnsi="Arial" w:cs="Arial"/>
          <w:kern w:val="0"/>
          <w:sz w:val="24"/>
          <w:szCs w:val="24"/>
          <w:lang w:val="en-IN" w:eastAsia="en-IN"/>
          <w14:ligatures w14:val="none"/>
        </w:rPr>
        <w:t xml:space="preserve"> customer satisfaction and</w:t>
      </w:r>
      <w:r>
        <w:rPr>
          <w:rFonts w:ascii="Arial" w:eastAsia="Times New Roman" w:hAnsi="Arial" w:cs="Arial"/>
          <w:kern w:val="0"/>
          <w:sz w:val="24"/>
          <w:szCs w:val="24"/>
          <w:lang w:val="en-IN" w:eastAsia="en-IN"/>
          <w14:ligatures w14:val="none"/>
        </w:rPr>
        <w:t xml:space="preserve"> </w:t>
      </w:r>
      <w:r w:rsidRPr="004E2550">
        <w:rPr>
          <w:rFonts w:ascii="Arial" w:eastAsia="Times New Roman" w:hAnsi="Arial" w:cs="Arial"/>
          <w:kern w:val="0"/>
          <w:sz w:val="24"/>
          <w:szCs w:val="24"/>
          <w:lang w:val="en-IN" w:eastAsia="en-IN"/>
          <w14:ligatures w14:val="none"/>
        </w:rPr>
        <w:t>operational</w:t>
      </w:r>
      <w:r>
        <w:rPr>
          <w:rFonts w:ascii="Arial" w:eastAsia="Times New Roman" w:hAnsi="Arial" w:cs="Arial"/>
          <w:kern w:val="0"/>
          <w:sz w:val="24"/>
          <w:szCs w:val="24"/>
          <w:lang w:val="en-IN" w:eastAsia="en-IN"/>
          <w14:ligatures w14:val="none"/>
        </w:rPr>
        <w:t xml:space="preserve"> </w:t>
      </w:r>
      <w:r w:rsidRPr="004E2550">
        <w:rPr>
          <w:rFonts w:ascii="Arial" w:eastAsia="Times New Roman" w:hAnsi="Arial" w:cs="Arial"/>
          <w:kern w:val="0"/>
          <w:sz w:val="24"/>
          <w:szCs w:val="24"/>
          <w:lang w:val="en-IN" w:eastAsia="en-IN"/>
          <w14:ligatures w14:val="none"/>
        </w:rPr>
        <w:t xml:space="preserve">efficiency, ongoing financial issues, compounded by external factors </w:t>
      </w:r>
      <w:r w:rsidR="00CB5F0B">
        <w:rPr>
          <w:rFonts w:ascii="Arial" w:eastAsia="Times New Roman" w:hAnsi="Arial" w:cs="Arial"/>
          <w:kern w:val="0"/>
          <w:sz w:val="24"/>
          <w:szCs w:val="24"/>
          <w:lang w:val="en-IN" w:eastAsia="en-IN"/>
          <w14:ligatures w14:val="none"/>
        </w:rPr>
        <w:t>such</w:t>
      </w:r>
      <w:r w:rsidRPr="004E2550">
        <w:rPr>
          <w:rFonts w:ascii="Arial" w:eastAsia="Times New Roman" w:hAnsi="Arial" w:cs="Arial"/>
          <w:kern w:val="0"/>
          <w:sz w:val="24"/>
          <w:szCs w:val="24"/>
          <w:lang w:val="en-IN" w:eastAsia="en-IN"/>
          <w14:ligatures w14:val="none"/>
        </w:rPr>
        <w:t xml:space="preserve"> as competition and the COVID-19 epidemic, eventually led to the company's dissolution. This </w:t>
      </w:r>
      <w:r w:rsidR="00CB5F0B">
        <w:rPr>
          <w:rFonts w:ascii="Arial" w:eastAsia="Times New Roman" w:hAnsi="Arial" w:cs="Arial"/>
          <w:kern w:val="0"/>
          <w:sz w:val="24"/>
          <w:szCs w:val="24"/>
          <w:lang w:val="en-IN" w:eastAsia="en-IN"/>
          <w14:ligatures w14:val="none"/>
        </w:rPr>
        <w:t>emphasises</w:t>
      </w:r>
      <w:r w:rsidRPr="004E2550">
        <w:rPr>
          <w:rFonts w:ascii="Arial" w:eastAsia="Times New Roman" w:hAnsi="Arial" w:cs="Arial"/>
          <w:kern w:val="0"/>
          <w:sz w:val="24"/>
          <w:szCs w:val="24"/>
          <w:lang w:val="en-IN" w:eastAsia="en-IN"/>
          <w14:ligatures w14:val="none"/>
        </w:rPr>
        <w:t xml:space="preserve"> the complex interaction of internal and external forces that shape business results, as well as the significance of resilience and adaptation in the face of adversity</w:t>
      </w:r>
      <w:r w:rsidRPr="004E2550">
        <w:rPr>
          <w:rFonts w:ascii="Times New Roman" w:eastAsia="Times New Roman" w:hAnsi="Times New Roman" w:cs="Times New Roman"/>
          <w:kern w:val="0"/>
          <w:sz w:val="24"/>
          <w:szCs w:val="24"/>
          <w:lang w:val="en-IN" w:eastAsia="en-IN"/>
          <w14:ligatures w14:val="none"/>
        </w:rPr>
        <w:t>.</w:t>
      </w:r>
    </w:p>
    <w:p w14:paraId="1522DF54" w14:textId="77777777" w:rsidR="00BD52DE" w:rsidRPr="00635807" w:rsidRDefault="00BD52DE" w:rsidP="004E2550">
      <w:pPr>
        <w:pStyle w:val="ListParagraph"/>
        <w:spacing w:after="0" w:line="360" w:lineRule="auto"/>
        <w:jc w:val="both"/>
        <w:rPr>
          <w:rFonts w:ascii="Arial" w:eastAsia="Times New Roman" w:hAnsi="Arial" w:cs="Arial"/>
          <w:kern w:val="0"/>
          <w:sz w:val="24"/>
          <w:szCs w:val="24"/>
          <w:lang w:val="en-IN" w:eastAsia="en-IN"/>
          <w14:ligatures w14:val="none"/>
        </w:rPr>
      </w:pPr>
    </w:p>
    <w:p w14:paraId="727968E0" w14:textId="77777777" w:rsidR="004171BA" w:rsidRPr="00635807" w:rsidRDefault="004171BA" w:rsidP="004E2550">
      <w:pPr>
        <w:pStyle w:val="ListParagraph"/>
        <w:spacing w:after="0" w:line="360" w:lineRule="auto"/>
        <w:jc w:val="both"/>
        <w:rPr>
          <w:rFonts w:ascii="Arial" w:eastAsia="Times New Roman" w:hAnsi="Arial" w:cs="Arial"/>
          <w:kern w:val="0"/>
          <w:sz w:val="24"/>
          <w:szCs w:val="24"/>
          <w:lang w:val="en-IN" w:eastAsia="en-IN"/>
          <w14:ligatures w14:val="none"/>
        </w:rPr>
      </w:pPr>
    </w:p>
    <w:p w14:paraId="0B132694" w14:textId="77777777" w:rsidR="00C3194E" w:rsidRPr="00755741" w:rsidRDefault="00C3194E" w:rsidP="004E2550">
      <w:pPr>
        <w:pStyle w:val="ListParagraph"/>
        <w:spacing w:after="0" w:line="360" w:lineRule="auto"/>
        <w:jc w:val="both"/>
        <w:rPr>
          <w:rFonts w:ascii="Arial" w:eastAsia="Times New Roman" w:hAnsi="Arial" w:cs="Arial"/>
          <w:kern w:val="0"/>
          <w:sz w:val="24"/>
          <w:szCs w:val="24"/>
          <w:lang w:val="en-IN" w:eastAsia="en-IN"/>
          <w14:ligatures w14:val="none"/>
        </w:rPr>
      </w:pPr>
    </w:p>
    <w:p w14:paraId="69F0D9F6" w14:textId="1DD6FB6D" w:rsidR="00C404F7" w:rsidRPr="004D2BEA" w:rsidRDefault="00C404F7" w:rsidP="004D2BEA">
      <w:pPr>
        <w:pStyle w:val="ListParagraph"/>
        <w:numPr>
          <w:ilvl w:val="0"/>
          <w:numId w:val="1"/>
        </w:numPr>
        <w:jc w:val="both"/>
        <w:outlineLvl w:val="0"/>
        <w:rPr>
          <w:rFonts w:ascii="Arial" w:hAnsi="Arial" w:cs="Arial"/>
          <w:b/>
          <w:bCs/>
          <w:sz w:val="24"/>
          <w:szCs w:val="24"/>
        </w:rPr>
      </w:pPr>
      <w:bookmarkStart w:id="61" w:name="_Toc166265738"/>
      <w:bookmarkStart w:id="62" w:name="_Toc166266146"/>
      <w:bookmarkStart w:id="63" w:name="_Toc166266373"/>
      <w:r w:rsidRPr="004D2BEA">
        <w:rPr>
          <w:rFonts w:ascii="Arial" w:hAnsi="Arial" w:cs="Arial"/>
          <w:b/>
          <w:bCs/>
          <w:sz w:val="24"/>
          <w:szCs w:val="24"/>
        </w:rPr>
        <w:t>REFERENCE</w:t>
      </w:r>
      <w:bookmarkEnd w:id="61"/>
      <w:bookmarkEnd w:id="62"/>
      <w:bookmarkEnd w:id="63"/>
    </w:p>
    <w:p w14:paraId="57E6AC80" w14:textId="77777777" w:rsidR="00C404F7" w:rsidRPr="00C72781" w:rsidRDefault="00C404F7" w:rsidP="00C404F7">
      <w:pPr>
        <w:spacing w:line="360" w:lineRule="auto"/>
        <w:jc w:val="both"/>
        <w:rPr>
          <w:rFonts w:ascii="Arial" w:hAnsi="Arial" w:cs="Arial"/>
          <w:sz w:val="24"/>
          <w:szCs w:val="24"/>
        </w:rPr>
      </w:pPr>
      <w:r>
        <w:rPr>
          <w:rFonts w:ascii="Arial" w:hAnsi="Arial" w:cs="Arial"/>
          <w:sz w:val="24"/>
          <w:szCs w:val="24"/>
        </w:rPr>
        <w:t>1.</w:t>
      </w:r>
      <w:r w:rsidRPr="00C72781">
        <w:rPr>
          <w:rFonts w:ascii="Arial" w:hAnsi="Arial" w:cs="Arial"/>
          <w:sz w:val="24"/>
          <w:szCs w:val="24"/>
        </w:rPr>
        <w:t xml:space="preserve">GOV.UK (2021). </w:t>
      </w:r>
      <w:r w:rsidRPr="00C72781">
        <w:rPr>
          <w:rFonts w:ascii="Arial" w:hAnsi="Arial" w:cs="Arial"/>
          <w:i/>
          <w:iCs/>
          <w:sz w:val="24"/>
          <w:szCs w:val="24"/>
        </w:rPr>
        <w:t>FLYBE GROUP LIMITED Filing History - Find and Update Company Information - GOV.UK</w:t>
      </w:r>
      <w:r w:rsidRPr="00C72781">
        <w:rPr>
          <w:rFonts w:ascii="Arial" w:hAnsi="Arial" w:cs="Arial"/>
          <w:sz w:val="24"/>
          <w:szCs w:val="24"/>
        </w:rPr>
        <w:t xml:space="preserve">. [online] find-and-update.company-information.service.gov.uk. Available at: </w:t>
      </w:r>
      <w:hyperlink r:id="rId23" w:history="1">
        <w:r w:rsidRPr="00C72781">
          <w:rPr>
            <w:rStyle w:val="Hyperlink"/>
            <w:rFonts w:ascii="Arial" w:hAnsi="Arial" w:cs="Arial"/>
            <w:sz w:val="24"/>
            <w:szCs w:val="24"/>
          </w:rPr>
          <w:t>https://find-and-update.company-information.service.gov.uk/company/01373432/filing-history</w:t>
        </w:r>
      </w:hyperlink>
    </w:p>
    <w:p w14:paraId="47748730" w14:textId="77777777" w:rsidR="00C404F7" w:rsidRPr="00F671BF" w:rsidRDefault="00C404F7" w:rsidP="00C404F7">
      <w:pPr>
        <w:spacing w:line="360" w:lineRule="auto"/>
        <w:jc w:val="both"/>
        <w:rPr>
          <w:rFonts w:ascii="Arial" w:hAnsi="Arial" w:cs="Arial"/>
          <w:sz w:val="24"/>
          <w:szCs w:val="24"/>
        </w:rPr>
      </w:pPr>
      <w:r w:rsidRPr="002E4C10">
        <w:rPr>
          <w:rFonts w:ascii="Arial" w:hAnsi="Arial" w:cs="Arial"/>
          <w:sz w:val="24"/>
          <w:szCs w:val="24"/>
        </w:rPr>
        <w:t xml:space="preserve"> [Accessed 6 May 2024].</w:t>
      </w:r>
    </w:p>
    <w:p w14:paraId="5C730A5D" w14:textId="77777777" w:rsidR="00C404F7" w:rsidRPr="00F671BF" w:rsidRDefault="00C404F7" w:rsidP="00C404F7">
      <w:pPr>
        <w:spacing w:line="360" w:lineRule="auto"/>
        <w:jc w:val="both"/>
        <w:rPr>
          <w:rFonts w:ascii="Arial" w:hAnsi="Arial" w:cs="Arial"/>
          <w:sz w:val="24"/>
          <w:szCs w:val="24"/>
        </w:rPr>
      </w:pPr>
      <w:r>
        <w:rPr>
          <w:rFonts w:ascii="Arial" w:hAnsi="Arial" w:cs="Arial"/>
          <w:sz w:val="24"/>
          <w:szCs w:val="24"/>
        </w:rPr>
        <w:t xml:space="preserve">2. </w:t>
      </w:r>
      <w:r w:rsidRPr="00F671BF">
        <w:rPr>
          <w:rFonts w:ascii="Arial" w:hAnsi="Arial" w:cs="Arial"/>
          <w:sz w:val="24"/>
          <w:szCs w:val="24"/>
        </w:rPr>
        <w:t>Flybe Annual Report (2017-18)</w:t>
      </w:r>
    </w:p>
    <w:p w14:paraId="44616807" w14:textId="77777777" w:rsidR="00C404F7" w:rsidRPr="00F671BF" w:rsidRDefault="00000000" w:rsidP="00C404F7">
      <w:pPr>
        <w:spacing w:line="360" w:lineRule="auto"/>
        <w:jc w:val="both"/>
        <w:rPr>
          <w:rFonts w:ascii="Arial" w:hAnsi="Arial" w:cs="Arial"/>
          <w:sz w:val="24"/>
          <w:szCs w:val="24"/>
        </w:rPr>
      </w:pPr>
      <w:hyperlink r:id="rId24" w:history="1">
        <w:r w:rsidR="00C404F7" w:rsidRPr="00F671BF">
          <w:rPr>
            <w:rStyle w:val="Hyperlink"/>
            <w:rFonts w:ascii="Arial" w:hAnsi="Arial" w:cs="Arial"/>
            <w:sz w:val="24"/>
            <w:szCs w:val="24"/>
          </w:rPr>
          <w:t>https://flybeplc.github.io/deal/rns/Flybe_Annual_Report_2017-18.pdf</w:t>
        </w:r>
      </w:hyperlink>
    </w:p>
    <w:p w14:paraId="67E0B101" w14:textId="77777777" w:rsidR="00C404F7" w:rsidRDefault="00C404F7" w:rsidP="00C404F7">
      <w:pPr>
        <w:spacing w:line="360" w:lineRule="auto"/>
        <w:jc w:val="both"/>
        <w:rPr>
          <w:rFonts w:ascii="Arial" w:hAnsi="Arial" w:cs="Arial"/>
          <w:sz w:val="24"/>
          <w:szCs w:val="24"/>
        </w:rPr>
      </w:pPr>
      <w:r>
        <w:rPr>
          <w:rFonts w:ascii="Arial" w:hAnsi="Arial" w:cs="Arial"/>
          <w:sz w:val="24"/>
          <w:szCs w:val="24"/>
        </w:rPr>
        <w:t xml:space="preserve">3. </w:t>
      </w:r>
      <w:r w:rsidRPr="00B06D1F">
        <w:rPr>
          <w:rFonts w:ascii="Arial" w:hAnsi="Arial" w:cs="Arial"/>
          <w:sz w:val="24"/>
          <w:szCs w:val="24"/>
        </w:rPr>
        <w:t>Flybe Limited (in Administration)</w:t>
      </w:r>
    </w:p>
    <w:p w14:paraId="31F352C0" w14:textId="77777777" w:rsidR="00C404F7" w:rsidRDefault="00000000" w:rsidP="00C404F7">
      <w:pPr>
        <w:spacing w:line="360" w:lineRule="auto"/>
        <w:jc w:val="both"/>
        <w:rPr>
          <w:rFonts w:ascii="Arial" w:hAnsi="Arial" w:cs="Arial"/>
          <w:sz w:val="24"/>
          <w:szCs w:val="24"/>
        </w:rPr>
      </w:pPr>
      <w:hyperlink r:id="rId25" w:history="1">
        <w:r w:rsidR="00C404F7" w:rsidRPr="00D42EC8">
          <w:rPr>
            <w:rStyle w:val="Hyperlink"/>
            <w:rFonts w:ascii="Arial" w:hAnsi="Arial" w:cs="Arial"/>
            <w:sz w:val="24"/>
            <w:szCs w:val="24"/>
          </w:rPr>
          <w:t>https://assets.ey.com/content/dam/ey-sites/ey-com/en_uk/generic/fbe-realisations-2021-limited-administration/ey-flybe-administrators-proposals-no-decision-by-creditors.pdf</w:t>
        </w:r>
      </w:hyperlink>
    </w:p>
    <w:p w14:paraId="5EBA4BFE"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4.</w:t>
      </w:r>
      <w:r w:rsidRPr="00B1596F">
        <w:rPr>
          <w:rFonts w:ascii="Arial" w:hAnsi="Arial" w:cs="Arial"/>
          <w:sz w:val="24"/>
          <w:szCs w:val="24"/>
          <w:lang w:val="en-IN"/>
        </w:rPr>
        <w:t xml:space="preserve">Macheras, A. (2018). </w:t>
      </w:r>
      <w:r w:rsidRPr="00B1596F">
        <w:rPr>
          <w:rFonts w:ascii="Arial" w:hAnsi="Arial" w:cs="Arial"/>
          <w:i/>
          <w:iCs/>
          <w:sz w:val="24"/>
          <w:szCs w:val="24"/>
          <w:lang w:val="en-IN"/>
        </w:rPr>
        <w:t>FlyBe Is in Financial Trouble: Analysis</w:t>
      </w:r>
      <w:r w:rsidRPr="00B1596F">
        <w:rPr>
          <w:rFonts w:ascii="Arial" w:hAnsi="Arial" w:cs="Arial"/>
          <w:sz w:val="24"/>
          <w:szCs w:val="24"/>
          <w:lang w:val="en-IN"/>
        </w:rPr>
        <w:t xml:space="preserve">. [online] AVIATION ANALYST. Available at: </w:t>
      </w:r>
      <w:hyperlink r:id="rId26" w:history="1">
        <w:r w:rsidRPr="00B1596F">
          <w:rPr>
            <w:rStyle w:val="Hyperlink"/>
            <w:rFonts w:ascii="Arial" w:hAnsi="Arial" w:cs="Arial"/>
            <w:sz w:val="24"/>
            <w:szCs w:val="24"/>
            <w:lang w:val="en-IN"/>
          </w:rPr>
          <w:t>https://aviationanalyst.co.uk/2018/10/17/flybe-is-in-financial-trouble-analysis/</w:t>
        </w:r>
      </w:hyperlink>
    </w:p>
    <w:p w14:paraId="2C022A9D" w14:textId="77777777" w:rsidR="00C404F7" w:rsidRDefault="00C404F7" w:rsidP="00C404F7">
      <w:pPr>
        <w:spacing w:line="360" w:lineRule="auto"/>
        <w:jc w:val="both"/>
        <w:rPr>
          <w:rFonts w:ascii="Arial" w:hAnsi="Arial" w:cs="Arial"/>
          <w:sz w:val="24"/>
          <w:szCs w:val="24"/>
          <w:lang w:val="en-IN"/>
        </w:rPr>
      </w:pPr>
      <w:r w:rsidRPr="00B1596F">
        <w:rPr>
          <w:rFonts w:ascii="Arial" w:hAnsi="Arial" w:cs="Arial"/>
          <w:sz w:val="24"/>
          <w:szCs w:val="24"/>
          <w:lang w:val="en-IN"/>
        </w:rPr>
        <w:t>[Accessed 6 May 2024].</w:t>
      </w:r>
    </w:p>
    <w:p w14:paraId="6A298C9E"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lastRenderedPageBreak/>
        <w:t>5.</w:t>
      </w:r>
      <w:r w:rsidRPr="00586EDB">
        <w:rPr>
          <w:rFonts w:ascii="Arial" w:hAnsi="Arial" w:cs="Arial"/>
          <w:sz w:val="24"/>
          <w:szCs w:val="24"/>
          <w:lang w:val="en-IN"/>
        </w:rPr>
        <w:t xml:space="preserve">Marco Rodolfo Marabese (2012). </w:t>
      </w:r>
      <w:r w:rsidRPr="00586EDB">
        <w:rPr>
          <w:rFonts w:ascii="Arial" w:hAnsi="Arial" w:cs="Arial"/>
          <w:i/>
          <w:iCs/>
          <w:sz w:val="24"/>
          <w:szCs w:val="24"/>
          <w:lang w:val="en-IN"/>
        </w:rPr>
        <w:t>FlyBe Financial Analysis</w:t>
      </w:r>
      <w:r w:rsidRPr="00586EDB">
        <w:rPr>
          <w:rFonts w:ascii="Arial" w:hAnsi="Arial" w:cs="Arial"/>
          <w:sz w:val="24"/>
          <w:szCs w:val="24"/>
          <w:lang w:val="en-IN"/>
        </w:rPr>
        <w:t xml:space="preserve">. [online] Slideshare. Available at: </w:t>
      </w:r>
      <w:hyperlink r:id="rId27" w:history="1">
        <w:r w:rsidRPr="00586EDB">
          <w:rPr>
            <w:rStyle w:val="Hyperlink"/>
            <w:rFonts w:ascii="Arial" w:hAnsi="Arial" w:cs="Arial"/>
            <w:sz w:val="24"/>
            <w:szCs w:val="24"/>
            <w:lang w:val="en-IN"/>
          </w:rPr>
          <w:t>https://www.slideshare.net/marcomarabese/flybe-financial-analysis</w:t>
        </w:r>
      </w:hyperlink>
      <w:r w:rsidRPr="00586EDB">
        <w:rPr>
          <w:rFonts w:ascii="Arial" w:hAnsi="Arial" w:cs="Arial"/>
          <w:sz w:val="24"/>
          <w:szCs w:val="24"/>
          <w:lang w:val="en-IN"/>
        </w:rPr>
        <w:t>.</w:t>
      </w:r>
    </w:p>
    <w:p w14:paraId="57048375"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 xml:space="preserve">6. </w:t>
      </w:r>
      <w:r w:rsidRPr="0012563E">
        <w:rPr>
          <w:rFonts w:ascii="Arial" w:hAnsi="Arial" w:cs="Arial"/>
          <w:sz w:val="24"/>
          <w:szCs w:val="24"/>
          <w:lang w:val="en-IN"/>
        </w:rPr>
        <w:t xml:space="preserve">FAME (2018). </w:t>
      </w:r>
      <w:r w:rsidRPr="0012563E">
        <w:rPr>
          <w:rFonts w:ascii="Arial" w:hAnsi="Arial" w:cs="Arial"/>
          <w:i/>
          <w:iCs/>
          <w:sz w:val="24"/>
          <w:szCs w:val="24"/>
          <w:lang w:val="en-IN"/>
        </w:rPr>
        <w:t>Shibboleth Authentication Request</w:t>
      </w:r>
      <w:r w:rsidRPr="0012563E">
        <w:rPr>
          <w:rFonts w:ascii="Arial" w:hAnsi="Arial" w:cs="Arial"/>
          <w:sz w:val="24"/>
          <w:szCs w:val="24"/>
          <w:lang w:val="en-IN"/>
        </w:rPr>
        <w:t xml:space="preserve">. [online] login.oxfordbrookes.idm.oclc.org. Available at: </w:t>
      </w:r>
      <w:hyperlink r:id="rId28" w:history="1">
        <w:r w:rsidRPr="0012563E">
          <w:rPr>
            <w:rStyle w:val="Hyperlink"/>
            <w:rFonts w:ascii="Arial" w:hAnsi="Arial" w:cs="Arial"/>
            <w:sz w:val="24"/>
            <w:szCs w:val="24"/>
            <w:lang w:val="en-IN"/>
          </w:rPr>
          <w:t>https://fame-r1-bvdinfo-com.oxfordbrookes.idm.oclc.org/version-20240321-1-1/fame/1/Companies/Report</w:t>
        </w:r>
      </w:hyperlink>
      <w:r w:rsidRPr="0012563E">
        <w:rPr>
          <w:rFonts w:ascii="Arial" w:hAnsi="Arial" w:cs="Arial"/>
          <w:sz w:val="24"/>
          <w:szCs w:val="24"/>
          <w:lang w:val="en-IN"/>
        </w:rPr>
        <w:t>.</w:t>
      </w:r>
    </w:p>
    <w:p w14:paraId="6333F538"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7.</w:t>
      </w:r>
      <w:r w:rsidRPr="002B1B06">
        <w:rPr>
          <w:rFonts w:ascii="Arial" w:hAnsi="Arial" w:cs="Arial"/>
          <w:sz w:val="24"/>
          <w:szCs w:val="24"/>
          <w:lang w:val="en-IN"/>
        </w:rPr>
        <w:t xml:space="preserve">Investing.com UK. (2021). </w:t>
      </w:r>
      <w:r w:rsidRPr="002B1B06">
        <w:rPr>
          <w:rFonts w:ascii="Arial" w:hAnsi="Arial" w:cs="Arial"/>
          <w:i/>
          <w:iCs/>
          <w:sz w:val="24"/>
          <w:szCs w:val="24"/>
          <w:lang w:val="en-IN"/>
        </w:rPr>
        <w:t>Flybe (FLYB) Annual Report</w:t>
      </w:r>
      <w:r w:rsidRPr="002B1B06">
        <w:rPr>
          <w:rFonts w:ascii="Arial" w:hAnsi="Arial" w:cs="Arial"/>
          <w:sz w:val="24"/>
          <w:szCs w:val="24"/>
          <w:lang w:val="en-IN"/>
        </w:rPr>
        <w:t xml:space="preserve">. [online] Available at: </w:t>
      </w:r>
      <w:hyperlink r:id="rId29" w:history="1">
        <w:r w:rsidRPr="002B1B06">
          <w:rPr>
            <w:rStyle w:val="Hyperlink"/>
            <w:rFonts w:ascii="Arial" w:hAnsi="Arial" w:cs="Arial"/>
            <w:sz w:val="24"/>
            <w:szCs w:val="24"/>
            <w:lang w:val="en-IN"/>
          </w:rPr>
          <w:t>https://uk.investing.com/equities/flybe-group-balance-sheet</w:t>
        </w:r>
      </w:hyperlink>
    </w:p>
    <w:p w14:paraId="5B535DC1"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 xml:space="preserve"> </w:t>
      </w:r>
      <w:r w:rsidRPr="002B1B06">
        <w:rPr>
          <w:rFonts w:ascii="Arial" w:hAnsi="Arial" w:cs="Arial"/>
          <w:sz w:val="24"/>
          <w:szCs w:val="24"/>
          <w:lang w:val="en-IN"/>
        </w:rPr>
        <w:t xml:space="preserve"> [Accessed 7 May 2024].</w:t>
      </w:r>
    </w:p>
    <w:p w14:paraId="28408AFC"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 xml:space="preserve">8. </w:t>
      </w:r>
      <w:r w:rsidRPr="00CC351D">
        <w:rPr>
          <w:rFonts w:ascii="Arial" w:hAnsi="Arial" w:cs="Arial"/>
          <w:sz w:val="24"/>
          <w:szCs w:val="24"/>
          <w:lang w:val="en-IN"/>
        </w:rPr>
        <w:t xml:space="preserve">Banks, C. (2019). </w:t>
      </w:r>
      <w:r w:rsidRPr="00CC351D">
        <w:rPr>
          <w:rFonts w:ascii="Arial" w:hAnsi="Arial" w:cs="Arial"/>
          <w:i/>
          <w:iCs/>
          <w:sz w:val="24"/>
          <w:szCs w:val="24"/>
          <w:lang w:val="en-IN"/>
        </w:rPr>
        <w:t xml:space="preserve">Why Is Trend Analysis Important to Your </w:t>
      </w:r>
      <w:r>
        <w:rPr>
          <w:rFonts w:ascii="Arial" w:hAnsi="Arial" w:cs="Arial"/>
          <w:i/>
          <w:iCs/>
          <w:sz w:val="24"/>
          <w:szCs w:val="24"/>
          <w:lang w:val="en-IN"/>
        </w:rPr>
        <w:t>Business</w:t>
      </w:r>
      <w:r w:rsidRPr="00CC351D">
        <w:rPr>
          <w:rFonts w:ascii="Arial" w:hAnsi="Arial" w:cs="Arial"/>
          <w:i/>
          <w:iCs/>
          <w:sz w:val="24"/>
          <w:szCs w:val="24"/>
          <w:lang w:val="en-IN"/>
        </w:rPr>
        <w:t>? - Analyze</w:t>
      </w:r>
      <w:r w:rsidRPr="00CC351D">
        <w:rPr>
          <w:rFonts w:ascii="Arial" w:hAnsi="Arial" w:cs="Arial"/>
          <w:sz w:val="24"/>
          <w:szCs w:val="24"/>
          <w:lang w:val="en-IN"/>
        </w:rPr>
        <w:t xml:space="preserve">. [online] Analyze. Available at: </w:t>
      </w:r>
      <w:hyperlink r:id="rId30" w:history="1">
        <w:r w:rsidRPr="00CC351D">
          <w:rPr>
            <w:rStyle w:val="Hyperlink"/>
            <w:rFonts w:ascii="Arial" w:hAnsi="Arial" w:cs="Arial"/>
            <w:sz w:val="24"/>
            <w:szCs w:val="24"/>
            <w:lang w:val="en-IN"/>
          </w:rPr>
          <w:t>https://analyze.co.za/why-is-trend-analysis-important-to-your-business/</w:t>
        </w:r>
      </w:hyperlink>
      <w:r w:rsidRPr="00CC351D">
        <w:rPr>
          <w:rFonts w:ascii="Arial" w:hAnsi="Arial" w:cs="Arial"/>
          <w:sz w:val="24"/>
          <w:szCs w:val="24"/>
          <w:lang w:val="en-IN"/>
        </w:rPr>
        <w:t>.</w:t>
      </w:r>
    </w:p>
    <w:p w14:paraId="4F209F2B"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 xml:space="preserve">9. </w:t>
      </w:r>
      <w:r w:rsidRPr="00CD6C1A">
        <w:rPr>
          <w:rFonts w:ascii="Arial" w:hAnsi="Arial" w:cs="Arial"/>
          <w:sz w:val="24"/>
          <w:szCs w:val="24"/>
          <w:lang w:val="en-IN"/>
        </w:rPr>
        <w:t xml:space="preserve">Suer, M. (2021). </w:t>
      </w:r>
      <w:r w:rsidRPr="00CD6C1A">
        <w:rPr>
          <w:rFonts w:ascii="Arial" w:hAnsi="Arial" w:cs="Arial"/>
          <w:i/>
          <w:iCs/>
          <w:sz w:val="24"/>
          <w:szCs w:val="24"/>
          <w:lang w:val="en-IN"/>
        </w:rPr>
        <w:t>What Is Data Quality and Why Is It Important?</w:t>
      </w:r>
      <w:r w:rsidRPr="00CD6C1A">
        <w:rPr>
          <w:rFonts w:ascii="Arial" w:hAnsi="Arial" w:cs="Arial"/>
          <w:sz w:val="24"/>
          <w:szCs w:val="24"/>
          <w:lang w:val="en-IN"/>
        </w:rPr>
        <w:t xml:space="preserve"> [online] Alation. Available at: </w:t>
      </w:r>
      <w:hyperlink r:id="rId31" w:history="1">
        <w:r w:rsidRPr="00CD6C1A">
          <w:rPr>
            <w:rStyle w:val="Hyperlink"/>
            <w:rFonts w:ascii="Arial" w:hAnsi="Arial" w:cs="Arial"/>
            <w:sz w:val="24"/>
            <w:szCs w:val="24"/>
            <w:lang w:val="en-IN"/>
          </w:rPr>
          <w:t>https://www.alation.com/blog/what-is-data-quality-why-is-it-important/</w:t>
        </w:r>
      </w:hyperlink>
      <w:r w:rsidRPr="00CD6C1A">
        <w:rPr>
          <w:rFonts w:ascii="Arial" w:hAnsi="Arial" w:cs="Arial"/>
          <w:sz w:val="24"/>
          <w:szCs w:val="24"/>
          <w:lang w:val="en-IN"/>
        </w:rPr>
        <w:t>.</w:t>
      </w:r>
    </w:p>
    <w:p w14:paraId="3187023F"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10.</w:t>
      </w:r>
      <w:r w:rsidRPr="005D24AC">
        <w:rPr>
          <w:rFonts w:ascii="Arial" w:hAnsi="Arial" w:cs="Arial"/>
          <w:sz w:val="24"/>
          <w:szCs w:val="24"/>
          <w:lang w:val="en-IN"/>
        </w:rPr>
        <w:t xml:space="preserve">Jansen, D. (2023). </w:t>
      </w:r>
      <w:r w:rsidRPr="005D24AC">
        <w:rPr>
          <w:rFonts w:ascii="Arial" w:hAnsi="Arial" w:cs="Arial"/>
          <w:i/>
          <w:iCs/>
          <w:sz w:val="24"/>
          <w:szCs w:val="24"/>
          <w:lang w:val="en-IN"/>
        </w:rPr>
        <w:t>What Is Descriptive Statistics: Full Explainer with Examples</w:t>
      </w:r>
      <w:r w:rsidRPr="005D24AC">
        <w:rPr>
          <w:rFonts w:ascii="Arial" w:hAnsi="Arial" w:cs="Arial"/>
          <w:sz w:val="24"/>
          <w:szCs w:val="24"/>
          <w:lang w:val="en-IN"/>
        </w:rPr>
        <w:t>. [online] Grad Coach. Available</w:t>
      </w:r>
      <w:r>
        <w:rPr>
          <w:rFonts w:ascii="Arial" w:hAnsi="Arial" w:cs="Arial"/>
          <w:sz w:val="24"/>
          <w:szCs w:val="24"/>
          <w:lang w:val="en-IN"/>
        </w:rPr>
        <w:t xml:space="preserve"> </w:t>
      </w:r>
      <w:r w:rsidRPr="005D24AC">
        <w:rPr>
          <w:rFonts w:ascii="Arial" w:hAnsi="Arial" w:cs="Arial"/>
          <w:sz w:val="24"/>
          <w:szCs w:val="24"/>
          <w:lang w:val="en-IN"/>
        </w:rPr>
        <w:t xml:space="preserve">at: </w:t>
      </w:r>
      <w:hyperlink r:id="rId32" w:history="1">
        <w:r w:rsidRPr="00734AFE">
          <w:rPr>
            <w:rStyle w:val="Hyperlink"/>
            <w:rFonts w:ascii="Arial" w:hAnsi="Arial" w:cs="Arial"/>
            <w:sz w:val="24"/>
            <w:szCs w:val="24"/>
            <w:lang w:val="en-IN"/>
          </w:rPr>
          <w:t>https://gradcoach.com/descriptive-statistics/</w:t>
        </w:r>
      </w:hyperlink>
      <w:r w:rsidRPr="005D24AC">
        <w:rPr>
          <w:rFonts w:ascii="Arial" w:hAnsi="Arial" w:cs="Arial"/>
          <w:sz w:val="24"/>
          <w:szCs w:val="24"/>
          <w:lang w:val="en-IN"/>
        </w:rPr>
        <w:t>.</w:t>
      </w:r>
    </w:p>
    <w:p w14:paraId="236E0B9F" w14:textId="77777777" w:rsidR="00C404F7" w:rsidRPr="00C72781" w:rsidRDefault="00C404F7" w:rsidP="00C404F7">
      <w:pPr>
        <w:spacing w:line="360" w:lineRule="auto"/>
        <w:jc w:val="both"/>
        <w:rPr>
          <w:rFonts w:ascii="Arial" w:hAnsi="Arial" w:cs="Arial"/>
          <w:sz w:val="24"/>
          <w:szCs w:val="24"/>
          <w:lang w:val="en-IN"/>
        </w:rPr>
      </w:pPr>
      <w:r>
        <w:rPr>
          <w:rFonts w:ascii="Arial" w:hAnsi="Arial" w:cs="Arial"/>
          <w:sz w:val="24"/>
          <w:szCs w:val="24"/>
          <w:lang w:val="en-IN"/>
        </w:rPr>
        <w:t>11.</w:t>
      </w:r>
      <w:r w:rsidRPr="00C72781">
        <w:rPr>
          <w:rFonts w:ascii="Arial" w:hAnsi="Arial" w:cs="Arial"/>
          <w:sz w:val="24"/>
          <w:szCs w:val="24"/>
          <w:lang w:val="en-IN"/>
        </w:rPr>
        <w:t xml:space="preserve">Happay, T. (2024). </w:t>
      </w:r>
      <w:r w:rsidRPr="00C72781">
        <w:rPr>
          <w:rFonts w:ascii="Arial" w:hAnsi="Arial" w:cs="Arial"/>
          <w:i/>
          <w:iCs/>
          <w:sz w:val="24"/>
          <w:szCs w:val="24"/>
          <w:lang w:val="en-IN"/>
        </w:rPr>
        <w:t xml:space="preserve">What Is </w:t>
      </w:r>
      <w:r>
        <w:rPr>
          <w:rFonts w:ascii="Arial" w:hAnsi="Arial" w:cs="Arial"/>
          <w:i/>
          <w:iCs/>
          <w:sz w:val="24"/>
          <w:szCs w:val="24"/>
          <w:lang w:val="en-IN"/>
        </w:rPr>
        <w:t xml:space="preserve">a </w:t>
      </w:r>
      <w:r w:rsidRPr="00C72781">
        <w:rPr>
          <w:rFonts w:ascii="Arial" w:hAnsi="Arial" w:cs="Arial"/>
          <w:i/>
          <w:iCs/>
          <w:sz w:val="24"/>
          <w:szCs w:val="24"/>
          <w:lang w:val="en-IN"/>
        </w:rPr>
        <w:t>Financial Ratio? &amp; Its Types and Steps to Calculate</w:t>
      </w:r>
      <w:r w:rsidRPr="00C72781">
        <w:rPr>
          <w:rFonts w:ascii="Arial" w:hAnsi="Arial" w:cs="Arial"/>
          <w:sz w:val="24"/>
          <w:szCs w:val="24"/>
          <w:lang w:val="en-IN"/>
        </w:rPr>
        <w:t>. [online] Happay. Available at: https://happay.com/blog/financial-ratios/.</w:t>
      </w:r>
    </w:p>
    <w:p w14:paraId="4FC09958" w14:textId="77777777" w:rsidR="00C404F7" w:rsidRDefault="00C404F7" w:rsidP="00C404F7">
      <w:pPr>
        <w:spacing w:line="360" w:lineRule="auto"/>
        <w:jc w:val="both"/>
        <w:rPr>
          <w:rFonts w:ascii="Arial" w:hAnsi="Arial" w:cs="Arial"/>
          <w:sz w:val="24"/>
          <w:szCs w:val="24"/>
          <w:lang w:val="en-IN"/>
        </w:rPr>
      </w:pPr>
      <w:r>
        <w:rPr>
          <w:rFonts w:ascii="Arial" w:hAnsi="Arial" w:cs="Arial"/>
          <w:sz w:val="24"/>
          <w:szCs w:val="24"/>
          <w:lang w:val="en-IN"/>
        </w:rPr>
        <w:t>12.</w:t>
      </w:r>
      <w:r w:rsidRPr="00F65339">
        <w:rPr>
          <w:rFonts w:ascii="Arial" w:hAnsi="Arial" w:cs="Arial"/>
          <w:sz w:val="24"/>
          <w:szCs w:val="24"/>
          <w:lang w:val="en-IN"/>
        </w:rPr>
        <w:t xml:space="preserve">Schmitz, S. (2006). Flybe: U.K. </w:t>
      </w:r>
      <w:r>
        <w:rPr>
          <w:rFonts w:ascii="Arial" w:hAnsi="Arial" w:cs="Arial"/>
          <w:sz w:val="24"/>
          <w:szCs w:val="24"/>
          <w:lang w:val="en-IN"/>
        </w:rPr>
        <w:t>Low-Cost</w:t>
      </w:r>
      <w:r w:rsidRPr="00F65339">
        <w:rPr>
          <w:rFonts w:ascii="Arial" w:hAnsi="Arial" w:cs="Arial"/>
          <w:sz w:val="24"/>
          <w:szCs w:val="24"/>
          <w:lang w:val="en-IN"/>
        </w:rPr>
        <w:t xml:space="preserve"> Carrier Lets Travelers Fly Business or Fly Budget. </w:t>
      </w:r>
      <w:r w:rsidRPr="00F65339">
        <w:rPr>
          <w:rFonts w:ascii="Arial" w:hAnsi="Arial" w:cs="Arial"/>
          <w:i/>
          <w:iCs/>
          <w:sz w:val="24"/>
          <w:szCs w:val="24"/>
          <w:lang w:val="en-IN"/>
        </w:rPr>
        <w:t>Airliners</w:t>
      </w:r>
      <w:r w:rsidRPr="00F65339">
        <w:rPr>
          <w:rFonts w:ascii="Arial" w:hAnsi="Arial" w:cs="Arial"/>
          <w:sz w:val="24"/>
          <w:szCs w:val="24"/>
          <w:lang w:val="en-IN"/>
        </w:rPr>
        <w:t>, [online] (97). Available at: https://trid.trb.org/View/779406 [Accessed 10 May 2024].</w:t>
      </w:r>
    </w:p>
    <w:p w14:paraId="2AC7A2DB" w14:textId="77777777" w:rsidR="00C404F7" w:rsidRDefault="00C404F7" w:rsidP="00C404F7">
      <w:pPr>
        <w:pStyle w:val="NormalWeb"/>
        <w:spacing w:before="0" w:beforeAutospacing="0" w:after="240" w:afterAutospacing="0" w:line="360" w:lineRule="auto"/>
        <w:rPr>
          <w:rFonts w:ascii="Arial" w:hAnsi="Arial" w:cs="Arial"/>
        </w:rPr>
      </w:pPr>
      <w:r>
        <w:rPr>
          <w:rFonts w:ascii="Arial" w:hAnsi="Arial" w:cs="Arial"/>
        </w:rPr>
        <w:t>13.</w:t>
      </w:r>
      <w:r w:rsidRPr="00055BC6">
        <w:t xml:space="preserve"> </w:t>
      </w:r>
      <w:r w:rsidRPr="00055BC6">
        <w:rPr>
          <w:rFonts w:ascii="Arial" w:hAnsi="Arial" w:cs="Arial"/>
        </w:rPr>
        <w:t xml:space="preserve">Flybe collapse affects Isle of Man hospital patients. (2020). </w:t>
      </w:r>
      <w:r w:rsidRPr="00055BC6">
        <w:rPr>
          <w:rFonts w:ascii="Arial" w:hAnsi="Arial" w:cs="Arial"/>
          <w:i/>
          <w:iCs/>
        </w:rPr>
        <w:t>BBC News</w:t>
      </w:r>
      <w:r w:rsidRPr="00055BC6">
        <w:rPr>
          <w:rFonts w:ascii="Arial" w:hAnsi="Arial" w:cs="Arial"/>
        </w:rPr>
        <w:t>. [online] 5 Mar. Available at: https://www.bbc.co.uk/news/world-europe-isle-of-man-51721845 [Accessed 10 May 2024].</w:t>
      </w:r>
    </w:p>
    <w:p w14:paraId="47BF75E3" w14:textId="77777777" w:rsidR="00C404F7" w:rsidRDefault="00C404F7" w:rsidP="00C404F7">
      <w:pPr>
        <w:pStyle w:val="NormalWeb"/>
        <w:spacing w:before="0" w:beforeAutospacing="0" w:after="240" w:afterAutospacing="0" w:line="360" w:lineRule="auto"/>
        <w:rPr>
          <w:rFonts w:ascii="Arial" w:hAnsi="Arial" w:cs="Arial"/>
        </w:rPr>
      </w:pPr>
      <w:r>
        <w:rPr>
          <w:rFonts w:ascii="Arial" w:hAnsi="Arial" w:cs="Arial"/>
        </w:rPr>
        <w:lastRenderedPageBreak/>
        <w:t>14.</w:t>
      </w:r>
      <w:r w:rsidRPr="00404B7E">
        <w:t xml:space="preserve"> </w:t>
      </w:r>
      <w:r w:rsidRPr="00404B7E">
        <w:rPr>
          <w:rFonts w:ascii="Arial" w:hAnsi="Arial" w:cs="Arial"/>
        </w:rPr>
        <w:t xml:space="preserve">Financial Times (n.d.). </w:t>
      </w:r>
      <w:r w:rsidRPr="00404B7E">
        <w:rPr>
          <w:rFonts w:ascii="Arial" w:hAnsi="Arial" w:cs="Arial"/>
          <w:i/>
          <w:iCs/>
        </w:rPr>
        <w:t>Subscribe to Read | Financial Times</w:t>
      </w:r>
      <w:r w:rsidRPr="00404B7E">
        <w:rPr>
          <w:rFonts w:ascii="Arial" w:hAnsi="Arial" w:cs="Arial"/>
        </w:rPr>
        <w:t xml:space="preserve">. [online] www.ft.com. Available at: </w:t>
      </w:r>
      <w:hyperlink r:id="rId33" w:history="1">
        <w:r w:rsidRPr="00734AFE">
          <w:rPr>
            <w:rStyle w:val="Hyperlink"/>
            <w:rFonts w:ascii="Arial" w:hAnsi="Arial" w:cs="Arial"/>
          </w:rPr>
          <w:t>https://www.ft.com/content/782da316-3ea8-11ea-b232-000f4477fbca</w:t>
        </w:r>
      </w:hyperlink>
      <w:r w:rsidRPr="00404B7E">
        <w:rPr>
          <w:rFonts w:ascii="Arial" w:hAnsi="Arial" w:cs="Arial"/>
        </w:rPr>
        <w:t>.</w:t>
      </w:r>
    </w:p>
    <w:p w14:paraId="171A6680" w14:textId="77777777" w:rsidR="00C404F7" w:rsidRDefault="00C404F7" w:rsidP="00C404F7">
      <w:pPr>
        <w:pStyle w:val="NormalWeb"/>
        <w:spacing w:before="0" w:beforeAutospacing="0" w:after="240" w:afterAutospacing="0" w:line="360" w:lineRule="auto"/>
      </w:pPr>
    </w:p>
    <w:p w14:paraId="49420198" w14:textId="3CB81E09" w:rsidR="00F65A7E" w:rsidRDefault="009C1EC4" w:rsidP="00B43406">
      <w:pPr>
        <w:pStyle w:val="NormalWeb"/>
        <w:numPr>
          <w:ilvl w:val="0"/>
          <w:numId w:val="1"/>
        </w:numPr>
        <w:spacing w:before="0" w:beforeAutospacing="0" w:after="240" w:afterAutospacing="0" w:line="360" w:lineRule="auto"/>
        <w:outlineLvl w:val="0"/>
        <w:rPr>
          <w:rFonts w:ascii="Arial" w:hAnsi="Arial" w:cs="Arial"/>
          <w:b/>
          <w:bCs/>
        </w:rPr>
      </w:pPr>
      <w:bookmarkStart w:id="64" w:name="_Toc166265739"/>
      <w:bookmarkStart w:id="65" w:name="_Toc166266147"/>
      <w:bookmarkStart w:id="66" w:name="_Toc166266374"/>
      <w:r>
        <w:rPr>
          <w:noProof/>
        </w:rPr>
        <w:drawing>
          <wp:anchor distT="0" distB="0" distL="114300" distR="114300" simplePos="0" relativeHeight="251670528" behindDoc="0" locked="0" layoutInCell="1" allowOverlap="1" wp14:anchorId="23581331" wp14:editId="29177D44">
            <wp:simplePos x="0" y="0"/>
            <wp:positionH relativeFrom="column">
              <wp:posOffset>-42545</wp:posOffset>
            </wp:positionH>
            <wp:positionV relativeFrom="paragraph">
              <wp:posOffset>429895</wp:posOffset>
            </wp:positionV>
            <wp:extent cx="5012055" cy="1426210"/>
            <wp:effectExtent l="0" t="0" r="17145" b="2540"/>
            <wp:wrapTopAndBottom/>
            <wp:docPr id="290120323" name="Chart 1">
              <a:extLst xmlns:a="http://schemas.openxmlformats.org/drawingml/2006/main">
                <a:ext uri="{FF2B5EF4-FFF2-40B4-BE49-F238E27FC236}">
                  <a16:creationId xmlns:a16="http://schemas.microsoft.com/office/drawing/2014/main" id="{FFE0A2D7-C406-B0A4-6C32-67A9E3C127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anchor>
        </w:drawing>
      </w:r>
      <w:r w:rsidR="00F65A7E" w:rsidRPr="00ED0EE9">
        <w:rPr>
          <w:rFonts w:ascii="Arial" w:hAnsi="Arial" w:cs="Arial"/>
          <w:b/>
          <w:bCs/>
        </w:rPr>
        <w:t>APPENDIX</w:t>
      </w:r>
      <w:bookmarkEnd w:id="64"/>
      <w:bookmarkEnd w:id="65"/>
      <w:bookmarkEnd w:id="66"/>
    </w:p>
    <w:p w14:paraId="04440195" w14:textId="3068BA19" w:rsidR="00F65A7E" w:rsidRDefault="00F65A7E" w:rsidP="00F65A7E">
      <w:pPr>
        <w:pStyle w:val="NormalWeb"/>
        <w:spacing w:before="0" w:beforeAutospacing="0" w:after="240" w:afterAutospacing="0" w:line="360" w:lineRule="auto"/>
        <w:ind w:left="360"/>
        <w:rPr>
          <w:rFonts w:ascii="Arial" w:hAnsi="Arial" w:cs="Arial"/>
          <w:b/>
          <w:bCs/>
        </w:rPr>
      </w:pPr>
    </w:p>
    <w:p w14:paraId="3FFD710B" w14:textId="35B4F063" w:rsidR="00F65A7E" w:rsidRPr="00080537" w:rsidRDefault="00BD7FA6" w:rsidP="00F65A7E">
      <w:pPr>
        <w:pStyle w:val="NormalWeb"/>
        <w:spacing w:before="0" w:beforeAutospacing="0" w:after="240" w:afterAutospacing="0" w:line="360" w:lineRule="auto"/>
        <w:ind w:left="360"/>
        <w:rPr>
          <w:rFonts w:ascii="Arial" w:hAnsi="Arial" w:cs="Arial"/>
        </w:rPr>
      </w:pPr>
      <w:r>
        <w:rPr>
          <w:rFonts w:ascii="Arial" w:hAnsi="Arial" w:cs="Arial"/>
        </w:rPr>
        <w:t>Appendix 1</w:t>
      </w:r>
      <w:r w:rsidR="00F65A7E" w:rsidRPr="00080537">
        <w:rPr>
          <w:rFonts w:ascii="Arial" w:hAnsi="Arial" w:cs="Arial"/>
        </w:rPr>
        <w:t>:</w:t>
      </w:r>
      <w:r w:rsidR="00F65A7E">
        <w:rPr>
          <w:rFonts w:ascii="Arial" w:hAnsi="Arial" w:cs="Arial"/>
        </w:rPr>
        <w:t xml:space="preserve"> Represents the net income.</w:t>
      </w:r>
    </w:p>
    <w:p w14:paraId="78E68A82" w14:textId="77777777" w:rsidR="00F65A7E" w:rsidRPr="00F65339" w:rsidRDefault="00F65A7E" w:rsidP="00F65A7E">
      <w:pPr>
        <w:spacing w:line="360" w:lineRule="auto"/>
        <w:jc w:val="both"/>
        <w:rPr>
          <w:rFonts w:ascii="Arial" w:hAnsi="Arial" w:cs="Arial"/>
          <w:sz w:val="24"/>
          <w:szCs w:val="24"/>
          <w:lang w:val="en-IN"/>
        </w:rPr>
      </w:pPr>
      <w:r>
        <w:rPr>
          <w:noProof/>
        </w:rPr>
        <w:drawing>
          <wp:inline distT="0" distB="0" distL="0" distR="0" wp14:anchorId="61BBB699" wp14:editId="7958E711">
            <wp:extent cx="5020252" cy="2885595"/>
            <wp:effectExtent l="0" t="0" r="9525" b="10160"/>
            <wp:docPr id="955789481" name="Chart 1">
              <a:extLst xmlns:a="http://schemas.openxmlformats.org/drawingml/2006/main">
                <a:ext uri="{FF2B5EF4-FFF2-40B4-BE49-F238E27FC236}">
                  <a16:creationId xmlns:a16="http://schemas.microsoft.com/office/drawing/2014/main" id="{40DD648D-AA15-69A9-D62F-F51F2C43D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F5CA36C" w14:textId="77777777" w:rsidR="00F65A7E" w:rsidRPr="005D24AC" w:rsidRDefault="00F65A7E" w:rsidP="00F65A7E">
      <w:pPr>
        <w:spacing w:line="360" w:lineRule="auto"/>
        <w:jc w:val="both"/>
        <w:rPr>
          <w:rFonts w:ascii="Arial" w:hAnsi="Arial" w:cs="Arial"/>
          <w:sz w:val="24"/>
          <w:szCs w:val="24"/>
          <w:lang w:val="en-IN"/>
        </w:rPr>
      </w:pPr>
      <w:r>
        <w:rPr>
          <w:rFonts w:ascii="Arial" w:hAnsi="Arial" w:cs="Arial"/>
          <w:sz w:val="24"/>
          <w:szCs w:val="24"/>
          <w:lang w:val="en-IN"/>
        </w:rPr>
        <w:t>Appendix 2: Represents the EBIT margin.</w:t>
      </w:r>
    </w:p>
    <w:p w14:paraId="5FF64C5C" w14:textId="28B44214" w:rsidR="00F65A7E" w:rsidRPr="00C13216" w:rsidRDefault="00F65A7E" w:rsidP="00F65A7E">
      <w:pPr>
        <w:spacing w:after="0" w:line="360" w:lineRule="auto"/>
        <w:rPr>
          <w:rFonts w:ascii="Arial" w:eastAsia="Times New Roman" w:hAnsi="Arial" w:cs="Arial"/>
          <w:kern w:val="0"/>
          <w:sz w:val="24"/>
          <w:szCs w:val="24"/>
          <w:lang w:val="en-IN" w:eastAsia="en-IN"/>
          <w14:ligatures w14:val="none"/>
        </w:rPr>
      </w:pPr>
      <w:r w:rsidRPr="00C13216">
        <w:rPr>
          <w:rFonts w:ascii="Arial" w:eastAsia="Times New Roman" w:hAnsi="Arial" w:cs="Arial"/>
          <w:kern w:val="0"/>
          <w:sz w:val="24"/>
          <w:szCs w:val="24"/>
          <w:lang w:val="en-IN" w:eastAsia="en-IN"/>
          <w14:ligatures w14:val="none"/>
        </w:rPr>
        <w:t xml:space="preserve">The graph depicts a variable profitability pattern, with multiple peaks and falls between 1999 and 2018. The EBIT margin, which is a company's operating income expressed as a proportion of its revenue, is critical for determining operational efficiency. The years 2001 to 2002 saw a dramatic drop, potentially owing to economic downturns, greater competition, or internal </w:t>
      </w:r>
      <w:r w:rsidRPr="00C13216">
        <w:rPr>
          <w:rFonts w:ascii="Arial" w:eastAsia="Times New Roman" w:hAnsi="Arial" w:cs="Arial"/>
          <w:kern w:val="0"/>
          <w:sz w:val="24"/>
          <w:szCs w:val="24"/>
          <w:lang w:val="en-IN" w:eastAsia="en-IN"/>
          <w14:ligatures w14:val="none"/>
        </w:rPr>
        <w:lastRenderedPageBreak/>
        <w:t>concerns. The high growth after 2002 indicates a turnaround and improvement in operational efficiency. A major high occurred in 2007, followed by a decrease and a subsequent increase in 2008, presumably reflecting the 2008 financial crisis. Please contact us if you require any more analysis.</w:t>
      </w:r>
    </w:p>
    <w:p w14:paraId="06DC555E" w14:textId="2657CB9D" w:rsidR="00F65A7E" w:rsidRPr="00CD6C1A" w:rsidRDefault="009C1EC4" w:rsidP="00F65A7E">
      <w:pPr>
        <w:spacing w:line="360" w:lineRule="auto"/>
        <w:jc w:val="both"/>
        <w:rPr>
          <w:rFonts w:ascii="Arial" w:hAnsi="Arial" w:cs="Arial"/>
          <w:sz w:val="24"/>
          <w:szCs w:val="24"/>
          <w:lang w:val="en-IN"/>
        </w:rPr>
      </w:pPr>
      <w:r>
        <w:rPr>
          <w:noProof/>
        </w:rPr>
        <w:drawing>
          <wp:anchor distT="0" distB="0" distL="114300" distR="114300" simplePos="0" relativeHeight="251669504" behindDoc="0" locked="0" layoutInCell="1" allowOverlap="1" wp14:anchorId="62A56F0F" wp14:editId="34AB659F">
            <wp:simplePos x="0" y="0"/>
            <wp:positionH relativeFrom="margin">
              <wp:posOffset>-34290</wp:posOffset>
            </wp:positionH>
            <wp:positionV relativeFrom="paragraph">
              <wp:posOffset>345440</wp:posOffset>
            </wp:positionV>
            <wp:extent cx="4829175" cy="2781300"/>
            <wp:effectExtent l="0" t="0" r="9525" b="0"/>
            <wp:wrapTopAndBottom/>
            <wp:docPr id="1417857756" name="Chart 1">
              <a:extLst xmlns:a="http://schemas.openxmlformats.org/drawingml/2006/main">
                <a:ext uri="{FF2B5EF4-FFF2-40B4-BE49-F238E27FC236}">
                  <a16:creationId xmlns:a16="http://schemas.microsoft.com/office/drawing/2014/main" id="{209D70B5-0927-EEE0-45CA-C3530FE89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14:paraId="4DC3B8DC" w14:textId="0CC180E9" w:rsidR="00F65A7E" w:rsidRPr="00CC351D" w:rsidRDefault="00F65A7E" w:rsidP="00F65A7E">
      <w:pPr>
        <w:spacing w:line="360" w:lineRule="auto"/>
        <w:jc w:val="both"/>
        <w:rPr>
          <w:rFonts w:ascii="Arial" w:hAnsi="Arial" w:cs="Arial"/>
          <w:sz w:val="24"/>
          <w:szCs w:val="24"/>
          <w:lang w:val="en-IN"/>
        </w:rPr>
      </w:pPr>
    </w:p>
    <w:p w14:paraId="6897B539" w14:textId="41FC00FA" w:rsidR="00F65A7E" w:rsidRDefault="00F65A7E" w:rsidP="00F65A7E">
      <w:pPr>
        <w:spacing w:line="360" w:lineRule="auto"/>
        <w:jc w:val="both"/>
        <w:rPr>
          <w:rFonts w:ascii="Arial" w:hAnsi="Arial" w:cs="Arial"/>
          <w:sz w:val="24"/>
          <w:szCs w:val="24"/>
          <w:lang w:val="en-IN"/>
        </w:rPr>
      </w:pPr>
      <w:r>
        <w:rPr>
          <w:rFonts w:ascii="Arial" w:hAnsi="Arial" w:cs="Arial"/>
          <w:sz w:val="24"/>
          <w:szCs w:val="24"/>
          <w:lang w:val="en-IN"/>
        </w:rPr>
        <w:t>Appendix 3: Represents the return on total Assets.</w:t>
      </w:r>
    </w:p>
    <w:p w14:paraId="1F103BBA" w14:textId="77777777" w:rsidR="00F65A7E" w:rsidRPr="00DE0F84" w:rsidRDefault="00F65A7E" w:rsidP="00F65A7E">
      <w:pPr>
        <w:spacing w:after="0" w:line="360" w:lineRule="auto"/>
        <w:rPr>
          <w:rFonts w:ascii="Times New Roman" w:eastAsia="Times New Roman" w:hAnsi="Times New Roman" w:cs="Times New Roman"/>
          <w:kern w:val="0"/>
          <w:sz w:val="24"/>
          <w:szCs w:val="24"/>
          <w:lang w:val="en-IN" w:eastAsia="en-IN"/>
          <w14:ligatures w14:val="none"/>
        </w:rPr>
      </w:pPr>
      <w:r w:rsidRPr="00DE0F84">
        <w:rPr>
          <w:rFonts w:ascii="Arial" w:eastAsia="Times New Roman" w:hAnsi="Arial" w:cs="Arial"/>
          <w:kern w:val="0"/>
          <w:sz w:val="24"/>
          <w:szCs w:val="24"/>
          <w:lang w:val="en-IN" w:eastAsia="en-IN"/>
          <w14:ligatures w14:val="none"/>
        </w:rPr>
        <w:t>The graph depicts the Return on Total Assets (ROTA) % from 1999 to 2018, illustrating how efficiently a firm uses its total assets to create earnings. The graph demonstrates significant volatility, with abrupt negative dips in 2000 and 2003, indicating major losses owing to depreciation, asset write-offs, or low profitability. Following 2003, a rebound occurred, with a peak in 2004 and another in 2009, potentially due to improved market circumstances, cost reduction, or strategic asset usage. The graph also demonstrates overall variation, with periods of minor positive and negative returns, demonstrating that changing operational and economic conditions impact asset profitability. The graph depicts a dynamic operating environment that includes both problems and triumphs in efficiently utilizing the company's asset base</w:t>
      </w:r>
      <w:r w:rsidRPr="00DE0F84">
        <w:rPr>
          <w:rFonts w:ascii="Times New Roman" w:eastAsia="Times New Roman" w:hAnsi="Times New Roman" w:cs="Times New Roman"/>
          <w:kern w:val="0"/>
          <w:sz w:val="24"/>
          <w:szCs w:val="24"/>
          <w:lang w:val="en-IN" w:eastAsia="en-IN"/>
          <w14:ligatures w14:val="none"/>
        </w:rPr>
        <w:t>.</w:t>
      </w:r>
    </w:p>
    <w:p w14:paraId="4CD01740" w14:textId="77777777" w:rsidR="00F65A7E" w:rsidRPr="002B1B06" w:rsidRDefault="00F65A7E" w:rsidP="00F65A7E">
      <w:pPr>
        <w:spacing w:line="360" w:lineRule="auto"/>
        <w:jc w:val="both"/>
        <w:rPr>
          <w:rFonts w:ascii="Arial" w:hAnsi="Arial" w:cs="Arial"/>
          <w:sz w:val="24"/>
          <w:szCs w:val="24"/>
          <w:lang w:val="en-IN"/>
        </w:rPr>
      </w:pPr>
    </w:p>
    <w:p w14:paraId="6618D36E" w14:textId="77777777" w:rsidR="00F65A7E" w:rsidRPr="00F671BF" w:rsidRDefault="00F65A7E" w:rsidP="00F65A7E">
      <w:pPr>
        <w:spacing w:line="360" w:lineRule="auto"/>
        <w:jc w:val="both"/>
        <w:rPr>
          <w:rFonts w:ascii="Arial" w:hAnsi="Arial" w:cs="Arial"/>
          <w:sz w:val="24"/>
          <w:szCs w:val="24"/>
        </w:rPr>
      </w:pPr>
    </w:p>
    <w:p w14:paraId="6174135A" w14:textId="77777777" w:rsidR="00F65A7E" w:rsidRDefault="00F65A7E" w:rsidP="00F65A7E">
      <w:pPr>
        <w:jc w:val="both"/>
        <w:rPr>
          <w:rFonts w:ascii="Arial" w:hAnsi="Arial" w:cs="Arial"/>
          <w:lang w:val="en-US"/>
        </w:rPr>
      </w:pPr>
      <w:r>
        <w:rPr>
          <w:noProof/>
        </w:rPr>
        <w:lastRenderedPageBreak/>
        <w:drawing>
          <wp:inline distT="0" distB="0" distL="0" distR="0" wp14:anchorId="18B8FB2C" wp14:editId="0B889224">
            <wp:extent cx="4565457" cy="2686916"/>
            <wp:effectExtent l="0" t="0" r="6985" b="18415"/>
            <wp:docPr id="1116045167" name="Chart 1">
              <a:extLst xmlns:a="http://schemas.openxmlformats.org/drawingml/2006/main">
                <a:ext uri="{FF2B5EF4-FFF2-40B4-BE49-F238E27FC236}">
                  <a16:creationId xmlns:a16="http://schemas.microsoft.com/office/drawing/2014/main" id="{F9AEEDA0-8826-2F8A-F500-79B5E90D5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174F38" w14:textId="77777777" w:rsidR="00F65A7E" w:rsidRDefault="00F65A7E" w:rsidP="00F65A7E">
      <w:pPr>
        <w:jc w:val="both"/>
        <w:rPr>
          <w:rFonts w:ascii="Arial" w:hAnsi="Arial" w:cs="Arial"/>
          <w:lang w:val="en-US"/>
        </w:rPr>
      </w:pPr>
      <w:r>
        <w:rPr>
          <w:rFonts w:ascii="Arial" w:hAnsi="Arial" w:cs="Arial"/>
          <w:lang w:val="en-US"/>
        </w:rPr>
        <w:t>Appendix 4: Represents the gearing Ratio.</w:t>
      </w:r>
    </w:p>
    <w:p w14:paraId="4246E3EC" w14:textId="77777777" w:rsidR="00F65A7E" w:rsidRDefault="00F65A7E" w:rsidP="00F65A7E">
      <w:pPr>
        <w:jc w:val="both"/>
        <w:rPr>
          <w:rFonts w:ascii="Arial" w:hAnsi="Arial" w:cs="Arial"/>
          <w:lang w:val="en-US"/>
        </w:rPr>
      </w:pPr>
    </w:p>
    <w:p w14:paraId="34A2A0A3" w14:textId="29F1D917" w:rsidR="00F65A7E" w:rsidRDefault="00F65A7E" w:rsidP="00F65A7E">
      <w:pPr>
        <w:spacing w:after="0" w:line="360" w:lineRule="auto"/>
        <w:rPr>
          <w:rFonts w:ascii="Arial" w:eastAsia="Times New Roman" w:hAnsi="Arial" w:cs="Arial"/>
          <w:kern w:val="0"/>
          <w:sz w:val="24"/>
          <w:szCs w:val="24"/>
          <w:lang w:val="en-IN" w:eastAsia="en-IN"/>
          <w14:ligatures w14:val="none"/>
        </w:rPr>
      </w:pPr>
      <w:r w:rsidRPr="00F12132">
        <w:rPr>
          <w:rFonts w:ascii="Arial" w:eastAsia="Times New Roman" w:hAnsi="Arial" w:cs="Arial"/>
          <w:kern w:val="0"/>
          <w:sz w:val="24"/>
          <w:szCs w:val="24"/>
          <w:lang w:val="en-IN" w:eastAsia="en-IN"/>
          <w14:ligatures w14:val="none"/>
        </w:rPr>
        <w:t xml:space="preserve">The graph depicts the Gearing Ratio, a financial indicator that measures a company's </w:t>
      </w:r>
      <w:r w:rsidR="009C1EC4">
        <w:rPr>
          <w:rFonts w:ascii="Arial" w:eastAsia="Times New Roman" w:hAnsi="Arial" w:cs="Arial"/>
          <w:kern w:val="0"/>
          <w:sz w:val="24"/>
          <w:szCs w:val="24"/>
          <w:lang w:val="en-IN" w:eastAsia="en-IN"/>
          <w14:ligatures w14:val="none"/>
        </w:rPr>
        <w:t>debt-to-equity</w:t>
      </w:r>
      <w:r w:rsidRPr="00F12132">
        <w:rPr>
          <w:rFonts w:ascii="Arial" w:eastAsia="Times New Roman" w:hAnsi="Arial" w:cs="Arial"/>
          <w:kern w:val="0"/>
          <w:sz w:val="24"/>
          <w:szCs w:val="24"/>
          <w:lang w:val="en-IN" w:eastAsia="en-IN"/>
          <w14:ligatures w14:val="none"/>
        </w:rPr>
        <w:t xml:space="preserve"> ratio, from 2000 to 2018. It exhibits significant swings, notably between 2000 and 2008, implying that the corporation may have actively reduced debt levels or increased equity. Following 2008, there was a large fall in the gearing ratio, indicating that the corporation took steps to de-leverage, presumably in reaction to the financial crisis. Since 2010, the gearing ratio has been relatively stable while indicating a reasonable degree of leverage, implying a deliberate balance between using debt for expansion and keeping a controllable risk level. The trend seen throughout these years may represent changes in financial management methods, economic conditions, or the company's operational performance and investment activity.</w:t>
      </w:r>
    </w:p>
    <w:p w14:paraId="76B56E7E" w14:textId="3E22064C" w:rsidR="00610828" w:rsidRPr="00F12132" w:rsidRDefault="00610828" w:rsidP="00F65A7E">
      <w:pPr>
        <w:spacing w:after="0" w:line="360" w:lineRule="auto"/>
        <w:rPr>
          <w:rFonts w:ascii="Arial" w:eastAsia="Times New Roman" w:hAnsi="Arial" w:cs="Arial"/>
          <w:kern w:val="0"/>
          <w:sz w:val="24"/>
          <w:szCs w:val="24"/>
          <w:lang w:val="en-IN" w:eastAsia="en-IN"/>
          <w14:ligatures w14:val="none"/>
        </w:rPr>
      </w:pPr>
      <w:r>
        <w:rPr>
          <w:noProof/>
        </w:rPr>
        <w:lastRenderedPageBreak/>
        <w:drawing>
          <wp:anchor distT="0" distB="0" distL="114300" distR="114300" simplePos="0" relativeHeight="251672576" behindDoc="0" locked="0" layoutInCell="1" allowOverlap="1" wp14:anchorId="034A6420" wp14:editId="0985003C">
            <wp:simplePos x="0" y="0"/>
            <wp:positionH relativeFrom="margin">
              <wp:align>left</wp:align>
            </wp:positionH>
            <wp:positionV relativeFrom="paragraph">
              <wp:posOffset>152400</wp:posOffset>
            </wp:positionV>
            <wp:extent cx="5274310" cy="2682240"/>
            <wp:effectExtent l="0" t="0" r="2540" b="3810"/>
            <wp:wrapTopAndBottom/>
            <wp:docPr id="396298419" name="Chart 1">
              <a:extLst xmlns:a="http://schemas.openxmlformats.org/drawingml/2006/main">
                <a:ext uri="{FF2B5EF4-FFF2-40B4-BE49-F238E27FC236}">
                  <a16:creationId xmlns:a16="http://schemas.microsoft.com/office/drawing/2014/main" id="{DE83BD78-41E7-6F83-1757-22777FA497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p>
    <w:p w14:paraId="43F635A1" w14:textId="3ACCF5D9" w:rsidR="00F65A7E" w:rsidRPr="003B42B0" w:rsidRDefault="00610828" w:rsidP="003B42B0">
      <w:pPr>
        <w:tabs>
          <w:tab w:val="left" w:pos="2172"/>
        </w:tabs>
        <w:spacing w:line="360" w:lineRule="auto"/>
        <w:jc w:val="both"/>
        <w:rPr>
          <w:rFonts w:ascii="Arial" w:hAnsi="Arial" w:cs="Arial"/>
          <w:sz w:val="24"/>
          <w:szCs w:val="24"/>
          <w:lang w:val="en-US"/>
        </w:rPr>
      </w:pPr>
      <w:r w:rsidRPr="003B42B0">
        <w:rPr>
          <w:rFonts w:ascii="Arial" w:hAnsi="Arial" w:cs="Arial"/>
          <w:sz w:val="24"/>
          <w:szCs w:val="24"/>
          <w:lang w:val="en-US"/>
        </w:rPr>
        <w:t>Appendi</w:t>
      </w:r>
      <w:r w:rsidR="003B42B0" w:rsidRPr="003B42B0">
        <w:rPr>
          <w:rFonts w:ascii="Arial" w:hAnsi="Arial" w:cs="Arial"/>
          <w:sz w:val="24"/>
          <w:szCs w:val="24"/>
          <w:lang w:val="en-US"/>
        </w:rPr>
        <w:t xml:space="preserve">x 5: Represents the </w:t>
      </w:r>
      <w:r w:rsidR="00954B3F" w:rsidRPr="003B42B0">
        <w:rPr>
          <w:rFonts w:ascii="Arial" w:hAnsi="Arial" w:cs="Arial"/>
          <w:sz w:val="24"/>
          <w:szCs w:val="24"/>
          <w:lang w:val="en-US"/>
        </w:rPr>
        <w:t>administration</w:t>
      </w:r>
      <w:r w:rsidR="003B42B0" w:rsidRPr="003B42B0">
        <w:rPr>
          <w:rFonts w:ascii="Arial" w:hAnsi="Arial" w:cs="Arial"/>
          <w:sz w:val="24"/>
          <w:szCs w:val="24"/>
          <w:lang w:val="en-US"/>
        </w:rPr>
        <w:t xml:space="preserve"> expense and interes</w:t>
      </w:r>
      <w:r w:rsidR="00954B3F">
        <w:rPr>
          <w:rFonts w:ascii="Arial" w:hAnsi="Arial" w:cs="Arial"/>
          <w:sz w:val="24"/>
          <w:szCs w:val="24"/>
          <w:lang w:val="en-US"/>
        </w:rPr>
        <w:t>t paid.</w:t>
      </w:r>
    </w:p>
    <w:p w14:paraId="577436C1" w14:textId="77777777" w:rsidR="00F65A7E" w:rsidRDefault="00F65A7E" w:rsidP="00F65A7E">
      <w:pPr>
        <w:jc w:val="both"/>
        <w:rPr>
          <w:rFonts w:ascii="Arial" w:hAnsi="Arial" w:cs="Arial"/>
          <w:lang w:val="en-US"/>
        </w:rPr>
      </w:pPr>
    </w:p>
    <w:p w14:paraId="20657F14" w14:textId="77777777" w:rsidR="00F65A7E" w:rsidRDefault="00F65A7E" w:rsidP="00F65A7E">
      <w:pPr>
        <w:jc w:val="both"/>
        <w:rPr>
          <w:rFonts w:ascii="Arial" w:hAnsi="Arial" w:cs="Arial"/>
          <w:lang w:val="en-US"/>
        </w:rPr>
      </w:pPr>
    </w:p>
    <w:p w14:paraId="70C8EA7E" w14:textId="77777777" w:rsidR="00F65A7E" w:rsidRDefault="00F65A7E" w:rsidP="00F65A7E">
      <w:pPr>
        <w:jc w:val="both"/>
        <w:rPr>
          <w:rFonts w:ascii="Arial" w:hAnsi="Arial" w:cs="Arial"/>
          <w:lang w:val="en-US"/>
        </w:rPr>
      </w:pPr>
    </w:p>
    <w:p w14:paraId="66D8E7DF" w14:textId="77777777" w:rsidR="00F65A7E" w:rsidRDefault="00F65A7E" w:rsidP="00F65A7E">
      <w:pPr>
        <w:jc w:val="both"/>
        <w:rPr>
          <w:rFonts w:ascii="Arial" w:hAnsi="Arial" w:cs="Arial"/>
          <w:lang w:val="en-US"/>
        </w:rPr>
      </w:pPr>
    </w:p>
    <w:p w14:paraId="2A4438D8" w14:textId="77777777" w:rsidR="00F65A7E" w:rsidRDefault="00F65A7E" w:rsidP="00F65A7E">
      <w:pPr>
        <w:jc w:val="both"/>
        <w:rPr>
          <w:rFonts w:ascii="Arial" w:hAnsi="Arial" w:cs="Arial"/>
          <w:lang w:val="en-US"/>
        </w:rPr>
      </w:pPr>
    </w:p>
    <w:p w14:paraId="1645805A" w14:textId="77777777" w:rsidR="00F65A7E" w:rsidRDefault="00F65A7E" w:rsidP="00F65A7E">
      <w:pPr>
        <w:jc w:val="both"/>
        <w:rPr>
          <w:rFonts w:ascii="Arial" w:hAnsi="Arial" w:cs="Arial"/>
          <w:lang w:val="en-US"/>
        </w:rPr>
      </w:pPr>
    </w:p>
    <w:p w14:paraId="6712420D" w14:textId="77777777" w:rsidR="007A486B" w:rsidRPr="00991B43" w:rsidRDefault="007A486B" w:rsidP="00991B43">
      <w:pPr>
        <w:pStyle w:val="ListParagraph"/>
        <w:spacing w:line="360" w:lineRule="auto"/>
        <w:rPr>
          <w:rFonts w:ascii="Arial" w:hAnsi="Arial" w:cs="Arial"/>
          <w:b/>
          <w:bCs/>
          <w:sz w:val="24"/>
          <w:szCs w:val="24"/>
          <w:lang w:val="en-IN"/>
        </w:rPr>
      </w:pPr>
    </w:p>
    <w:sectPr w:rsidR="007A486B" w:rsidRPr="00991B43" w:rsidSect="008F35FF">
      <w:headerReference w:type="default" r:id="rId39"/>
      <w:footerReference w:type="default" r:id="rId40"/>
      <w:pgSz w:w="11906" w:h="16838"/>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BE80B" w14:textId="77777777" w:rsidR="00893B6D" w:rsidRDefault="00893B6D" w:rsidP="00BB1087">
      <w:pPr>
        <w:spacing w:after="0" w:line="240" w:lineRule="auto"/>
      </w:pPr>
      <w:r>
        <w:separator/>
      </w:r>
    </w:p>
  </w:endnote>
  <w:endnote w:type="continuationSeparator" w:id="0">
    <w:p w14:paraId="6BCA982B" w14:textId="77777777" w:rsidR="00893B6D" w:rsidRDefault="00893B6D" w:rsidP="00B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7413933"/>
      <w:docPartObj>
        <w:docPartGallery w:val="Page Numbers (Bottom of Page)"/>
        <w:docPartUnique/>
      </w:docPartObj>
    </w:sdtPr>
    <w:sdtEndPr>
      <w:rPr>
        <w:noProof/>
      </w:rPr>
    </w:sdtEndPr>
    <w:sdtContent>
      <w:p w14:paraId="2F58E8AC" w14:textId="1EACBF1C" w:rsidR="00BB1087" w:rsidRDefault="00BB10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A38F2" w14:textId="77777777" w:rsidR="00BB1087" w:rsidRDefault="00BB1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35D2B" w14:textId="77777777" w:rsidR="00893B6D" w:rsidRDefault="00893B6D" w:rsidP="00BB1087">
      <w:pPr>
        <w:spacing w:after="0" w:line="240" w:lineRule="auto"/>
      </w:pPr>
      <w:r>
        <w:separator/>
      </w:r>
    </w:p>
  </w:footnote>
  <w:footnote w:type="continuationSeparator" w:id="0">
    <w:p w14:paraId="27AD6D5B" w14:textId="77777777" w:rsidR="00893B6D" w:rsidRDefault="00893B6D" w:rsidP="00BB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78073" w14:textId="24D76DF7" w:rsidR="00D33837" w:rsidRPr="00D33837" w:rsidRDefault="00D33837" w:rsidP="00D33837">
    <w:pPr>
      <w:pStyle w:val="Header"/>
    </w:pPr>
    <w:r>
      <w:rPr>
        <w:noProof/>
      </w:rPr>
      <w:drawing>
        <wp:anchor distT="0" distB="0" distL="114300" distR="114300" simplePos="0" relativeHeight="251659264" behindDoc="0" locked="0" layoutInCell="1" allowOverlap="1" wp14:anchorId="77A25A52" wp14:editId="166629C0">
          <wp:simplePos x="0" y="0"/>
          <wp:positionH relativeFrom="margin">
            <wp:posOffset>4953000</wp:posOffset>
          </wp:positionH>
          <wp:positionV relativeFrom="paragraph">
            <wp:posOffset>-270722</wp:posOffset>
          </wp:positionV>
          <wp:extent cx="1235710" cy="490855"/>
          <wp:effectExtent l="0" t="0" r="2540" b="4445"/>
          <wp:wrapTopAndBottom/>
          <wp:docPr id="952235177" name="Picture 1" descr="Flybe agrees £110m rescue deal as Government backtrack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be agrees £110m rescue deal as Government backtracks on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710" cy="490855"/>
                  </a:xfrm>
                  <a:prstGeom prst="rect">
                    <a:avLst/>
                  </a:prstGeom>
                  <a:solidFill>
                    <a:schemeClr val="bg1">
                      <a:alpha val="92000"/>
                    </a:schemeClr>
                  </a:solid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BCB"/>
    <w:multiLevelType w:val="hybridMultilevel"/>
    <w:tmpl w:val="F1A0358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E95F46"/>
    <w:multiLevelType w:val="hybridMultilevel"/>
    <w:tmpl w:val="C58E4E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EE2A95"/>
    <w:multiLevelType w:val="hybridMultilevel"/>
    <w:tmpl w:val="B99E5060"/>
    <w:lvl w:ilvl="0" w:tplc="FA04266E">
      <w:start w:val="1"/>
      <w:numFmt w:val="decimal"/>
      <w:lvlText w:val="%1a."/>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F31CC"/>
    <w:multiLevelType w:val="hybridMultilevel"/>
    <w:tmpl w:val="432AF534"/>
    <w:lvl w:ilvl="0" w:tplc="57E41CFA">
      <w:start w:val="1"/>
      <w:numFmt w:val="lowerLetter"/>
      <w:lvlText w:val="2%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8611F4"/>
    <w:multiLevelType w:val="hybridMultilevel"/>
    <w:tmpl w:val="BFAE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5025F"/>
    <w:multiLevelType w:val="hybridMultilevel"/>
    <w:tmpl w:val="33EC6C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81303D"/>
    <w:multiLevelType w:val="multilevel"/>
    <w:tmpl w:val="4A805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2BD1EF9"/>
    <w:multiLevelType w:val="hybridMultilevel"/>
    <w:tmpl w:val="D5026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7D2401"/>
    <w:multiLevelType w:val="hybridMultilevel"/>
    <w:tmpl w:val="FAF8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10A06"/>
    <w:multiLevelType w:val="hybridMultilevel"/>
    <w:tmpl w:val="636A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DA6AFD"/>
    <w:multiLevelType w:val="multilevel"/>
    <w:tmpl w:val="7E8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2A6FF5"/>
    <w:multiLevelType w:val="hybridMultilevel"/>
    <w:tmpl w:val="921819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A46A15"/>
    <w:multiLevelType w:val="hybridMultilevel"/>
    <w:tmpl w:val="0FA6B574"/>
    <w:lvl w:ilvl="0" w:tplc="4009000B">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3" w15:restartNumberingAfterBreak="0">
    <w:nsid w:val="2E506F8B"/>
    <w:multiLevelType w:val="hybridMultilevel"/>
    <w:tmpl w:val="161CA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744260"/>
    <w:multiLevelType w:val="hybridMultilevel"/>
    <w:tmpl w:val="3E722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C92072"/>
    <w:multiLevelType w:val="hybridMultilevel"/>
    <w:tmpl w:val="7F8E0286"/>
    <w:lvl w:ilvl="0" w:tplc="4009000B">
      <w:start w:val="1"/>
      <w:numFmt w:val="bullet"/>
      <w:lvlText w:val=""/>
      <w:lvlJc w:val="left"/>
      <w:pPr>
        <w:ind w:left="2052" w:hanging="360"/>
      </w:pPr>
      <w:rPr>
        <w:rFonts w:ascii="Wingdings" w:hAnsi="Wingdings"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6" w15:restartNumberingAfterBreak="0">
    <w:nsid w:val="36C85E70"/>
    <w:multiLevelType w:val="hybridMultilevel"/>
    <w:tmpl w:val="F306EDE2"/>
    <w:lvl w:ilvl="0" w:tplc="C818E8B6">
      <w:start w:val="1"/>
      <w:numFmt w:val="lowerLetter"/>
      <w:lvlText w:val="1%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955EEC"/>
    <w:multiLevelType w:val="hybridMultilevel"/>
    <w:tmpl w:val="9950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B10D2F"/>
    <w:multiLevelType w:val="hybridMultilevel"/>
    <w:tmpl w:val="261AF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360F01"/>
    <w:multiLevelType w:val="multilevel"/>
    <w:tmpl w:val="4A805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1A21454"/>
    <w:multiLevelType w:val="hybridMultilevel"/>
    <w:tmpl w:val="FDD09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145AB6"/>
    <w:multiLevelType w:val="multilevel"/>
    <w:tmpl w:val="4A805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E8B7ABF"/>
    <w:multiLevelType w:val="hybridMultilevel"/>
    <w:tmpl w:val="97320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4C1603"/>
    <w:multiLevelType w:val="hybridMultilevel"/>
    <w:tmpl w:val="2C3C7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5B1624"/>
    <w:multiLevelType w:val="hybridMultilevel"/>
    <w:tmpl w:val="39EA5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D86155"/>
    <w:multiLevelType w:val="hybridMultilevel"/>
    <w:tmpl w:val="7402E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4C42D2"/>
    <w:multiLevelType w:val="hybridMultilevel"/>
    <w:tmpl w:val="580E8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137248C"/>
    <w:multiLevelType w:val="hybridMultilevel"/>
    <w:tmpl w:val="6A26CC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1A51B8D"/>
    <w:multiLevelType w:val="hybridMultilevel"/>
    <w:tmpl w:val="C21E9808"/>
    <w:lvl w:ilvl="0" w:tplc="A8B83D72">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922CC9"/>
    <w:multiLevelType w:val="hybridMultilevel"/>
    <w:tmpl w:val="D05299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4A76983"/>
    <w:multiLevelType w:val="hybridMultilevel"/>
    <w:tmpl w:val="97D8D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2521EC"/>
    <w:multiLevelType w:val="hybridMultilevel"/>
    <w:tmpl w:val="31D2C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73111265">
    <w:abstractNumId w:val="6"/>
  </w:num>
  <w:num w:numId="2" w16cid:durableId="1798377122">
    <w:abstractNumId w:val="9"/>
  </w:num>
  <w:num w:numId="3" w16cid:durableId="1695106865">
    <w:abstractNumId w:val="31"/>
  </w:num>
  <w:num w:numId="4" w16cid:durableId="739592950">
    <w:abstractNumId w:val="4"/>
  </w:num>
  <w:num w:numId="5" w16cid:durableId="251087534">
    <w:abstractNumId w:val="17"/>
  </w:num>
  <w:num w:numId="6" w16cid:durableId="626618007">
    <w:abstractNumId w:val="29"/>
  </w:num>
  <w:num w:numId="7" w16cid:durableId="1893150653">
    <w:abstractNumId w:val="14"/>
  </w:num>
  <w:num w:numId="8" w16cid:durableId="2001232455">
    <w:abstractNumId w:val="7"/>
  </w:num>
  <w:num w:numId="9" w16cid:durableId="780997856">
    <w:abstractNumId w:val="8"/>
  </w:num>
  <w:num w:numId="10" w16cid:durableId="1722708324">
    <w:abstractNumId w:val="17"/>
  </w:num>
  <w:num w:numId="11" w16cid:durableId="200678432">
    <w:abstractNumId w:val="18"/>
  </w:num>
  <w:num w:numId="12" w16cid:durableId="170681312">
    <w:abstractNumId w:val="25"/>
  </w:num>
  <w:num w:numId="13" w16cid:durableId="1183935214">
    <w:abstractNumId w:val="1"/>
  </w:num>
  <w:num w:numId="14" w16cid:durableId="1452238202">
    <w:abstractNumId w:val="24"/>
  </w:num>
  <w:num w:numId="15" w16cid:durableId="1796756786">
    <w:abstractNumId w:val="12"/>
  </w:num>
  <w:num w:numId="16" w16cid:durableId="1164248080">
    <w:abstractNumId w:val="23"/>
  </w:num>
  <w:num w:numId="17" w16cid:durableId="1889491801">
    <w:abstractNumId w:val="16"/>
  </w:num>
  <w:num w:numId="18" w16cid:durableId="286543163">
    <w:abstractNumId w:val="2"/>
  </w:num>
  <w:num w:numId="19" w16cid:durableId="1123812341">
    <w:abstractNumId w:val="3"/>
  </w:num>
  <w:num w:numId="20" w16cid:durableId="2025551816">
    <w:abstractNumId w:val="10"/>
  </w:num>
  <w:num w:numId="21" w16cid:durableId="1472595794">
    <w:abstractNumId w:val="5"/>
  </w:num>
  <w:num w:numId="22" w16cid:durableId="958293788">
    <w:abstractNumId w:val="26"/>
  </w:num>
  <w:num w:numId="23" w16cid:durableId="1517576264">
    <w:abstractNumId w:val="0"/>
  </w:num>
  <w:num w:numId="24" w16cid:durableId="2055998782">
    <w:abstractNumId w:val="15"/>
  </w:num>
  <w:num w:numId="25" w16cid:durableId="1413308704">
    <w:abstractNumId w:val="22"/>
  </w:num>
  <w:num w:numId="26" w16cid:durableId="147788972">
    <w:abstractNumId w:val="20"/>
  </w:num>
  <w:num w:numId="27" w16cid:durableId="463885575">
    <w:abstractNumId w:val="13"/>
  </w:num>
  <w:num w:numId="28" w16cid:durableId="308824581">
    <w:abstractNumId w:val="30"/>
  </w:num>
  <w:num w:numId="29" w16cid:durableId="956177682">
    <w:abstractNumId w:val="27"/>
  </w:num>
  <w:num w:numId="30" w16cid:durableId="1934625689">
    <w:abstractNumId w:val="11"/>
  </w:num>
  <w:num w:numId="31" w16cid:durableId="1405375907">
    <w:abstractNumId w:val="21"/>
  </w:num>
  <w:num w:numId="32" w16cid:durableId="1826818203">
    <w:abstractNumId w:val="28"/>
  </w:num>
  <w:num w:numId="33" w16cid:durableId="1104770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C2"/>
    <w:rsid w:val="00000885"/>
    <w:rsid w:val="00016519"/>
    <w:rsid w:val="00016B9E"/>
    <w:rsid w:val="00023B9D"/>
    <w:rsid w:val="00030F7C"/>
    <w:rsid w:val="00032CFA"/>
    <w:rsid w:val="000331EF"/>
    <w:rsid w:val="0003536B"/>
    <w:rsid w:val="000424EE"/>
    <w:rsid w:val="00044BEF"/>
    <w:rsid w:val="00055BC6"/>
    <w:rsid w:val="000600B5"/>
    <w:rsid w:val="00062063"/>
    <w:rsid w:val="00065E03"/>
    <w:rsid w:val="000730A4"/>
    <w:rsid w:val="00080537"/>
    <w:rsid w:val="00092F5C"/>
    <w:rsid w:val="00096093"/>
    <w:rsid w:val="00097F10"/>
    <w:rsid w:val="000A0EDC"/>
    <w:rsid w:val="000B6429"/>
    <w:rsid w:val="000D6530"/>
    <w:rsid w:val="000D68B2"/>
    <w:rsid w:val="000E032E"/>
    <w:rsid w:val="000E0C68"/>
    <w:rsid w:val="000F618F"/>
    <w:rsid w:val="00107013"/>
    <w:rsid w:val="00112345"/>
    <w:rsid w:val="001130BC"/>
    <w:rsid w:val="0012563E"/>
    <w:rsid w:val="0012612D"/>
    <w:rsid w:val="001348D6"/>
    <w:rsid w:val="00140670"/>
    <w:rsid w:val="00150010"/>
    <w:rsid w:val="00152B97"/>
    <w:rsid w:val="00166378"/>
    <w:rsid w:val="00170D10"/>
    <w:rsid w:val="001901E6"/>
    <w:rsid w:val="001906DD"/>
    <w:rsid w:val="0019684B"/>
    <w:rsid w:val="001B1DC9"/>
    <w:rsid w:val="001B72B9"/>
    <w:rsid w:val="001C2AE4"/>
    <w:rsid w:val="001C300A"/>
    <w:rsid w:val="001C7EF0"/>
    <w:rsid w:val="001D1752"/>
    <w:rsid w:val="001D6D55"/>
    <w:rsid w:val="001E33A8"/>
    <w:rsid w:val="001F0727"/>
    <w:rsid w:val="001F0763"/>
    <w:rsid w:val="001F1799"/>
    <w:rsid w:val="001F7EA8"/>
    <w:rsid w:val="00217A0E"/>
    <w:rsid w:val="00226210"/>
    <w:rsid w:val="00231B83"/>
    <w:rsid w:val="002332F5"/>
    <w:rsid w:val="00237DF7"/>
    <w:rsid w:val="00241759"/>
    <w:rsid w:val="00246AD6"/>
    <w:rsid w:val="0025165D"/>
    <w:rsid w:val="00255174"/>
    <w:rsid w:val="00267278"/>
    <w:rsid w:val="00267868"/>
    <w:rsid w:val="00267A2F"/>
    <w:rsid w:val="00267EFB"/>
    <w:rsid w:val="00274A80"/>
    <w:rsid w:val="0028098D"/>
    <w:rsid w:val="002A405C"/>
    <w:rsid w:val="002A5224"/>
    <w:rsid w:val="002A6849"/>
    <w:rsid w:val="002B04D8"/>
    <w:rsid w:val="002B1B06"/>
    <w:rsid w:val="002B6119"/>
    <w:rsid w:val="002C313E"/>
    <w:rsid w:val="002C419E"/>
    <w:rsid w:val="002C4901"/>
    <w:rsid w:val="002C627A"/>
    <w:rsid w:val="002C747F"/>
    <w:rsid w:val="002D4035"/>
    <w:rsid w:val="002E0B05"/>
    <w:rsid w:val="002E4C10"/>
    <w:rsid w:val="00311704"/>
    <w:rsid w:val="0032545A"/>
    <w:rsid w:val="003507E3"/>
    <w:rsid w:val="00353D0B"/>
    <w:rsid w:val="0035427E"/>
    <w:rsid w:val="0037404A"/>
    <w:rsid w:val="00384294"/>
    <w:rsid w:val="0039413C"/>
    <w:rsid w:val="003A1CD3"/>
    <w:rsid w:val="003B42B0"/>
    <w:rsid w:val="003B4777"/>
    <w:rsid w:val="003C3B43"/>
    <w:rsid w:val="003D4774"/>
    <w:rsid w:val="003D7226"/>
    <w:rsid w:val="003E384E"/>
    <w:rsid w:val="003E59C4"/>
    <w:rsid w:val="003F134F"/>
    <w:rsid w:val="003F4F46"/>
    <w:rsid w:val="00403B3C"/>
    <w:rsid w:val="00404B7E"/>
    <w:rsid w:val="00411EDF"/>
    <w:rsid w:val="004171BA"/>
    <w:rsid w:val="00417F43"/>
    <w:rsid w:val="004430D8"/>
    <w:rsid w:val="00445D7B"/>
    <w:rsid w:val="00447EFD"/>
    <w:rsid w:val="004510D9"/>
    <w:rsid w:val="00467FC8"/>
    <w:rsid w:val="004840DA"/>
    <w:rsid w:val="004939B9"/>
    <w:rsid w:val="004A22CC"/>
    <w:rsid w:val="004B70E5"/>
    <w:rsid w:val="004C3F51"/>
    <w:rsid w:val="004D2BEA"/>
    <w:rsid w:val="004D5624"/>
    <w:rsid w:val="004E02A4"/>
    <w:rsid w:val="004E2550"/>
    <w:rsid w:val="00500BAE"/>
    <w:rsid w:val="00501507"/>
    <w:rsid w:val="00513D10"/>
    <w:rsid w:val="00514273"/>
    <w:rsid w:val="00514618"/>
    <w:rsid w:val="00517412"/>
    <w:rsid w:val="00525A98"/>
    <w:rsid w:val="00526126"/>
    <w:rsid w:val="00533A37"/>
    <w:rsid w:val="00533DC5"/>
    <w:rsid w:val="00535DA5"/>
    <w:rsid w:val="00540DB0"/>
    <w:rsid w:val="005612E2"/>
    <w:rsid w:val="00571CE6"/>
    <w:rsid w:val="00582C1F"/>
    <w:rsid w:val="00586EDB"/>
    <w:rsid w:val="00591FA6"/>
    <w:rsid w:val="00592498"/>
    <w:rsid w:val="0059453D"/>
    <w:rsid w:val="005A6FB1"/>
    <w:rsid w:val="005A7AC4"/>
    <w:rsid w:val="005B0AB6"/>
    <w:rsid w:val="005B47FC"/>
    <w:rsid w:val="005B5B0F"/>
    <w:rsid w:val="005C074D"/>
    <w:rsid w:val="005C311A"/>
    <w:rsid w:val="005D05EC"/>
    <w:rsid w:val="005D24AC"/>
    <w:rsid w:val="005D6819"/>
    <w:rsid w:val="005F2B6F"/>
    <w:rsid w:val="006000A1"/>
    <w:rsid w:val="006075D9"/>
    <w:rsid w:val="00610828"/>
    <w:rsid w:val="00612E1A"/>
    <w:rsid w:val="0062355E"/>
    <w:rsid w:val="00630838"/>
    <w:rsid w:val="00635807"/>
    <w:rsid w:val="00643174"/>
    <w:rsid w:val="00643AE9"/>
    <w:rsid w:val="006511D7"/>
    <w:rsid w:val="00654944"/>
    <w:rsid w:val="00654C51"/>
    <w:rsid w:val="00666387"/>
    <w:rsid w:val="00670DDD"/>
    <w:rsid w:val="00671684"/>
    <w:rsid w:val="00687892"/>
    <w:rsid w:val="0069280C"/>
    <w:rsid w:val="006A0748"/>
    <w:rsid w:val="006A2286"/>
    <w:rsid w:val="006A6EDF"/>
    <w:rsid w:val="006A778C"/>
    <w:rsid w:val="006C1C8E"/>
    <w:rsid w:val="006C1FAC"/>
    <w:rsid w:val="006D04A0"/>
    <w:rsid w:val="006E6982"/>
    <w:rsid w:val="006E79E6"/>
    <w:rsid w:val="00704961"/>
    <w:rsid w:val="00711EA1"/>
    <w:rsid w:val="0073283D"/>
    <w:rsid w:val="00732BD2"/>
    <w:rsid w:val="00740288"/>
    <w:rsid w:val="00744FCF"/>
    <w:rsid w:val="00751BBC"/>
    <w:rsid w:val="00755741"/>
    <w:rsid w:val="00773054"/>
    <w:rsid w:val="00784BC7"/>
    <w:rsid w:val="007903D6"/>
    <w:rsid w:val="007A486B"/>
    <w:rsid w:val="007A6BFC"/>
    <w:rsid w:val="007A7A54"/>
    <w:rsid w:val="007B5F82"/>
    <w:rsid w:val="007B6628"/>
    <w:rsid w:val="007C5072"/>
    <w:rsid w:val="007D3406"/>
    <w:rsid w:val="007E107F"/>
    <w:rsid w:val="007E3FF5"/>
    <w:rsid w:val="00807379"/>
    <w:rsid w:val="00812592"/>
    <w:rsid w:val="008238CD"/>
    <w:rsid w:val="00823AD4"/>
    <w:rsid w:val="00825AE2"/>
    <w:rsid w:val="008322A5"/>
    <w:rsid w:val="0083494E"/>
    <w:rsid w:val="00834C2E"/>
    <w:rsid w:val="00836616"/>
    <w:rsid w:val="008412F8"/>
    <w:rsid w:val="00841EF4"/>
    <w:rsid w:val="008506E2"/>
    <w:rsid w:val="008529CE"/>
    <w:rsid w:val="00865999"/>
    <w:rsid w:val="00881E57"/>
    <w:rsid w:val="00887A27"/>
    <w:rsid w:val="00893B6D"/>
    <w:rsid w:val="008A1396"/>
    <w:rsid w:val="008A35F4"/>
    <w:rsid w:val="008B36B0"/>
    <w:rsid w:val="008B670F"/>
    <w:rsid w:val="008D173F"/>
    <w:rsid w:val="008D23DF"/>
    <w:rsid w:val="008E33D1"/>
    <w:rsid w:val="008F33F5"/>
    <w:rsid w:val="008F35FF"/>
    <w:rsid w:val="00900FE2"/>
    <w:rsid w:val="00901D7C"/>
    <w:rsid w:val="0090213D"/>
    <w:rsid w:val="009036BC"/>
    <w:rsid w:val="0091442A"/>
    <w:rsid w:val="00914945"/>
    <w:rsid w:val="00925392"/>
    <w:rsid w:val="00926FBC"/>
    <w:rsid w:val="0093153B"/>
    <w:rsid w:val="00932FA9"/>
    <w:rsid w:val="009500AB"/>
    <w:rsid w:val="00954B3F"/>
    <w:rsid w:val="009558FF"/>
    <w:rsid w:val="00962008"/>
    <w:rsid w:val="00965389"/>
    <w:rsid w:val="009717D8"/>
    <w:rsid w:val="00977D5E"/>
    <w:rsid w:val="0098248B"/>
    <w:rsid w:val="00991B43"/>
    <w:rsid w:val="009956DE"/>
    <w:rsid w:val="009C1EC4"/>
    <w:rsid w:val="009C430D"/>
    <w:rsid w:val="009E4D74"/>
    <w:rsid w:val="009F2099"/>
    <w:rsid w:val="00A10391"/>
    <w:rsid w:val="00A111CF"/>
    <w:rsid w:val="00A11C60"/>
    <w:rsid w:val="00A150F1"/>
    <w:rsid w:val="00A15BCE"/>
    <w:rsid w:val="00A4138B"/>
    <w:rsid w:val="00A43C40"/>
    <w:rsid w:val="00A44EC6"/>
    <w:rsid w:val="00A47A4C"/>
    <w:rsid w:val="00A60169"/>
    <w:rsid w:val="00A8663B"/>
    <w:rsid w:val="00A912B5"/>
    <w:rsid w:val="00AA031A"/>
    <w:rsid w:val="00AB6FBC"/>
    <w:rsid w:val="00AC0ACD"/>
    <w:rsid w:val="00AC4FC2"/>
    <w:rsid w:val="00AC6E0E"/>
    <w:rsid w:val="00AD6021"/>
    <w:rsid w:val="00AE056A"/>
    <w:rsid w:val="00AF020A"/>
    <w:rsid w:val="00AF6D80"/>
    <w:rsid w:val="00B04635"/>
    <w:rsid w:val="00B06908"/>
    <w:rsid w:val="00B06D1F"/>
    <w:rsid w:val="00B10761"/>
    <w:rsid w:val="00B1596F"/>
    <w:rsid w:val="00B221FB"/>
    <w:rsid w:val="00B25482"/>
    <w:rsid w:val="00B327FB"/>
    <w:rsid w:val="00B43406"/>
    <w:rsid w:val="00B56F02"/>
    <w:rsid w:val="00B63B25"/>
    <w:rsid w:val="00B72445"/>
    <w:rsid w:val="00B72A44"/>
    <w:rsid w:val="00B852DE"/>
    <w:rsid w:val="00B870CD"/>
    <w:rsid w:val="00B90DB2"/>
    <w:rsid w:val="00B96B62"/>
    <w:rsid w:val="00BA1062"/>
    <w:rsid w:val="00BA774D"/>
    <w:rsid w:val="00BB1087"/>
    <w:rsid w:val="00BB1838"/>
    <w:rsid w:val="00BB2A9B"/>
    <w:rsid w:val="00BC5561"/>
    <w:rsid w:val="00BD05CA"/>
    <w:rsid w:val="00BD52DE"/>
    <w:rsid w:val="00BD7FA6"/>
    <w:rsid w:val="00BF6A95"/>
    <w:rsid w:val="00C13216"/>
    <w:rsid w:val="00C25037"/>
    <w:rsid w:val="00C27E68"/>
    <w:rsid w:val="00C3194E"/>
    <w:rsid w:val="00C34E3F"/>
    <w:rsid w:val="00C404F7"/>
    <w:rsid w:val="00C566EB"/>
    <w:rsid w:val="00C568EA"/>
    <w:rsid w:val="00C57391"/>
    <w:rsid w:val="00C70D74"/>
    <w:rsid w:val="00C72781"/>
    <w:rsid w:val="00C8448C"/>
    <w:rsid w:val="00C85DA4"/>
    <w:rsid w:val="00C87544"/>
    <w:rsid w:val="00C96DC0"/>
    <w:rsid w:val="00CA1E38"/>
    <w:rsid w:val="00CB5F0B"/>
    <w:rsid w:val="00CB6F83"/>
    <w:rsid w:val="00CC351D"/>
    <w:rsid w:val="00CC45AF"/>
    <w:rsid w:val="00CC4761"/>
    <w:rsid w:val="00CD6C1A"/>
    <w:rsid w:val="00CE19A0"/>
    <w:rsid w:val="00CE369F"/>
    <w:rsid w:val="00CE723C"/>
    <w:rsid w:val="00CF398B"/>
    <w:rsid w:val="00CF3D9B"/>
    <w:rsid w:val="00CF71CB"/>
    <w:rsid w:val="00D0225B"/>
    <w:rsid w:val="00D04711"/>
    <w:rsid w:val="00D26CE7"/>
    <w:rsid w:val="00D32877"/>
    <w:rsid w:val="00D33837"/>
    <w:rsid w:val="00D36AFB"/>
    <w:rsid w:val="00D42D9B"/>
    <w:rsid w:val="00D71876"/>
    <w:rsid w:val="00D72429"/>
    <w:rsid w:val="00D77B7C"/>
    <w:rsid w:val="00D965CF"/>
    <w:rsid w:val="00DA2E4B"/>
    <w:rsid w:val="00DB2795"/>
    <w:rsid w:val="00DB7E6B"/>
    <w:rsid w:val="00DD0433"/>
    <w:rsid w:val="00DE0F84"/>
    <w:rsid w:val="00DE2B94"/>
    <w:rsid w:val="00DF7671"/>
    <w:rsid w:val="00E02E38"/>
    <w:rsid w:val="00E04BA6"/>
    <w:rsid w:val="00E0525F"/>
    <w:rsid w:val="00E11F8B"/>
    <w:rsid w:val="00E126AA"/>
    <w:rsid w:val="00E12A7D"/>
    <w:rsid w:val="00E142B6"/>
    <w:rsid w:val="00E155A2"/>
    <w:rsid w:val="00E20FCD"/>
    <w:rsid w:val="00E31AE7"/>
    <w:rsid w:val="00E32E42"/>
    <w:rsid w:val="00E40AB8"/>
    <w:rsid w:val="00E52196"/>
    <w:rsid w:val="00E54B28"/>
    <w:rsid w:val="00E57C0D"/>
    <w:rsid w:val="00E60B0D"/>
    <w:rsid w:val="00E60FED"/>
    <w:rsid w:val="00E62862"/>
    <w:rsid w:val="00E64BC5"/>
    <w:rsid w:val="00E6732C"/>
    <w:rsid w:val="00E70B8A"/>
    <w:rsid w:val="00E72707"/>
    <w:rsid w:val="00E7396F"/>
    <w:rsid w:val="00E75AB2"/>
    <w:rsid w:val="00E767A3"/>
    <w:rsid w:val="00E8168F"/>
    <w:rsid w:val="00E83B11"/>
    <w:rsid w:val="00E95D82"/>
    <w:rsid w:val="00EA31BD"/>
    <w:rsid w:val="00EC5833"/>
    <w:rsid w:val="00ED0EE9"/>
    <w:rsid w:val="00EE21C8"/>
    <w:rsid w:val="00EE5EFE"/>
    <w:rsid w:val="00F070D9"/>
    <w:rsid w:val="00F07A5E"/>
    <w:rsid w:val="00F12132"/>
    <w:rsid w:val="00F170C7"/>
    <w:rsid w:val="00F20C67"/>
    <w:rsid w:val="00F25343"/>
    <w:rsid w:val="00F318A7"/>
    <w:rsid w:val="00F410D9"/>
    <w:rsid w:val="00F465CA"/>
    <w:rsid w:val="00F564F0"/>
    <w:rsid w:val="00F572F6"/>
    <w:rsid w:val="00F63BFA"/>
    <w:rsid w:val="00F65339"/>
    <w:rsid w:val="00F65A7E"/>
    <w:rsid w:val="00F671BF"/>
    <w:rsid w:val="00F72EFF"/>
    <w:rsid w:val="00F8274C"/>
    <w:rsid w:val="00F91259"/>
    <w:rsid w:val="00F933AC"/>
    <w:rsid w:val="00FA042F"/>
    <w:rsid w:val="00FA05E3"/>
    <w:rsid w:val="00FA30B3"/>
    <w:rsid w:val="00FC496F"/>
    <w:rsid w:val="00FD3002"/>
    <w:rsid w:val="00FF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59ABF"/>
  <w15:chartTrackingRefBased/>
  <w15:docId w15:val="{9F12844D-264B-493D-9F51-7BCBDF3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C4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4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4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C2"/>
    <w:rPr>
      <w:rFonts w:eastAsiaTheme="majorEastAsia" w:cstheme="majorBidi"/>
      <w:color w:val="272727" w:themeColor="text1" w:themeTint="D8"/>
    </w:rPr>
  </w:style>
  <w:style w:type="paragraph" w:styleId="Title">
    <w:name w:val="Title"/>
    <w:basedOn w:val="Normal"/>
    <w:next w:val="Normal"/>
    <w:link w:val="TitleChar"/>
    <w:uiPriority w:val="10"/>
    <w:qFormat/>
    <w:rsid w:val="00AC4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C2"/>
    <w:pPr>
      <w:spacing w:before="160"/>
      <w:jc w:val="center"/>
    </w:pPr>
    <w:rPr>
      <w:i/>
      <w:iCs/>
      <w:color w:val="404040" w:themeColor="text1" w:themeTint="BF"/>
    </w:rPr>
  </w:style>
  <w:style w:type="character" w:customStyle="1" w:styleId="QuoteChar">
    <w:name w:val="Quote Char"/>
    <w:basedOn w:val="DefaultParagraphFont"/>
    <w:link w:val="Quote"/>
    <w:uiPriority w:val="29"/>
    <w:rsid w:val="00AC4FC2"/>
    <w:rPr>
      <w:i/>
      <w:iCs/>
      <w:color w:val="404040" w:themeColor="text1" w:themeTint="BF"/>
    </w:rPr>
  </w:style>
  <w:style w:type="paragraph" w:styleId="ListParagraph">
    <w:name w:val="List Paragraph"/>
    <w:basedOn w:val="Normal"/>
    <w:uiPriority w:val="34"/>
    <w:qFormat/>
    <w:rsid w:val="00AC4FC2"/>
    <w:pPr>
      <w:ind w:left="720"/>
      <w:contextualSpacing/>
    </w:pPr>
  </w:style>
  <w:style w:type="character" w:styleId="IntenseEmphasis">
    <w:name w:val="Intense Emphasis"/>
    <w:basedOn w:val="DefaultParagraphFont"/>
    <w:uiPriority w:val="21"/>
    <w:qFormat/>
    <w:rsid w:val="00AC4FC2"/>
    <w:rPr>
      <w:i/>
      <w:iCs/>
      <w:color w:val="0F4761" w:themeColor="accent1" w:themeShade="BF"/>
    </w:rPr>
  </w:style>
  <w:style w:type="paragraph" w:styleId="IntenseQuote">
    <w:name w:val="Intense Quote"/>
    <w:basedOn w:val="Normal"/>
    <w:next w:val="Normal"/>
    <w:link w:val="IntenseQuoteChar"/>
    <w:uiPriority w:val="30"/>
    <w:qFormat/>
    <w:rsid w:val="00AC4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C2"/>
    <w:rPr>
      <w:i/>
      <w:iCs/>
      <w:color w:val="0F4761" w:themeColor="accent1" w:themeShade="BF"/>
    </w:rPr>
  </w:style>
  <w:style w:type="character" w:styleId="IntenseReference">
    <w:name w:val="Intense Reference"/>
    <w:basedOn w:val="DefaultParagraphFont"/>
    <w:uiPriority w:val="32"/>
    <w:qFormat/>
    <w:rsid w:val="00AC4FC2"/>
    <w:rPr>
      <w:b/>
      <w:bCs/>
      <w:smallCaps/>
      <w:color w:val="0F4761" w:themeColor="accent1" w:themeShade="BF"/>
      <w:spacing w:val="5"/>
    </w:rPr>
  </w:style>
  <w:style w:type="character" w:styleId="Hyperlink">
    <w:name w:val="Hyperlink"/>
    <w:basedOn w:val="DefaultParagraphFont"/>
    <w:uiPriority w:val="99"/>
    <w:unhideWhenUsed/>
    <w:rsid w:val="00A10391"/>
    <w:rPr>
      <w:color w:val="467886" w:themeColor="hyperlink"/>
      <w:u w:val="single"/>
    </w:rPr>
  </w:style>
  <w:style w:type="character" w:styleId="UnresolvedMention">
    <w:name w:val="Unresolved Mention"/>
    <w:basedOn w:val="DefaultParagraphFont"/>
    <w:uiPriority w:val="99"/>
    <w:semiHidden/>
    <w:unhideWhenUsed/>
    <w:rsid w:val="00A10391"/>
    <w:rPr>
      <w:color w:val="605E5C"/>
      <w:shd w:val="clear" w:color="auto" w:fill="E1DFDD"/>
    </w:rPr>
  </w:style>
  <w:style w:type="character" w:styleId="FollowedHyperlink">
    <w:name w:val="FollowedHyperlink"/>
    <w:basedOn w:val="DefaultParagraphFont"/>
    <w:uiPriority w:val="99"/>
    <w:semiHidden/>
    <w:unhideWhenUsed/>
    <w:rsid w:val="00586EDB"/>
    <w:rPr>
      <w:color w:val="96607D" w:themeColor="followedHyperlink"/>
      <w:u w:val="single"/>
    </w:rPr>
  </w:style>
  <w:style w:type="paragraph" w:styleId="NormalWeb">
    <w:name w:val="Normal (Web)"/>
    <w:basedOn w:val="Normal"/>
    <w:uiPriority w:val="99"/>
    <w:semiHidden/>
    <w:unhideWhenUsed/>
    <w:rsid w:val="00055BC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TOCHeading">
    <w:name w:val="TOC Heading"/>
    <w:basedOn w:val="Heading1"/>
    <w:next w:val="Normal"/>
    <w:uiPriority w:val="39"/>
    <w:unhideWhenUsed/>
    <w:qFormat/>
    <w:rsid w:val="00231B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31B83"/>
    <w:pPr>
      <w:spacing w:after="100"/>
    </w:pPr>
  </w:style>
  <w:style w:type="paragraph" w:styleId="TOC2">
    <w:name w:val="toc 2"/>
    <w:basedOn w:val="Normal"/>
    <w:next w:val="Normal"/>
    <w:autoRedefine/>
    <w:uiPriority w:val="39"/>
    <w:unhideWhenUsed/>
    <w:rsid w:val="00092F5C"/>
    <w:pPr>
      <w:spacing w:after="100"/>
      <w:ind w:left="220"/>
    </w:pPr>
  </w:style>
  <w:style w:type="paragraph" w:styleId="TOC3">
    <w:name w:val="toc 3"/>
    <w:basedOn w:val="Normal"/>
    <w:next w:val="Normal"/>
    <w:autoRedefine/>
    <w:uiPriority w:val="39"/>
    <w:unhideWhenUsed/>
    <w:rsid w:val="00092F5C"/>
    <w:pPr>
      <w:spacing w:after="100"/>
      <w:ind w:left="440"/>
    </w:pPr>
  </w:style>
  <w:style w:type="paragraph" w:styleId="Header">
    <w:name w:val="header"/>
    <w:basedOn w:val="Normal"/>
    <w:link w:val="HeaderChar"/>
    <w:uiPriority w:val="99"/>
    <w:unhideWhenUsed/>
    <w:rsid w:val="00BB1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087"/>
    <w:rPr>
      <w:lang w:val="en-GB"/>
    </w:rPr>
  </w:style>
  <w:style w:type="paragraph" w:styleId="Footer">
    <w:name w:val="footer"/>
    <w:basedOn w:val="Normal"/>
    <w:link w:val="FooterChar"/>
    <w:uiPriority w:val="99"/>
    <w:unhideWhenUsed/>
    <w:rsid w:val="00BB1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08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253">
      <w:bodyDiv w:val="1"/>
      <w:marLeft w:val="0"/>
      <w:marRight w:val="0"/>
      <w:marTop w:val="0"/>
      <w:marBottom w:val="0"/>
      <w:divBdr>
        <w:top w:val="none" w:sz="0" w:space="0" w:color="auto"/>
        <w:left w:val="none" w:sz="0" w:space="0" w:color="auto"/>
        <w:bottom w:val="none" w:sz="0" w:space="0" w:color="auto"/>
        <w:right w:val="none" w:sz="0" w:space="0" w:color="auto"/>
      </w:divBdr>
    </w:div>
    <w:div w:id="19163451">
      <w:bodyDiv w:val="1"/>
      <w:marLeft w:val="0"/>
      <w:marRight w:val="0"/>
      <w:marTop w:val="0"/>
      <w:marBottom w:val="0"/>
      <w:divBdr>
        <w:top w:val="none" w:sz="0" w:space="0" w:color="auto"/>
        <w:left w:val="none" w:sz="0" w:space="0" w:color="auto"/>
        <w:bottom w:val="none" w:sz="0" w:space="0" w:color="auto"/>
        <w:right w:val="none" w:sz="0" w:space="0" w:color="auto"/>
      </w:divBdr>
    </w:div>
    <w:div w:id="24986200">
      <w:bodyDiv w:val="1"/>
      <w:marLeft w:val="0"/>
      <w:marRight w:val="0"/>
      <w:marTop w:val="0"/>
      <w:marBottom w:val="0"/>
      <w:divBdr>
        <w:top w:val="none" w:sz="0" w:space="0" w:color="auto"/>
        <w:left w:val="none" w:sz="0" w:space="0" w:color="auto"/>
        <w:bottom w:val="none" w:sz="0" w:space="0" w:color="auto"/>
        <w:right w:val="none" w:sz="0" w:space="0" w:color="auto"/>
      </w:divBdr>
    </w:div>
    <w:div w:id="33699856">
      <w:bodyDiv w:val="1"/>
      <w:marLeft w:val="0"/>
      <w:marRight w:val="0"/>
      <w:marTop w:val="0"/>
      <w:marBottom w:val="0"/>
      <w:divBdr>
        <w:top w:val="none" w:sz="0" w:space="0" w:color="auto"/>
        <w:left w:val="none" w:sz="0" w:space="0" w:color="auto"/>
        <w:bottom w:val="none" w:sz="0" w:space="0" w:color="auto"/>
        <w:right w:val="none" w:sz="0" w:space="0" w:color="auto"/>
      </w:divBdr>
    </w:div>
    <w:div w:id="42408528">
      <w:bodyDiv w:val="1"/>
      <w:marLeft w:val="0"/>
      <w:marRight w:val="0"/>
      <w:marTop w:val="0"/>
      <w:marBottom w:val="0"/>
      <w:divBdr>
        <w:top w:val="none" w:sz="0" w:space="0" w:color="auto"/>
        <w:left w:val="none" w:sz="0" w:space="0" w:color="auto"/>
        <w:bottom w:val="none" w:sz="0" w:space="0" w:color="auto"/>
        <w:right w:val="none" w:sz="0" w:space="0" w:color="auto"/>
      </w:divBdr>
    </w:div>
    <w:div w:id="48266770">
      <w:bodyDiv w:val="1"/>
      <w:marLeft w:val="0"/>
      <w:marRight w:val="0"/>
      <w:marTop w:val="0"/>
      <w:marBottom w:val="0"/>
      <w:divBdr>
        <w:top w:val="none" w:sz="0" w:space="0" w:color="auto"/>
        <w:left w:val="none" w:sz="0" w:space="0" w:color="auto"/>
        <w:bottom w:val="none" w:sz="0" w:space="0" w:color="auto"/>
        <w:right w:val="none" w:sz="0" w:space="0" w:color="auto"/>
      </w:divBdr>
    </w:div>
    <w:div w:id="63111193">
      <w:bodyDiv w:val="1"/>
      <w:marLeft w:val="0"/>
      <w:marRight w:val="0"/>
      <w:marTop w:val="0"/>
      <w:marBottom w:val="0"/>
      <w:divBdr>
        <w:top w:val="none" w:sz="0" w:space="0" w:color="auto"/>
        <w:left w:val="none" w:sz="0" w:space="0" w:color="auto"/>
        <w:bottom w:val="none" w:sz="0" w:space="0" w:color="auto"/>
        <w:right w:val="none" w:sz="0" w:space="0" w:color="auto"/>
      </w:divBdr>
    </w:div>
    <w:div w:id="65878420">
      <w:bodyDiv w:val="1"/>
      <w:marLeft w:val="0"/>
      <w:marRight w:val="0"/>
      <w:marTop w:val="0"/>
      <w:marBottom w:val="0"/>
      <w:divBdr>
        <w:top w:val="none" w:sz="0" w:space="0" w:color="auto"/>
        <w:left w:val="none" w:sz="0" w:space="0" w:color="auto"/>
        <w:bottom w:val="none" w:sz="0" w:space="0" w:color="auto"/>
        <w:right w:val="none" w:sz="0" w:space="0" w:color="auto"/>
      </w:divBdr>
    </w:div>
    <w:div w:id="78409773">
      <w:bodyDiv w:val="1"/>
      <w:marLeft w:val="0"/>
      <w:marRight w:val="0"/>
      <w:marTop w:val="0"/>
      <w:marBottom w:val="0"/>
      <w:divBdr>
        <w:top w:val="none" w:sz="0" w:space="0" w:color="auto"/>
        <w:left w:val="none" w:sz="0" w:space="0" w:color="auto"/>
        <w:bottom w:val="none" w:sz="0" w:space="0" w:color="auto"/>
        <w:right w:val="none" w:sz="0" w:space="0" w:color="auto"/>
      </w:divBdr>
      <w:divsChild>
        <w:div w:id="713505646">
          <w:marLeft w:val="0"/>
          <w:marRight w:val="0"/>
          <w:marTop w:val="0"/>
          <w:marBottom w:val="0"/>
          <w:divBdr>
            <w:top w:val="none" w:sz="0" w:space="0" w:color="auto"/>
            <w:left w:val="none" w:sz="0" w:space="0" w:color="auto"/>
            <w:bottom w:val="none" w:sz="0" w:space="0" w:color="auto"/>
            <w:right w:val="none" w:sz="0" w:space="0" w:color="auto"/>
          </w:divBdr>
        </w:div>
      </w:divsChild>
    </w:div>
    <w:div w:id="101997648">
      <w:bodyDiv w:val="1"/>
      <w:marLeft w:val="0"/>
      <w:marRight w:val="0"/>
      <w:marTop w:val="0"/>
      <w:marBottom w:val="0"/>
      <w:divBdr>
        <w:top w:val="none" w:sz="0" w:space="0" w:color="auto"/>
        <w:left w:val="none" w:sz="0" w:space="0" w:color="auto"/>
        <w:bottom w:val="none" w:sz="0" w:space="0" w:color="auto"/>
        <w:right w:val="none" w:sz="0" w:space="0" w:color="auto"/>
      </w:divBdr>
    </w:div>
    <w:div w:id="106430751">
      <w:bodyDiv w:val="1"/>
      <w:marLeft w:val="0"/>
      <w:marRight w:val="0"/>
      <w:marTop w:val="0"/>
      <w:marBottom w:val="0"/>
      <w:divBdr>
        <w:top w:val="none" w:sz="0" w:space="0" w:color="auto"/>
        <w:left w:val="none" w:sz="0" w:space="0" w:color="auto"/>
        <w:bottom w:val="none" w:sz="0" w:space="0" w:color="auto"/>
        <w:right w:val="none" w:sz="0" w:space="0" w:color="auto"/>
      </w:divBdr>
    </w:div>
    <w:div w:id="119540914">
      <w:bodyDiv w:val="1"/>
      <w:marLeft w:val="0"/>
      <w:marRight w:val="0"/>
      <w:marTop w:val="0"/>
      <w:marBottom w:val="0"/>
      <w:divBdr>
        <w:top w:val="none" w:sz="0" w:space="0" w:color="auto"/>
        <w:left w:val="none" w:sz="0" w:space="0" w:color="auto"/>
        <w:bottom w:val="none" w:sz="0" w:space="0" w:color="auto"/>
        <w:right w:val="none" w:sz="0" w:space="0" w:color="auto"/>
      </w:divBdr>
    </w:div>
    <w:div w:id="129328743">
      <w:bodyDiv w:val="1"/>
      <w:marLeft w:val="0"/>
      <w:marRight w:val="0"/>
      <w:marTop w:val="0"/>
      <w:marBottom w:val="0"/>
      <w:divBdr>
        <w:top w:val="none" w:sz="0" w:space="0" w:color="auto"/>
        <w:left w:val="none" w:sz="0" w:space="0" w:color="auto"/>
        <w:bottom w:val="none" w:sz="0" w:space="0" w:color="auto"/>
        <w:right w:val="none" w:sz="0" w:space="0" w:color="auto"/>
      </w:divBdr>
    </w:div>
    <w:div w:id="171529217">
      <w:bodyDiv w:val="1"/>
      <w:marLeft w:val="0"/>
      <w:marRight w:val="0"/>
      <w:marTop w:val="0"/>
      <w:marBottom w:val="0"/>
      <w:divBdr>
        <w:top w:val="none" w:sz="0" w:space="0" w:color="auto"/>
        <w:left w:val="none" w:sz="0" w:space="0" w:color="auto"/>
        <w:bottom w:val="none" w:sz="0" w:space="0" w:color="auto"/>
        <w:right w:val="none" w:sz="0" w:space="0" w:color="auto"/>
      </w:divBdr>
      <w:divsChild>
        <w:div w:id="265042725">
          <w:marLeft w:val="0"/>
          <w:marRight w:val="0"/>
          <w:marTop w:val="0"/>
          <w:marBottom w:val="0"/>
          <w:divBdr>
            <w:top w:val="none" w:sz="0" w:space="0" w:color="auto"/>
            <w:left w:val="none" w:sz="0" w:space="0" w:color="auto"/>
            <w:bottom w:val="none" w:sz="0" w:space="0" w:color="auto"/>
            <w:right w:val="none" w:sz="0" w:space="0" w:color="auto"/>
          </w:divBdr>
        </w:div>
      </w:divsChild>
    </w:div>
    <w:div w:id="174461907">
      <w:bodyDiv w:val="1"/>
      <w:marLeft w:val="0"/>
      <w:marRight w:val="0"/>
      <w:marTop w:val="0"/>
      <w:marBottom w:val="0"/>
      <w:divBdr>
        <w:top w:val="none" w:sz="0" w:space="0" w:color="auto"/>
        <w:left w:val="none" w:sz="0" w:space="0" w:color="auto"/>
        <w:bottom w:val="none" w:sz="0" w:space="0" w:color="auto"/>
        <w:right w:val="none" w:sz="0" w:space="0" w:color="auto"/>
      </w:divBdr>
    </w:div>
    <w:div w:id="184514599">
      <w:bodyDiv w:val="1"/>
      <w:marLeft w:val="0"/>
      <w:marRight w:val="0"/>
      <w:marTop w:val="0"/>
      <w:marBottom w:val="0"/>
      <w:divBdr>
        <w:top w:val="none" w:sz="0" w:space="0" w:color="auto"/>
        <w:left w:val="none" w:sz="0" w:space="0" w:color="auto"/>
        <w:bottom w:val="none" w:sz="0" w:space="0" w:color="auto"/>
        <w:right w:val="none" w:sz="0" w:space="0" w:color="auto"/>
      </w:divBdr>
    </w:div>
    <w:div w:id="191916660">
      <w:bodyDiv w:val="1"/>
      <w:marLeft w:val="0"/>
      <w:marRight w:val="0"/>
      <w:marTop w:val="0"/>
      <w:marBottom w:val="0"/>
      <w:divBdr>
        <w:top w:val="none" w:sz="0" w:space="0" w:color="auto"/>
        <w:left w:val="none" w:sz="0" w:space="0" w:color="auto"/>
        <w:bottom w:val="none" w:sz="0" w:space="0" w:color="auto"/>
        <w:right w:val="none" w:sz="0" w:space="0" w:color="auto"/>
      </w:divBdr>
      <w:divsChild>
        <w:div w:id="317419078">
          <w:marLeft w:val="0"/>
          <w:marRight w:val="0"/>
          <w:marTop w:val="0"/>
          <w:marBottom w:val="0"/>
          <w:divBdr>
            <w:top w:val="none" w:sz="0" w:space="0" w:color="auto"/>
            <w:left w:val="none" w:sz="0" w:space="0" w:color="auto"/>
            <w:bottom w:val="none" w:sz="0" w:space="0" w:color="auto"/>
            <w:right w:val="none" w:sz="0" w:space="0" w:color="auto"/>
          </w:divBdr>
        </w:div>
      </w:divsChild>
    </w:div>
    <w:div w:id="198318756">
      <w:bodyDiv w:val="1"/>
      <w:marLeft w:val="0"/>
      <w:marRight w:val="0"/>
      <w:marTop w:val="0"/>
      <w:marBottom w:val="0"/>
      <w:divBdr>
        <w:top w:val="none" w:sz="0" w:space="0" w:color="auto"/>
        <w:left w:val="none" w:sz="0" w:space="0" w:color="auto"/>
        <w:bottom w:val="none" w:sz="0" w:space="0" w:color="auto"/>
        <w:right w:val="none" w:sz="0" w:space="0" w:color="auto"/>
      </w:divBdr>
      <w:divsChild>
        <w:div w:id="1364288115">
          <w:marLeft w:val="0"/>
          <w:marRight w:val="0"/>
          <w:marTop w:val="0"/>
          <w:marBottom w:val="0"/>
          <w:divBdr>
            <w:top w:val="none" w:sz="0" w:space="0" w:color="auto"/>
            <w:left w:val="none" w:sz="0" w:space="0" w:color="auto"/>
            <w:bottom w:val="none" w:sz="0" w:space="0" w:color="auto"/>
            <w:right w:val="none" w:sz="0" w:space="0" w:color="auto"/>
          </w:divBdr>
        </w:div>
      </w:divsChild>
    </w:div>
    <w:div w:id="205680848">
      <w:bodyDiv w:val="1"/>
      <w:marLeft w:val="0"/>
      <w:marRight w:val="0"/>
      <w:marTop w:val="0"/>
      <w:marBottom w:val="0"/>
      <w:divBdr>
        <w:top w:val="none" w:sz="0" w:space="0" w:color="auto"/>
        <w:left w:val="none" w:sz="0" w:space="0" w:color="auto"/>
        <w:bottom w:val="none" w:sz="0" w:space="0" w:color="auto"/>
        <w:right w:val="none" w:sz="0" w:space="0" w:color="auto"/>
      </w:divBdr>
    </w:div>
    <w:div w:id="208230441">
      <w:bodyDiv w:val="1"/>
      <w:marLeft w:val="0"/>
      <w:marRight w:val="0"/>
      <w:marTop w:val="0"/>
      <w:marBottom w:val="0"/>
      <w:divBdr>
        <w:top w:val="none" w:sz="0" w:space="0" w:color="auto"/>
        <w:left w:val="none" w:sz="0" w:space="0" w:color="auto"/>
        <w:bottom w:val="none" w:sz="0" w:space="0" w:color="auto"/>
        <w:right w:val="none" w:sz="0" w:space="0" w:color="auto"/>
      </w:divBdr>
      <w:divsChild>
        <w:div w:id="675501623">
          <w:marLeft w:val="0"/>
          <w:marRight w:val="0"/>
          <w:marTop w:val="0"/>
          <w:marBottom w:val="0"/>
          <w:divBdr>
            <w:top w:val="none" w:sz="0" w:space="0" w:color="auto"/>
            <w:left w:val="none" w:sz="0" w:space="0" w:color="auto"/>
            <w:bottom w:val="none" w:sz="0" w:space="0" w:color="auto"/>
            <w:right w:val="none" w:sz="0" w:space="0" w:color="auto"/>
          </w:divBdr>
        </w:div>
      </w:divsChild>
    </w:div>
    <w:div w:id="235478896">
      <w:bodyDiv w:val="1"/>
      <w:marLeft w:val="0"/>
      <w:marRight w:val="0"/>
      <w:marTop w:val="0"/>
      <w:marBottom w:val="0"/>
      <w:divBdr>
        <w:top w:val="none" w:sz="0" w:space="0" w:color="auto"/>
        <w:left w:val="none" w:sz="0" w:space="0" w:color="auto"/>
        <w:bottom w:val="none" w:sz="0" w:space="0" w:color="auto"/>
        <w:right w:val="none" w:sz="0" w:space="0" w:color="auto"/>
      </w:divBdr>
    </w:div>
    <w:div w:id="245699005">
      <w:bodyDiv w:val="1"/>
      <w:marLeft w:val="0"/>
      <w:marRight w:val="0"/>
      <w:marTop w:val="0"/>
      <w:marBottom w:val="0"/>
      <w:divBdr>
        <w:top w:val="none" w:sz="0" w:space="0" w:color="auto"/>
        <w:left w:val="none" w:sz="0" w:space="0" w:color="auto"/>
        <w:bottom w:val="none" w:sz="0" w:space="0" w:color="auto"/>
        <w:right w:val="none" w:sz="0" w:space="0" w:color="auto"/>
      </w:divBdr>
    </w:div>
    <w:div w:id="269509667">
      <w:bodyDiv w:val="1"/>
      <w:marLeft w:val="0"/>
      <w:marRight w:val="0"/>
      <w:marTop w:val="0"/>
      <w:marBottom w:val="0"/>
      <w:divBdr>
        <w:top w:val="none" w:sz="0" w:space="0" w:color="auto"/>
        <w:left w:val="none" w:sz="0" w:space="0" w:color="auto"/>
        <w:bottom w:val="none" w:sz="0" w:space="0" w:color="auto"/>
        <w:right w:val="none" w:sz="0" w:space="0" w:color="auto"/>
      </w:divBdr>
    </w:div>
    <w:div w:id="297222731">
      <w:bodyDiv w:val="1"/>
      <w:marLeft w:val="0"/>
      <w:marRight w:val="0"/>
      <w:marTop w:val="0"/>
      <w:marBottom w:val="0"/>
      <w:divBdr>
        <w:top w:val="none" w:sz="0" w:space="0" w:color="auto"/>
        <w:left w:val="none" w:sz="0" w:space="0" w:color="auto"/>
        <w:bottom w:val="none" w:sz="0" w:space="0" w:color="auto"/>
        <w:right w:val="none" w:sz="0" w:space="0" w:color="auto"/>
      </w:divBdr>
    </w:div>
    <w:div w:id="313532170">
      <w:bodyDiv w:val="1"/>
      <w:marLeft w:val="0"/>
      <w:marRight w:val="0"/>
      <w:marTop w:val="0"/>
      <w:marBottom w:val="0"/>
      <w:divBdr>
        <w:top w:val="none" w:sz="0" w:space="0" w:color="auto"/>
        <w:left w:val="none" w:sz="0" w:space="0" w:color="auto"/>
        <w:bottom w:val="none" w:sz="0" w:space="0" w:color="auto"/>
        <w:right w:val="none" w:sz="0" w:space="0" w:color="auto"/>
      </w:divBdr>
    </w:div>
    <w:div w:id="324208084">
      <w:bodyDiv w:val="1"/>
      <w:marLeft w:val="0"/>
      <w:marRight w:val="0"/>
      <w:marTop w:val="0"/>
      <w:marBottom w:val="0"/>
      <w:divBdr>
        <w:top w:val="none" w:sz="0" w:space="0" w:color="auto"/>
        <w:left w:val="none" w:sz="0" w:space="0" w:color="auto"/>
        <w:bottom w:val="none" w:sz="0" w:space="0" w:color="auto"/>
        <w:right w:val="none" w:sz="0" w:space="0" w:color="auto"/>
      </w:divBdr>
    </w:div>
    <w:div w:id="354113544">
      <w:bodyDiv w:val="1"/>
      <w:marLeft w:val="0"/>
      <w:marRight w:val="0"/>
      <w:marTop w:val="0"/>
      <w:marBottom w:val="0"/>
      <w:divBdr>
        <w:top w:val="none" w:sz="0" w:space="0" w:color="auto"/>
        <w:left w:val="none" w:sz="0" w:space="0" w:color="auto"/>
        <w:bottom w:val="none" w:sz="0" w:space="0" w:color="auto"/>
        <w:right w:val="none" w:sz="0" w:space="0" w:color="auto"/>
      </w:divBdr>
    </w:div>
    <w:div w:id="373236604">
      <w:bodyDiv w:val="1"/>
      <w:marLeft w:val="0"/>
      <w:marRight w:val="0"/>
      <w:marTop w:val="0"/>
      <w:marBottom w:val="0"/>
      <w:divBdr>
        <w:top w:val="none" w:sz="0" w:space="0" w:color="auto"/>
        <w:left w:val="none" w:sz="0" w:space="0" w:color="auto"/>
        <w:bottom w:val="none" w:sz="0" w:space="0" w:color="auto"/>
        <w:right w:val="none" w:sz="0" w:space="0" w:color="auto"/>
      </w:divBdr>
    </w:div>
    <w:div w:id="382798059">
      <w:bodyDiv w:val="1"/>
      <w:marLeft w:val="0"/>
      <w:marRight w:val="0"/>
      <w:marTop w:val="0"/>
      <w:marBottom w:val="0"/>
      <w:divBdr>
        <w:top w:val="none" w:sz="0" w:space="0" w:color="auto"/>
        <w:left w:val="none" w:sz="0" w:space="0" w:color="auto"/>
        <w:bottom w:val="none" w:sz="0" w:space="0" w:color="auto"/>
        <w:right w:val="none" w:sz="0" w:space="0" w:color="auto"/>
      </w:divBdr>
    </w:div>
    <w:div w:id="385489050">
      <w:bodyDiv w:val="1"/>
      <w:marLeft w:val="0"/>
      <w:marRight w:val="0"/>
      <w:marTop w:val="0"/>
      <w:marBottom w:val="0"/>
      <w:divBdr>
        <w:top w:val="none" w:sz="0" w:space="0" w:color="auto"/>
        <w:left w:val="none" w:sz="0" w:space="0" w:color="auto"/>
        <w:bottom w:val="none" w:sz="0" w:space="0" w:color="auto"/>
        <w:right w:val="none" w:sz="0" w:space="0" w:color="auto"/>
      </w:divBdr>
    </w:div>
    <w:div w:id="442188404">
      <w:bodyDiv w:val="1"/>
      <w:marLeft w:val="0"/>
      <w:marRight w:val="0"/>
      <w:marTop w:val="0"/>
      <w:marBottom w:val="0"/>
      <w:divBdr>
        <w:top w:val="none" w:sz="0" w:space="0" w:color="auto"/>
        <w:left w:val="none" w:sz="0" w:space="0" w:color="auto"/>
        <w:bottom w:val="none" w:sz="0" w:space="0" w:color="auto"/>
        <w:right w:val="none" w:sz="0" w:space="0" w:color="auto"/>
      </w:divBdr>
    </w:div>
    <w:div w:id="452334931">
      <w:bodyDiv w:val="1"/>
      <w:marLeft w:val="0"/>
      <w:marRight w:val="0"/>
      <w:marTop w:val="0"/>
      <w:marBottom w:val="0"/>
      <w:divBdr>
        <w:top w:val="none" w:sz="0" w:space="0" w:color="auto"/>
        <w:left w:val="none" w:sz="0" w:space="0" w:color="auto"/>
        <w:bottom w:val="none" w:sz="0" w:space="0" w:color="auto"/>
        <w:right w:val="none" w:sz="0" w:space="0" w:color="auto"/>
      </w:divBdr>
    </w:div>
    <w:div w:id="504052428">
      <w:bodyDiv w:val="1"/>
      <w:marLeft w:val="0"/>
      <w:marRight w:val="0"/>
      <w:marTop w:val="0"/>
      <w:marBottom w:val="0"/>
      <w:divBdr>
        <w:top w:val="none" w:sz="0" w:space="0" w:color="auto"/>
        <w:left w:val="none" w:sz="0" w:space="0" w:color="auto"/>
        <w:bottom w:val="none" w:sz="0" w:space="0" w:color="auto"/>
        <w:right w:val="none" w:sz="0" w:space="0" w:color="auto"/>
      </w:divBdr>
    </w:div>
    <w:div w:id="522867937">
      <w:bodyDiv w:val="1"/>
      <w:marLeft w:val="0"/>
      <w:marRight w:val="0"/>
      <w:marTop w:val="0"/>
      <w:marBottom w:val="0"/>
      <w:divBdr>
        <w:top w:val="none" w:sz="0" w:space="0" w:color="auto"/>
        <w:left w:val="none" w:sz="0" w:space="0" w:color="auto"/>
        <w:bottom w:val="none" w:sz="0" w:space="0" w:color="auto"/>
        <w:right w:val="none" w:sz="0" w:space="0" w:color="auto"/>
      </w:divBdr>
    </w:div>
    <w:div w:id="533351991">
      <w:bodyDiv w:val="1"/>
      <w:marLeft w:val="0"/>
      <w:marRight w:val="0"/>
      <w:marTop w:val="0"/>
      <w:marBottom w:val="0"/>
      <w:divBdr>
        <w:top w:val="none" w:sz="0" w:space="0" w:color="auto"/>
        <w:left w:val="none" w:sz="0" w:space="0" w:color="auto"/>
        <w:bottom w:val="none" w:sz="0" w:space="0" w:color="auto"/>
        <w:right w:val="none" w:sz="0" w:space="0" w:color="auto"/>
      </w:divBdr>
    </w:div>
    <w:div w:id="535656919">
      <w:bodyDiv w:val="1"/>
      <w:marLeft w:val="0"/>
      <w:marRight w:val="0"/>
      <w:marTop w:val="0"/>
      <w:marBottom w:val="0"/>
      <w:divBdr>
        <w:top w:val="none" w:sz="0" w:space="0" w:color="auto"/>
        <w:left w:val="none" w:sz="0" w:space="0" w:color="auto"/>
        <w:bottom w:val="none" w:sz="0" w:space="0" w:color="auto"/>
        <w:right w:val="none" w:sz="0" w:space="0" w:color="auto"/>
      </w:divBdr>
    </w:div>
    <w:div w:id="579945487">
      <w:bodyDiv w:val="1"/>
      <w:marLeft w:val="0"/>
      <w:marRight w:val="0"/>
      <w:marTop w:val="0"/>
      <w:marBottom w:val="0"/>
      <w:divBdr>
        <w:top w:val="none" w:sz="0" w:space="0" w:color="auto"/>
        <w:left w:val="none" w:sz="0" w:space="0" w:color="auto"/>
        <w:bottom w:val="none" w:sz="0" w:space="0" w:color="auto"/>
        <w:right w:val="none" w:sz="0" w:space="0" w:color="auto"/>
      </w:divBdr>
    </w:div>
    <w:div w:id="581767581">
      <w:bodyDiv w:val="1"/>
      <w:marLeft w:val="0"/>
      <w:marRight w:val="0"/>
      <w:marTop w:val="0"/>
      <w:marBottom w:val="0"/>
      <w:divBdr>
        <w:top w:val="none" w:sz="0" w:space="0" w:color="auto"/>
        <w:left w:val="none" w:sz="0" w:space="0" w:color="auto"/>
        <w:bottom w:val="none" w:sz="0" w:space="0" w:color="auto"/>
        <w:right w:val="none" w:sz="0" w:space="0" w:color="auto"/>
      </w:divBdr>
    </w:div>
    <w:div w:id="590622334">
      <w:bodyDiv w:val="1"/>
      <w:marLeft w:val="0"/>
      <w:marRight w:val="0"/>
      <w:marTop w:val="0"/>
      <w:marBottom w:val="0"/>
      <w:divBdr>
        <w:top w:val="none" w:sz="0" w:space="0" w:color="auto"/>
        <w:left w:val="none" w:sz="0" w:space="0" w:color="auto"/>
        <w:bottom w:val="none" w:sz="0" w:space="0" w:color="auto"/>
        <w:right w:val="none" w:sz="0" w:space="0" w:color="auto"/>
      </w:divBdr>
    </w:div>
    <w:div w:id="642613029">
      <w:bodyDiv w:val="1"/>
      <w:marLeft w:val="0"/>
      <w:marRight w:val="0"/>
      <w:marTop w:val="0"/>
      <w:marBottom w:val="0"/>
      <w:divBdr>
        <w:top w:val="none" w:sz="0" w:space="0" w:color="auto"/>
        <w:left w:val="none" w:sz="0" w:space="0" w:color="auto"/>
        <w:bottom w:val="none" w:sz="0" w:space="0" w:color="auto"/>
        <w:right w:val="none" w:sz="0" w:space="0" w:color="auto"/>
      </w:divBdr>
    </w:div>
    <w:div w:id="654408393">
      <w:bodyDiv w:val="1"/>
      <w:marLeft w:val="0"/>
      <w:marRight w:val="0"/>
      <w:marTop w:val="0"/>
      <w:marBottom w:val="0"/>
      <w:divBdr>
        <w:top w:val="none" w:sz="0" w:space="0" w:color="auto"/>
        <w:left w:val="none" w:sz="0" w:space="0" w:color="auto"/>
        <w:bottom w:val="none" w:sz="0" w:space="0" w:color="auto"/>
        <w:right w:val="none" w:sz="0" w:space="0" w:color="auto"/>
      </w:divBdr>
    </w:div>
    <w:div w:id="692223296">
      <w:bodyDiv w:val="1"/>
      <w:marLeft w:val="0"/>
      <w:marRight w:val="0"/>
      <w:marTop w:val="0"/>
      <w:marBottom w:val="0"/>
      <w:divBdr>
        <w:top w:val="none" w:sz="0" w:space="0" w:color="auto"/>
        <w:left w:val="none" w:sz="0" w:space="0" w:color="auto"/>
        <w:bottom w:val="none" w:sz="0" w:space="0" w:color="auto"/>
        <w:right w:val="none" w:sz="0" w:space="0" w:color="auto"/>
      </w:divBdr>
    </w:div>
    <w:div w:id="760031638">
      <w:bodyDiv w:val="1"/>
      <w:marLeft w:val="0"/>
      <w:marRight w:val="0"/>
      <w:marTop w:val="0"/>
      <w:marBottom w:val="0"/>
      <w:divBdr>
        <w:top w:val="none" w:sz="0" w:space="0" w:color="auto"/>
        <w:left w:val="none" w:sz="0" w:space="0" w:color="auto"/>
        <w:bottom w:val="none" w:sz="0" w:space="0" w:color="auto"/>
        <w:right w:val="none" w:sz="0" w:space="0" w:color="auto"/>
      </w:divBdr>
    </w:div>
    <w:div w:id="760957580">
      <w:bodyDiv w:val="1"/>
      <w:marLeft w:val="0"/>
      <w:marRight w:val="0"/>
      <w:marTop w:val="0"/>
      <w:marBottom w:val="0"/>
      <w:divBdr>
        <w:top w:val="none" w:sz="0" w:space="0" w:color="auto"/>
        <w:left w:val="none" w:sz="0" w:space="0" w:color="auto"/>
        <w:bottom w:val="none" w:sz="0" w:space="0" w:color="auto"/>
        <w:right w:val="none" w:sz="0" w:space="0" w:color="auto"/>
      </w:divBdr>
    </w:div>
    <w:div w:id="765492833">
      <w:bodyDiv w:val="1"/>
      <w:marLeft w:val="0"/>
      <w:marRight w:val="0"/>
      <w:marTop w:val="0"/>
      <w:marBottom w:val="0"/>
      <w:divBdr>
        <w:top w:val="none" w:sz="0" w:space="0" w:color="auto"/>
        <w:left w:val="none" w:sz="0" w:space="0" w:color="auto"/>
        <w:bottom w:val="none" w:sz="0" w:space="0" w:color="auto"/>
        <w:right w:val="none" w:sz="0" w:space="0" w:color="auto"/>
      </w:divBdr>
      <w:divsChild>
        <w:div w:id="1276326530">
          <w:marLeft w:val="0"/>
          <w:marRight w:val="0"/>
          <w:marTop w:val="0"/>
          <w:marBottom w:val="0"/>
          <w:divBdr>
            <w:top w:val="none" w:sz="0" w:space="0" w:color="auto"/>
            <w:left w:val="none" w:sz="0" w:space="0" w:color="auto"/>
            <w:bottom w:val="none" w:sz="0" w:space="0" w:color="auto"/>
            <w:right w:val="none" w:sz="0" w:space="0" w:color="auto"/>
          </w:divBdr>
        </w:div>
      </w:divsChild>
    </w:div>
    <w:div w:id="774904964">
      <w:bodyDiv w:val="1"/>
      <w:marLeft w:val="0"/>
      <w:marRight w:val="0"/>
      <w:marTop w:val="0"/>
      <w:marBottom w:val="0"/>
      <w:divBdr>
        <w:top w:val="none" w:sz="0" w:space="0" w:color="auto"/>
        <w:left w:val="none" w:sz="0" w:space="0" w:color="auto"/>
        <w:bottom w:val="none" w:sz="0" w:space="0" w:color="auto"/>
        <w:right w:val="none" w:sz="0" w:space="0" w:color="auto"/>
      </w:divBdr>
    </w:div>
    <w:div w:id="806515053">
      <w:bodyDiv w:val="1"/>
      <w:marLeft w:val="0"/>
      <w:marRight w:val="0"/>
      <w:marTop w:val="0"/>
      <w:marBottom w:val="0"/>
      <w:divBdr>
        <w:top w:val="none" w:sz="0" w:space="0" w:color="auto"/>
        <w:left w:val="none" w:sz="0" w:space="0" w:color="auto"/>
        <w:bottom w:val="none" w:sz="0" w:space="0" w:color="auto"/>
        <w:right w:val="none" w:sz="0" w:space="0" w:color="auto"/>
      </w:divBdr>
    </w:div>
    <w:div w:id="814297400">
      <w:bodyDiv w:val="1"/>
      <w:marLeft w:val="0"/>
      <w:marRight w:val="0"/>
      <w:marTop w:val="0"/>
      <w:marBottom w:val="0"/>
      <w:divBdr>
        <w:top w:val="none" w:sz="0" w:space="0" w:color="auto"/>
        <w:left w:val="none" w:sz="0" w:space="0" w:color="auto"/>
        <w:bottom w:val="none" w:sz="0" w:space="0" w:color="auto"/>
        <w:right w:val="none" w:sz="0" w:space="0" w:color="auto"/>
      </w:divBdr>
    </w:div>
    <w:div w:id="833688888">
      <w:bodyDiv w:val="1"/>
      <w:marLeft w:val="0"/>
      <w:marRight w:val="0"/>
      <w:marTop w:val="0"/>
      <w:marBottom w:val="0"/>
      <w:divBdr>
        <w:top w:val="none" w:sz="0" w:space="0" w:color="auto"/>
        <w:left w:val="none" w:sz="0" w:space="0" w:color="auto"/>
        <w:bottom w:val="none" w:sz="0" w:space="0" w:color="auto"/>
        <w:right w:val="none" w:sz="0" w:space="0" w:color="auto"/>
      </w:divBdr>
    </w:div>
    <w:div w:id="856193331">
      <w:bodyDiv w:val="1"/>
      <w:marLeft w:val="0"/>
      <w:marRight w:val="0"/>
      <w:marTop w:val="0"/>
      <w:marBottom w:val="0"/>
      <w:divBdr>
        <w:top w:val="none" w:sz="0" w:space="0" w:color="auto"/>
        <w:left w:val="none" w:sz="0" w:space="0" w:color="auto"/>
        <w:bottom w:val="none" w:sz="0" w:space="0" w:color="auto"/>
        <w:right w:val="none" w:sz="0" w:space="0" w:color="auto"/>
      </w:divBdr>
    </w:div>
    <w:div w:id="866137119">
      <w:bodyDiv w:val="1"/>
      <w:marLeft w:val="0"/>
      <w:marRight w:val="0"/>
      <w:marTop w:val="0"/>
      <w:marBottom w:val="0"/>
      <w:divBdr>
        <w:top w:val="none" w:sz="0" w:space="0" w:color="auto"/>
        <w:left w:val="none" w:sz="0" w:space="0" w:color="auto"/>
        <w:bottom w:val="none" w:sz="0" w:space="0" w:color="auto"/>
        <w:right w:val="none" w:sz="0" w:space="0" w:color="auto"/>
      </w:divBdr>
    </w:div>
    <w:div w:id="870999118">
      <w:bodyDiv w:val="1"/>
      <w:marLeft w:val="0"/>
      <w:marRight w:val="0"/>
      <w:marTop w:val="0"/>
      <w:marBottom w:val="0"/>
      <w:divBdr>
        <w:top w:val="none" w:sz="0" w:space="0" w:color="auto"/>
        <w:left w:val="none" w:sz="0" w:space="0" w:color="auto"/>
        <w:bottom w:val="none" w:sz="0" w:space="0" w:color="auto"/>
        <w:right w:val="none" w:sz="0" w:space="0" w:color="auto"/>
      </w:divBdr>
    </w:div>
    <w:div w:id="898904276">
      <w:bodyDiv w:val="1"/>
      <w:marLeft w:val="0"/>
      <w:marRight w:val="0"/>
      <w:marTop w:val="0"/>
      <w:marBottom w:val="0"/>
      <w:divBdr>
        <w:top w:val="none" w:sz="0" w:space="0" w:color="auto"/>
        <w:left w:val="none" w:sz="0" w:space="0" w:color="auto"/>
        <w:bottom w:val="none" w:sz="0" w:space="0" w:color="auto"/>
        <w:right w:val="none" w:sz="0" w:space="0" w:color="auto"/>
      </w:divBdr>
    </w:div>
    <w:div w:id="912161981">
      <w:bodyDiv w:val="1"/>
      <w:marLeft w:val="0"/>
      <w:marRight w:val="0"/>
      <w:marTop w:val="0"/>
      <w:marBottom w:val="0"/>
      <w:divBdr>
        <w:top w:val="none" w:sz="0" w:space="0" w:color="auto"/>
        <w:left w:val="none" w:sz="0" w:space="0" w:color="auto"/>
        <w:bottom w:val="none" w:sz="0" w:space="0" w:color="auto"/>
        <w:right w:val="none" w:sz="0" w:space="0" w:color="auto"/>
      </w:divBdr>
      <w:divsChild>
        <w:div w:id="1858890377">
          <w:marLeft w:val="0"/>
          <w:marRight w:val="0"/>
          <w:marTop w:val="0"/>
          <w:marBottom w:val="0"/>
          <w:divBdr>
            <w:top w:val="none" w:sz="0" w:space="0" w:color="auto"/>
            <w:left w:val="none" w:sz="0" w:space="0" w:color="auto"/>
            <w:bottom w:val="none" w:sz="0" w:space="0" w:color="auto"/>
            <w:right w:val="none" w:sz="0" w:space="0" w:color="auto"/>
          </w:divBdr>
        </w:div>
      </w:divsChild>
    </w:div>
    <w:div w:id="937566584">
      <w:bodyDiv w:val="1"/>
      <w:marLeft w:val="0"/>
      <w:marRight w:val="0"/>
      <w:marTop w:val="0"/>
      <w:marBottom w:val="0"/>
      <w:divBdr>
        <w:top w:val="none" w:sz="0" w:space="0" w:color="auto"/>
        <w:left w:val="none" w:sz="0" w:space="0" w:color="auto"/>
        <w:bottom w:val="none" w:sz="0" w:space="0" w:color="auto"/>
        <w:right w:val="none" w:sz="0" w:space="0" w:color="auto"/>
      </w:divBdr>
      <w:divsChild>
        <w:div w:id="2147156703">
          <w:marLeft w:val="0"/>
          <w:marRight w:val="0"/>
          <w:marTop w:val="0"/>
          <w:marBottom w:val="0"/>
          <w:divBdr>
            <w:top w:val="none" w:sz="0" w:space="0" w:color="auto"/>
            <w:left w:val="none" w:sz="0" w:space="0" w:color="auto"/>
            <w:bottom w:val="none" w:sz="0" w:space="0" w:color="auto"/>
            <w:right w:val="none" w:sz="0" w:space="0" w:color="auto"/>
          </w:divBdr>
        </w:div>
      </w:divsChild>
    </w:div>
    <w:div w:id="944195452">
      <w:bodyDiv w:val="1"/>
      <w:marLeft w:val="0"/>
      <w:marRight w:val="0"/>
      <w:marTop w:val="0"/>
      <w:marBottom w:val="0"/>
      <w:divBdr>
        <w:top w:val="none" w:sz="0" w:space="0" w:color="auto"/>
        <w:left w:val="none" w:sz="0" w:space="0" w:color="auto"/>
        <w:bottom w:val="none" w:sz="0" w:space="0" w:color="auto"/>
        <w:right w:val="none" w:sz="0" w:space="0" w:color="auto"/>
      </w:divBdr>
      <w:divsChild>
        <w:div w:id="840123221">
          <w:marLeft w:val="0"/>
          <w:marRight w:val="0"/>
          <w:marTop w:val="0"/>
          <w:marBottom w:val="0"/>
          <w:divBdr>
            <w:top w:val="none" w:sz="0" w:space="0" w:color="auto"/>
            <w:left w:val="none" w:sz="0" w:space="0" w:color="auto"/>
            <w:bottom w:val="none" w:sz="0" w:space="0" w:color="auto"/>
            <w:right w:val="none" w:sz="0" w:space="0" w:color="auto"/>
          </w:divBdr>
        </w:div>
      </w:divsChild>
    </w:div>
    <w:div w:id="966083281">
      <w:bodyDiv w:val="1"/>
      <w:marLeft w:val="0"/>
      <w:marRight w:val="0"/>
      <w:marTop w:val="0"/>
      <w:marBottom w:val="0"/>
      <w:divBdr>
        <w:top w:val="none" w:sz="0" w:space="0" w:color="auto"/>
        <w:left w:val="none" w:sz="0" w:space="0" w:color="auto"/>
        <w:bottom w:val="none" w:sz="0" w:space="0" w:color="auto"/>
        <w:right w:val="none" w:sz="0" w:space="0" w:color="auto"/>
      </w:divBdr>
    </w:div>
    <w:div w:id="969017422">
      <w:bodyDiv w:val="1"/>
      <w:marLeft w:val="0"/>
      <w:marRight w:val="0"/>
      <w:marTop w:val="0"/>
      <w:marBottom w:val="0"/>
      <w:divBdr>
        <w:top w:val="none" w:sz="0" w:space="0" w:color="auto"/>
        <w:left w:val="none" w:sz="0" w:space="0" w:color="auto"/>
        <w:bottom w:val="none" w:sz="0" w:space="0" w:color="auto"/>
        <w:right w:val="none" w:sz="0" w:space="0" w:color="auto"/>
      </w:divBdr>
      <w:divsChild>
        <w:div w:id="1696074737">
          <w:marLeft w:val="0"/>
          <w:marRight w:val="0"/>
          <w:marTop w:val="0"/>
          <w:marBottom w:val="0"/>
          <w:divBdr>
            <w:top w:val="none" w:sz="0" w:space="0" w:color="auto"/>
            <w:left w:val="none" w:sz="0" w:space="0" w:color="auto"/>
            <w:bottom w:val="none" w:sz="0" w:space="0" w:color="auto"/>
            <w:right w:val="none" w:sz="0" w:space="0" w:color="auto"/>
          </w:divBdr>
        </w:div>
      </w:divsChild>
    </w:div>
    <w:div w:id="975263038">
      <w:bodyDiv w:val="1"/>
      <w:marLeft w:val="0"/>
      <w:marRight w:val="0"/>
      <w:marTop w:val="0"/>
      <w:marBottom w:val="0"/>
      <w:divBdr>
        <w:top w:val="none" w:sz="0" w:space="0" w:color="auto"/>
        <w:left w:val="none" w:sz="0" w:space="0" w:color="auto"/>
        <w:bottom w:val="none" w:sz="0" w:space="0" w:color="auto"/>
        <w:right w:val="none" w:sz="0" w:space="0" w:color="auto"/>
      </w:divBdr>
      <w:divsChild>
        <w:div w:id="1542867027">
          <w:marLeft w:val="0"/>
          <w:marRight w:val="0"/>
          <w:marTop w:val="0"/>
          <w:marBottom w:val="0"/>
          <w:divBdr>
            <w:top w:val="none" w:sz="0" w:space="0" w:color="auto"/>
            <w:left w:val="none" w:sz="0" w:space="0" w:color="auto"/>
            <w:bottom w:val="none" w:sz="0" w:space="0" w:color="auto"/>
            <w:right w:val="none" w:sz="0" w:space="0" w:color="auto"/>
          </w:divBdr>
        </w:div>
      </w:divsChild>
    </w:div>
    <w:div w:id="976491328">
      <w:bodyDiv w:val="1"/>
      <w:marLeft w:val="0"/>
      <w:marRight w:val="0"/>
      <w:marTop w:val="0"/>
      <w:marBottom w:val="0"/>
      <w:divBdr>
        <w:top w:val="none" w:sz="0" w:space="0" w:color="auto"/>
        <w:left w:val="none" w:sz="0" w:space="0" w:color="auto"/>
        <w:bottom w:val="none" w:sz="0" w:space="0" w:color="auto"/>
        <w:right w:val="none" w:sz="0" w:space="0" w:color="auto"/>
      </w:divBdr>
    </w:div>
    <w:div w:id="1008407662">
      <w:bodyDiv w:val="1"/>
      <w:marLeft w:val="0"/>
      <w:marRight w:val="0"/>
      <w:marTop w:val="0"/>
      <w:marBottom w:val="0"/>
      <w:divBdr>
        <w:top w:val="none" w:sz="0" w:space="0" w:color="auto"/>
        <w:left w:val="none" w:sz="0" w:space="0" w:color="auto"/>
        <w:bottom w:val="none" w:sz="0" w:space="0" w:color="auto"/>
        <w:right w:val="none" w:sz="0" w:space="0" w:color="auto"/>
      </w:divBdr>
    </w:div>
    <w:div w:id="1008605386">
      <w:bodyDiv w:val="1"/>
      <w:marLeft w:val="0"/>
      <w:marRight w:val="0"/>
      <w:marTop w:val="0"/>
      <w:marBottom w:val="0"/>
      <w:divBdr>
        <w:top w:val="none" w:sz="0" w:space="0" w:color="auto"/>
        <w:left w:val="none" w:sz="0" w:space="0" w:color="auto"/>
        <w:bottom w:val="none" w:sz="0" w:space="0" w:color="auto"/>
        <w:right w:val="none" w:sz="0" w:space="0" w:color="auto"/>
      </w:divBdr>
    </w:div>
    <w:div w:id="1020550631">
      <w:bodyDiv w:val="1"/>
      <w:marLeft w:val="0"/>
      <w:marRight w:val="0"/>
      <w:marTop w:val="0"/>
      <w:marBottom w:val="0"/>
      <w:divBdr>
        <w:top w:val="none" w:sz="0" w:space="0" w:color="auto"/>
        <w:left w:val="none" w:sz="0" w:space="0" w:color="auto"/>
        <w:bottom w:val="none" w:sz="0" w:space="0" w:color="auto"/>
        <w:right w:val="none" w:sz="0" w:space="0" w:color="auto"/>
      </w:divBdr>
      <w:divsChild>
        <w:div w:id="1715618372">
          <w:marLeft w:val="0"/>
          <w:marRight w:val="0"/>
          <w:marTop w:val="0"/>
          <w:marBottom w:val="0"/>
          <w:divBdr>
            <w:top w:val="none" w:sz="0" w:space="0" w:color="auto"/>
            <w:left w:val="none" w:sz="0" w:space="0" w:color="auto"/>
            <w:bottom w:val="none" w:sz="0" w:space="0" w:color="auto"/>
            <w:right w:val="none" w:sz="0" w:space="0" w:color="auto"/>
          </w:divBdr>
        </w:div>
      </w:divsChild>
    </w:div>
    <w:div w:id="1091120278">
      <w:bodyDiv w:val="1"/>
      <w:marLeft w:val="0"/>
      <w:marRight w:val="0"/>
      <w:marTop w:val="0"/>
      <w:marBottom w:val="0"/>
      <w:divBdr>
        <w:top w:val="none" w:sz="0" w:space="0" w:color="auto"/>
        <w:left w:val="none" w:sz="0" w:space="0" w:color="auto"/>
        <w:bottom w:val="none" w:sz="0" w:space="0" w:color="auto"/>
        <w:right w:val="none" w:sz="0" w:space="0" w:color="auto"/>
      </w:divBdr>
    </w:div>
    <w:div w:id="1094975728">
      <w:bodyDiv w:val="1"/>
      <w:marLeft w:val="0"/>
      <w:marRight w:val="0"/>
      <w:marTop w:val="0"/>
      <w:marBottom w:val="0"/>
      <w:divBdr>
        <w:top w:val="none" w:sz="0" w:space="0" w:color="auto"/>
        <w:left w:val="none" w:sz="0" w:space="0" w:color="auto"/>
        <w:bottom w:val="none" w:sz="0" w:space="0" w:color="auto"/>
        <w:right w:val="none" w:sz="0" w:space="0" w:color="auto"/>
      </w:divBdr>
    </w:div>
    <w:div w:id="1097559745">
      <w:bodyDiv w:val="1"/>
      <w:marLeft w:val="0"/>
      <w:marRight w:val="0"/>
      <w:marTop w:val="0"/>
      <w:marBottom w:val="0"/>
      <w:divBdr>
        <w:top w:val="none" w:sz="0" w:space="0" w:color="auto"/>
        <w:left w:val="none" w:sz="0" w:space="0" w:color="auto"/>
        <w:bottom w:val="none" w:sz="0" w:space="0" w:color="auto"/>
        <w:right w:val="none" w:sz="0" w:space="0" w:color="auto"/>
      </w:divBdr>
    </w:div>
    <w:div w:id="1113671745">
      <w:bodyDiv w:val="1"/>
      <w:marLeft w:val="0"/>
      <w:marRight w:val="0"/>
      <w:marTop w:val="0"/>
      <w:marBottom w:val="0"/>
      <w:divBdr>
        <w:top w:val="none" w:sz="0" w:space="0" w:color="auto"/>
        <w:left w:val="none" w:sz="0" w:space="0" w:color="auto"/>
        <w:bottom w:val="none" w:sz="0" w:space="0" w:color="auto"/>
        <w:right w:val="none" w:sz="0" w:space="0" w:color="auto"/>
      </w:divBdr>
    </w:div>
    <w:div w:id="1136024843">
      <w:bodyDiv w:val="1"/>
      <w:marLeft w:val="0"/>
      <w:marRight w:val="0"/>
      <w:marTop w:val="0"/>
      <w:marBottom w:val="0"/>
      <w:divBdr>
        <w:top w:val="none" w:sz="0" w:space="0" w:color="auto"/>
        <w:left w:val="none" w:sz="0" w:space="0" w:color="auto"/>
        <w:bottom w:val="none" w:sz="0" w:space="0" w:color="auto"/>
        <w:right w:val="none" w:sz="0" w:space="0" w:color="auto"/>
      </w:divBdr>
    </w:div>
    <w:div w:id="1147867099">
      <w:bodyDiv w:val="1"/>
      <w:marLeft w:val="0"/>
      <w:marRight w:val="0"/>
      <w:marTop w:val="0"/>
      <w:marBottom w:val="0"/>
      <w:divBdr>
        <w:top w:val="none" w:sz="0" w:space="0" w:color="auto"/>
        <w:left w:val="none" w:sz="0" w:space="0" w:color="auto"/>
        <w:bottom w:val="none" w:sz="0" w:space="0" w:color="auto"/>
        <w:right w:val="none" w:sz="0" w:space="0" w:color="auto"/>
      </w:divBdr>
    </w:div>
    <w:div w:id="1174301469">
      <w:bodyDiv w:val="1"/>
      <w:marLeft w:val="0"/>
      <w:marRight w:val="0"/>
      <w:marTop w:val="0"/>
      <w:marBottom w:val="0"/>
      <w:divBdr>
        <w:top w:val="none" w:sz="0" w:space="0" w:color="auto"/>
        <w:left w:val="none" w:sz="0" w:space="0" w:color="auto"/>
        <w:bottom w:val="none" w:sz="0" w:space="0" w:color="auto"/>
        <w:right w:val="none" w:sz="0" w:space="0" w:color="auto"/>
      </w:divBdr>
    </w:div>
    <w:div w:id="1180705262">
      <w:bodyDiv w:val="1"/>
      <w:marLeft w:val="0"/>
      <w:marRight w:val="0"/>
      <w:marTop w:val="0"/>
      <w:marBottom w:val="0"/>
      <w:divBdr>
        <w:top w:val="none" w:sz="0" w:space="0" w:color="auto"/>
        <w:left w:val="none" w:sz="0" w:space="0" w:color="auto"/>
        <w:bottom w:val="none" w:sz="0" w:space="0" w:color="auto"/>
        <w:right w:val="none" w:sz="0" w:space="0" w:color="auto"/>
      </w:divBdr>
      <w:divsChild>
        <w:div w:id="447428987">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
    <w:div w:id="1200121757">
      <w:bodyDiv w:val="1"/>
      <w:marLeft w:val="0"/>
      <w:marRight w:val="0"/>
      <w:marTop w:val="0"/>
      <w:marBottom w:val="0"/>
      <w:divBdr>
        <w:top w:val="none" w:sz="0" w:space="0" w:color="auto"/>
        <w:left w:val="none" w:sz="0" w:space="0" w:color="auto"/>
        <w:bottom w:val="none" w:sz="0" w:space="0" w:color="auto"/>
        <w:right w:val="none" w:sz="0" w:space="0" w:color="auto"/>
      </w:divBdr>
    </w:div>
    <w:div w:id="1204518202">
      <w:bodyDiv w:val="1"/>
      <w:marLeft w:val="0"/>
      <w:marRight w:val="0"/>
      <w:marTop w:val="0"/>
      <w:marBottom w:val="0"/>
      <w:divBdr>
        <w:top w:val="none" w:sz="0" w:space="0" w:color="auto"/>
        <w:left w:val="none" w:sz="0" w:space="0" w:color="auto"/>
        <w:bottom w:val="none" w:sz="0" w:space="0" w:color="auto"/>
        <w:right w:val="none" w:sz="0" w:space="0" w:color="auto"/>
      </w:divBdr>
    </w:div>
    <w:div w:id="1207644285">
      <w:bodyDiv w:val="1"/>
      <w:marLeft w:val="0"/>
      <w:marRight w:val="0"/>
      <w:marTop w:val="0"/>
      <w:marBottom w:val="0"/>
      <w:divBdr>
        <w:top w:val="none" w:sz="0" w:space="0" w:color="auto"/>
        <w:left w:val="none" w:sz="0" w:space="0" w:color="auto"/>
        <w:bottom w:val="none" w:sz="0" w:space="0" w:color="auto"/>
        <w:right w:val="none" w:sz="0" w:space="0" w:color="auto"/>
      </w:divBdr>
    </w:div>
    <w:div w:id="1232345825">
      <w:bodyDiv w:val="1"/>
      <w:marLeft w:val="0"/>
      <w:marRight w:val="0"/>
      <w:marTop w:val="0"/>
      <w:marBottom w:val="0"/>
      <w:divBdr>
        <w:top w:val="none" w:sz="0" w:space="0" w:color="auto"/>
        <w:left w:val="none" w:sz="0" w:space="0" w:color="auto"/>
        <w:bottom w:val="none" w:sz="0" w:space="0" w:color="auto"/>
        <w:right w:val="none" w:sz="0" w:space="0" w:color="auto"/>
      </w:divBdr>
      <w:divsChild>
        <w:div w:id="2135560742">
          <w:marLeft w:val="0"/>
          <w:marRight w:val="0"/>
          <w:marTop w:val="0"/>
          <w:marBottom w:val="0"/>
          <w:divBdr>
            <w:top w:val="none" w:sz="0" w:space="0" w:color="auto"/>
            <w:left w:val="none" w:sz="0" w:space="0" w:color="auto"/>
            <w:bottom w:val="none" w:sz="0" w:space="0" w:color="auto"/>
            <w:right w:val="none" w:sz="0" w:space="0" w:color="auto"/>
          </w:divBdr>
        </w:div>
      </w:divsChild>
    </w:div>
    <w:div w:id="1236892320">
      <w:bodyDiv w:val="1"/>
      <w:marLeft w:val="0"/>
      <w:marRight w:val="0"/>
      <w:marTop w:val="0"/>
      <w:marBottom w:val="0"/>
      <w:divBdr>
        <w:top w:val="none" w:sz="0" w:space="0" w:color="auto"/>
        <w:left w:val="none" w:sz="0" w:space="0" w:color="auto"/>
        <w:bottom w:val="none" w:sz="0" w:space="0" w:color="auto"/>
        <w:right w:val="none" w:sz="0" w:space="0" w:color="auto"/>
      </w:divBdr>
    </w:div>
    <w:div w:id="1258053070">
      <w:bodyDiv w:val="1"/>
      <w:marLeft w:val="0"/>
      <w:marRight w:val="0"/>
      <w:marTop w:val="0"/>
      <w:marBottom w:val="0"/>
      <w:divBdr>
        <w:top w:val="none" w:sz="0" w:space="0" w:color="auto"/>
        <w:left w:val="none" w:sz="0" w:space="0" w:color="auto"/>
        <w:bottom w:val="none" w:sz="0" w:space="0" w:color="auto"/>
        <w:right w:val="none" w:sz="0" w:space="0" w:color="auto"/>
      </w:divBdr>
    </w:div>
    <w:div w:id="1275362080">
      <w:bodyDiv w:val="1"/>
      <w:marLeft w:val="0"/>
      <w:marRight w:val="0"/>
      <w:marTop w:val="0"/>
      <w:marBottom w:val="0"/>
      <w:divBdr>
        <w:top w:val="none" w:sz="0" w:space="0" w:color="auto"/>
        <w:left w:val="none" w:sz="0" w:space="0" w:color="auto"/>
        <w:bottom w:val="none" w:sz="0" w:space="0" w:color="auto"/>
        <w:right w:val="none" w:sz="0" w:space="0" w:color="auto"/>
      </w:divBdr>
      <w:divsChild>
        <w:div w:id="110899118">
          <w:marLeft w:val="0"/>
          <w:marRight w:val="0"/>
          <w:marTop w:val="0"/>
          <w:marBottom w:val="0"/>
          <w:divBdr>
            <w:top w:val="none" w:sz="0" w:space="0" w:color="auto"/>
            <w:left w:val="none" w:sz="0" w:space="0" w:color="auto"/>
            <w:bottom w:val="none" w:sz="0" w:space="0" w:color="auto"/>
            <w:right w:val="none" w:sz="0" w:space="0" w:color="auto"/>
          </w:divBdr>
        </w:div>
      </w:divsChild>
    </w:div>
    <w:div w:id="1286736929">
      <w:bodyDiv w:val="1"/>
      <w:marLeft w:val="0"/>
      <w:marRight w:val="0"/>
      <w:marTop w:val="0"/>
      <w:marBottom w:val="0"/>
      <w:divBdr>
        <w:top w:val="none" w:sz="0" w:space="0" w:color="auto"/>
        <w:left w:val="none" w:sz="0" w:space="0" w:color="auto"/>
        <w:bottom w:val="none" w:sz="0" w:space="0" w:color="auto"/>
        <w:right w:val="none" w:sz="0" w:space="0" w:color="auto"/>
      </w:divBdr>
    </w:div>
    <w:div w:id="1299604019">
      <w:bodyDiv w:val="1"/>
      <w:marLeft w:val="0"/>
      <w:marRight w:val="0"/>
      <w:marTop w:val="0"/>
      <w:marBottom w:val="0"/>
      <w:divBdr>
        <w:top w:val="none" w:sz="0" w:space="0" w:color="auto"/>
        <w:left w:val="none" w:sz="0" w:space="0" w:color="auto"/>
        <w:bottom w:val="none" w:sz="0" w:space="0" w:color="auto"/>
        <w:right w:val="none" w:sz="0" w:space="0" w:color="auto"/>
      </w:divBdr>
    </w:div>
    <w:div w:id="1321157231">
      <w:bodyDiv w:val="1"/>
      <w:marLeft w:val="0"/>
      <w:marRight w:val="0"/>
      <w:marTop w:val="0"/>
      <w:marBottom w:val="0"/>
      <w:divBdr>
        <w:top w:val="none" w:sz="0" w:space="0" w:color="auto"/>
        <w:left w:val="none" w:sz="0" w:space="0" w:color="auto"/>
        <w:bottom w:val="none" w:sz="0" w:space="0" w:color="auto"/>
        <w:right w:val="none" w:sz="0" w:space="0" w:color="auto"/>
      </w:divBdr>
    </w:div>
    <w:div w:id="1331368419">
      <w:bodyDiv w:val="1"/>
      <w:marLeft w:val="0"/>
      <w:marRight w:val="0"/>
      <w:marTop w:val="0"/>
      <w:marBottom w:val="0"/>
      <w:divBdr>
        <w:top w:val="none" w:sz="0" w:space="0" w:color="auto"/>
        <w:left w:val="none" w:sz="0" w:space="0" w:color="auto"/>
        <w:bottom w:val="none" w:sz="0" w:space="0" w:color="auto"/>
        <w:right w:val="none" w:sz="0" w:space="0" w:color="auto"/>
      </w:divBdr>
    </w:div>
    <w:div w:id="1335255407">
      <w:bodyDiv w:val="1"/>
      <w:marLeft w:val="0"/>
      <w:marRight w:val="0"/>
      <w:marTop w:val="0"/>
      <w:marBottom w:val="0"/>
      <w:divBdr>
        <w:top w:val="none" w:sz="0" w:space="0" w:color="auto"/>
        <w:left w:val="none" w:sz="0" w:space="0" w:color="auto"/>
        <w:bottom w:val="none" w:sz="0" w:space="0" w:color="auto"/>
        <w:right w:val="none" w:sz="0" w:space="0" w:color="auto"/>
      </w:divBdr>
    </w:div>
    <w:div w:id="1335373520">
      <w:bodyDiv w:val="1"/>
      <w:marLeft w:val="0"/>
      <w:marRight w:val="0"/>
      <w:marTop w:val="0"/>
      <w:marBottom w:val="0"/>
      <w:divBdr>
        <w:top w:val="none" w:sz="0" w:space="0" w:color="auto"/>
        <w:left w:val="none" w:sz="0" w:space="0" w:color="auto"/>
        <w:bottom w:val="none" w:sz="0" w:space="0" w:color="auto"/>
        <w:right w:val="none" w:sz="0" w:space="0" w:color="auto"/>
      </w:divBdr>
      <w:divsChild>
        <w:div w:id="592511498">
          <w:marLeft w:val="0"/>
          <w:marRight w:val="0"/>
          <w:marTop w:val="0"/>
          <w:marBottom w:val="0"/>
          <w:divBdr>
            <w:top w:val="none" w:sz="0" w:space="0" w:color="auto"/>
            <w:left w:val="none" w:sz="0" w:space="0" w:color="auto"/>
            <w:bottom w:val="none" w:sz="0" w:space="0" w:color="auto"/>
            <w:right w:val="none" w:sz="0" w:space="0" w:color="auto"/>
          </w:divBdr>
        </w:div>
      </w:divsChild>
    </w:div>
    <w:div w:id="1354989110">
      <w:bodyDiv w:val="1"/>
      <w:marLeft w:val="0"/>
      <w:marRight w:val="0"/>
      <w:marTop w:val="0"/>
      <w:marBottom w:val="0"/>
      <w:divBdr>
        <w:top w:val="none" w:sz="0" w:space="0" w:color="auto"/>
        <w:left w:val="none" w:sz="0" w:space="0" w:color="auto"/>
        <w:bottom w:val="none" w:sz="0" w:space="0" w:color="auto"/>
        <w:right w:val="none" w:sz="0" w:space="0" w:color="auto"/>
      </w:divBdr>
    </w:div>
    <w:div w:id="1357148356">
      <w:bodyDiv w:val="1"/>
      <w:marLeft w:val="0"/>
      <w:marRight w:val="0"/>
      <w:marTop w:val="0"/>
      <w:marBottom w:val="0"/>
      <w:divBdr>
        <w:top w:val="none" w:sz="0" w:space="0" w:color="auto"/>
        <w:left w:val="none" w:sz="0" w:space="0" w:color="auto"/>
        <w:bottom w:val="none" w:sz="0" w:space="0" w:color="auto"/>
        <w:right w:val="none" w:sz="0" w:space="0" w:color="auto"/>
      </w:divBdr>
    </w:div>
    <w:div w:id="1358504818">
      <w:bodyDiv w:val="1"/>
      <w:marLeft w:val="0"/>
      <w:marRight w:val="0"/>
      <w:marTop w:val="0"/>
      <w:marBottom w:val="0"/>
      <w:divBdr>
        <w:top w:val="none" w:sz="0" w:space="0" w:color="auto"/>
        <w:left w:val="none" w:sz="0" w:space="0" w:color="auto"/>
        <w:bottom w:val="none" w:sz="0" w:space="0" w:color="auto"/>
        <w:right w:val="none" w:sz="0" w:space="0" w:color="auto"/>
      </w:divBdr>
    </w:div>
    <w:div w:id="1370108229">
      <w:bodyDiv w:val="1"/>
      <w:marLeft w:val="0"/>
      <w:marRight w:val="0"/>
      <w:marTop w:val="0"/>
      <w:marBottom w:val="0"/>
      <w:divBdr>
        <w:top w:val="none" w:sz="0" w:space="0" w:color="auto"/>
        <w:left w:val="none" w:sz="0" w:space="0" w:color="auto"/>
        <w:bottom w:val="none" w:sz="0" w:space="0" w:color="auto"/>
        <w:right w:val="none" w:sz="0" w:space="0" w:color="auto"/>
      </w:divBdr>
    </w:div>
    <w:div w:id="1384720448">
      <w:bodyDiv w:val="1"/>
      <w:marLeft w:val="0"/>
      <w:marRight w:val="0"/>
      <w:marTop w:val="0"/>
      <w:marBottom w:val="0"/>
      <w:divBdr>
        <w:top w:val="none" w:sz="0" w:space="0" w:color="auto"/>
        <w:left w:val="none" w:sz="0" w:space="0" w:color="auto"/>
        <w:bottom w:val="none" w:sz="0" w:space="0" w:color="auto"/>
        <w:right w:val="none" w:sz="0" w:space="0" w:color="auto"/>
      </w:divBdr>
    </w:div>
    <w:div w:id="1412970821">
      <w:bodyDiv w:val="1"/>
      <w:marLeft w:val="0"/>
      <w:marRight w:val="0"/>
      <w:marTop w:val="0"/>
      <w:marBottom w:val="0"/>
      <w:divBdr>
        <w:top w:val="none" w:sz="0" w:space="0" w:color="auto"/>
        <w:left w:val="none" w:sz="0" w:space="0" w:color="auto"/>
        <w:bottom w:val="none" w:sz="0" w:space="0" w:color="auto"/>
        <w:right w:val="none" w:sz="0" w:space="0" w:color="auto"/>
      </w:divBdr>
    </w:div>
    <w:div w:id="1425150473">
      <w:bodyDiv w:val="1"/>
      <w:marLeft w:val="0"/>
      <w:marRight w:val="0"/>
      <w:marTop w:val="0"/>
      <w:marBottom w:val="0"/>
      <w:divBdr>
        <w:top w:val="none" w:sz="0" w:space="0" w:color="auto"/>
        <w:left w:val="none" w:sz="0" w:space="0" w:color="auto"/>
        <w:bottom w:val="none" w:sz="0" w:space="0" w:color="auto"/>
        <w:right w:val="none" w:sz="0" w:space="0" w:color="auto"/>
      </w:divBdr>
    </w:div>
    <w:div w:id="1434011878">
      <w:bodyDiv w:val="1"/>
      <w:marLeft w:val="0"/>
      <w:marRight w:val="0"/>
      <w:marTop w:val="0"/>
      <w:marBottom w:val="0"/>
      <w:divBdr>
        <w:top w:val="none" w:sz="0" w:space="0" w:color="auto"/>
        <w:left w:val="none" w:sz="0" w:space="0" w:color="auto"/>
        <w:bottom w:val="none" w:sz="0" w:space="0" w:color="auto"/>
        <w:right w:val="none" w:sz="0" w:space="0" w:color="auto"/>
      </w:divBdr>
    </w:div>
    <w:div w:id="1437872972">
      <w:bodyDiv w:val="1"/>
      <w:marLeft w:val="0"/>
      <w:marRight w:val="0"/>
      <w:marTop w:val="0"/>
      <w:marBottom w:val="0"/>
      <w:divBdr>
        <w:top w:val="none" w:sz="0" w:space="0" w:color="auto"/>
        <w:left w:val="none" w:sz="0" w:space="0" w:color="auto"/>
        <w:bottom w:val="none" w:sz="0" w:space="0" w:color="auto"/>
        <w:right w:val="none" w:sz="0" w:space="0" w:color="auto"/>
      </w:divBdr>
    </w:div>
    <w:div w:id="1479687823">
      <w:bodyDiv w:val="1"/>
      <w:marLeft w:val="0"/>
      <w:marRight w:val="0"/>
      <w:marTop w:val="0"/>
      <w:marBottom w:val="0"/>
      <w:divBdr>
        <w:top w:val="none" w:sz="0" w:space="0" w:color="auto"/>
        <w:left w:val="none" w:sz="0" w:space="0" w:color="auto"/>
        <w:bottom w:val="none" w:sz="0" w:space="0" w:color="auto"/>
        <w:right w:val="none" w:sz="0" w:space="0" w:color="auto"/>
      </w:divBdr>
    </w:div>
    <w:div w:id="1487627446">
      <w:bodyDiv w:val="1"/>
      <w:marLeft w:val="0"/>
      <w:marRight w:val="0"/>
      <w:marTop w:val="0"/>
      <w:marBottom w:val="0"/>
      <w:divBdr>
        <w:top w:val="none" w:sz="0" w:space="0" w:color="auto"/>
        <w:left w:val="none" w:sz="0" w:space="0" w:color="auto"/>
        <w:bottom w:val="none" w:sz="0" w:space="0" w:color="auto"/>
        <w:right w:val="none" w:sz="0" w:space="0" w:color="auto"/>
      </w:divBdr>
    </w:div>
    <w:div w:id="1500852098">
      <w:bodyDiv w:val="1"/>
      <w:marLeft w:val="0"/>
      <w:marRight w:val="0"/>
      <w:marTop w:val="0"/>
      <w:marBottom w:val="0"/>
      <w:divBdr>
        <w:top w:val="none" w:sz="0" w:space="0" w:color="auto"/>
        <w:left w:val="none" w:sz="0" w:space="0" w:color="auto"/>
        <w:bottom w:val="none" w:sz="0" w:space="0" w:color="auto"/>
        <w:right w:val="none" w:sz="0" w:space="0" w:color="auto"/>
      </w:divBdr>
    </w:div>
    <w:div w:id="1520004201">
      <w:bodyDiv w:val="1"/>
      <w:marLeft w:val="0"/>
      <w:marRight w:val="0"/>
      <w:marTop w:val="0"/>
      <w:marBottom w:val="0"/>
      <w:divBdr>
        <w:top w:val="none" w:sz="0" w:space="0" w:color="auto"/>
        <w:left w:val="none" w:sz="0" w:space="0" w:color="auto"/>
        <w:bottom w:val="none" w:sz="0" w:space="0" w:color="auto"/>
        <w:right w:val="none" w:sz="0" w:space="0" w:color="auto"/>
      </w:divBdr>
    </w:div>
    <w:div w:id="1528906057">
      <w:bodyDiv w:val="1"/>
      <w:marLeft w:val="0"/>
      <w:marRight w:val="0"/>
      <w:marTop w:val="0"/>
      <w:marBottom w:val="0"/>
      <w:divBdr>
        <w:top w:val="none" w:sz="0" w:space="0" w:color="auto"/>
        <w:left w:val="none" w:sz="0" w:space="0" w:color="auto"/>
        <w:bottom w:val="none" w:sz="0" w:space="0" w:color="auto"/>
        <w:right w:val="none" w:sz="0" w:space="0" w:color="auto"/>
      </w:divBdr>
    </w:div>
    <w:div w:id="1588222744">
      <w:bodyDiv w:val="1"/>
      <w:marLeft w:val="0"/>
      <w:marRight w:val="0"/>
      <w:marTop w:val="0"/>
      <w:marBottom w:val="0"/>
      <w:divBdr>
        <w:top w:val="none" w:sz="0" w:space="0" w:color="auto"/>
        <w:left w:val="none" w:sz="0" w:space="0" w:color="auto"/>
        <w:bottom w:val="none" w:sz="0" w:space="0" w:color="auto"/>
        <w:right w:val="none" w:sz="0" w:space="0" w:color="auto"/>
      </w:divBdr>
      <w:divsChild>
        <w:div w:id="1135370076">
          <w:marLeft w:val="0"/>
          <w:marRight w:val="0"/>
          <w:marTop w:val="0"/>
          <w:marBottom w:val="0"/>
          <w:divBdr>
            <w:top w:val="none" w:sz="0" w:space="0" w:color="auto"/>
            <w:left w:val="none" w:sz="0" w:space="0" w:color="auto"/>
            <w:bottom w:val="none" w:sz="0" w:space="0" w:color="auto"/>
            <w:right w:val="none" w:sz="0" w:space="0" w:color="auto"/>
          </w:divBdr>
        </w:div>
      </w:divsChild>
    </w:div>
    <w:div w:id="1604191975">
      <w:bodyDiv w:val="1"/>
      <w:marLeft w:val="0"/>
      <w:marRight w:val="0"/>
      <w:marTop w:val="0"/>
      <w:marBottom w:val="0"/>
      <w:divBdr>
        <w:top w:val="none" w:sz="0" w:space="0" w:color="auto"/>
        <w:left w:val="none" w:sz="0" w:space="0" w:color="auto"/>
        <w:bottom w:val="none" w:sz="0" w:space="0" w:color="auto"/>
        <w:right w:val="none" w:sz="0" w:space="0" w:color="auto"/>
      </w:divBdr>
    </w:div>
    <w:div w:id="1632516247">
      <w:bodyDiv w:val="1"/>
      <w:marLeft w:val="0"/>
      <w:marRight w:val="0"/>
      <w:marTop w:val="0"/>
      <w:marBottom w:val="0"/>
      <w:divBdr>
        <w:top w:val="none" w:sz="0" w:space="0" w:color="auto"/>
        <w:left w:val="none" w:sz="0" w:space="0" w:color="auto"/>
        <w:bottom w:val="none" w:sz="0" w:space="0" w:color="auto"/>
        <w:right w:val="none" w:sz="0" w:space="0" w:color="auto"/>
      </w:divBdr>
    </w:div>
    <w:div w:id="1646086977">
      <w:bodyDiv w:val="1"/>
      <w:marLeft w:val="0"/>
      <w:marRight w:val="0"/>
      <w:marTop w:val="0"/>
      <w:marBottom w:val="0"/>
      <w:divBdr>
        <w:top w:val="none" w:sz="0" w:space="0" w:color="auto"/>
        <w:left w:val="none" w:sz="0" w:space="0" w:color="auto"/>
        <w:bottom w:val="none" w:sz="0" w:space="0" w:color="auto"/>
        <w:right w:val="none" w:sz="0" w:space="0" w:color="auto"/>
      </w:divBdr>
    </w:div>
    <w:div w:id="1664818236">
      <w:bodyDiv w:val="1"/>
      <w:marLeft w:val="0"/>
      <w:marRight w:val="0"/>
      <w:marTop w:val="0"/>
      <w:marBottom w:val="0"/>
      <w:divBdr>
        <w:top w:val="none" w:sz="0" w:space="0" w:color="auto"/>
        <w:left w:val="none" w:sz="0" w:space="0" w:color="auto"/>
        <w:bottom w:val="none" w:sz="0" w:space="0" w:color="auto"/>
        <w:right w:val="none" w:sz="0" w:space="0" w:color="auto"/>
      </w:divBdr>
    </w:div>
    <w:div w:id="1671368515">
      <w:bodyDiv w:val="1"/>
      <w:marLeft w:val="0"/>
      <w:marRight w:val="0"/>
      <w:marTop w:val="0"/>
      <w:marBottom w:val="0"/>
      <w:divBdr>
        <w:top w:val="none" w:sz="0" w:space="0" w:color="auto"/>
        <w:left w:val="none" w:sz="0" w:space="0" w:color="auto"/>
        <w:bottom w:val="none" w:sz="0" w:space="0" w:color="auto"/>
        <w:right w:val="none" w:sz="0" w:space="0" w:color="auto"/>
      </w:divBdr>
      <w:divsChild>
        <w:div w:id="100734436">
          <w:marLeft w:val="0"/>
          <w:marRight w:val="0"/>
          <w:marTop w:val="0"/>
          <w:marBottom w:val="0"/>
          <w:divBdr>
            <w:top w:val="none" w:sz="0" w:space="0" w:color="auto"/>
            <w:left w:val="none" w:sz="0" w:space="0" w:color="auto"/>
            <w:bottom w:val="none" w:sz="0" w:space="0" w:color="auto"/>
            <w:right w:val="none" w:sz="0" w:space="0" w:color="auto"/>
          </w:divBdr>
        </w:div>
      </w:divsChild>
    </w:div>
    <w:div w:id="1679769490">
      <w:bodyDiv w:val="1"/>
      <w:marLeft w:val="0"/>
      <w:marRight w:val="0"/>
      <w:marTop w:val="0"/>
      <w:marBottom w:val="0"/>
      <w:divBdr>
        <w:top w:val="none" w:sz="0" w:space="0" w:color="auto"/>
        <w:left w:val="none" w:sz="0" w:space="0" w:color="auto"/>
        <w:bottom w:val="none" w:sz="0" w:space="0" w:color="auto"/>
        <w:right w:val="none" w:sz="0" w:space="0" w:color="auto"/>
      </w:divBdr>
    </w:div>
    <w:div w:id="1729068925">
      <w:bodyDiv w:val="1"/>
      <w:marLeft w:val="0"/>
      <w:marRight w:val="0"/>
      <w:marTop w:val="0"/>
      <w:marBottom w:val="0"/>
      <w:divBdr>
        <w:top w:val="none" w:sz="0" w:space="0" w:color="auto"/>
        <w:left w:val="none" w:sz="0" w:space="0" w:color="auto"/>
        <w:bottom w:val="none" w:sz="0" w:space="0" w:color="auto"/>
        <w:right w:val="none" w:sz="0" w:space="0" w:color="auto"/>
      </w:divBdr>
    </w:div>
    <w:div w:id="1731807827">
      <w:bodyDiv w:val="1"/>
      <w:marLeft w:val="0"/>
      <w:marRight w:val="0"/>
      <w:marTop w:val="0"/>
      <w:marBottom w:val="0"/>
      <w:divBdr>
        <w:top w:val="none" w:sz="0" w:space="0" w:color="auto"/>
        <w:left w:val="none" w:sz="0" w:space="0" w:color="auto"/>
        <w:bottom w:val="none" w:sz="0" w:space="0" w:color="auto"/>
        <w:right w:val="none" w:sz="0" w:space="0" w:color="auto"/>
      </w:divBdr>
    </w:div>
    <w:div w:id="1736469777">
      <w:bodyDiv w:val="1"/>
      <w:marLeft w:val="0"/>
      <w:marRight w:val="0"/>
      <w:marTop w:val="0"/>
      <w:marBottom w:val="0"/>
      <w:divBdr>
        <w:top w:val="none" w:sz="0" w:space="0" w:color="auto"/>
        <w:left w:val="none" w:sz="0" w:space="0" w:color="auto"/>
        <w:bottom w:val="none" w:sz="0" w:space="0" w:color="auto"/>
        <w:right w:val="none" w:sz="0" w:space="0" w:color="auto"/>
      </w:divBdr>
    </w:div>
    <w:div w:id="1765999006">
      <w:bodyDiv w:val="1"/>
      <w:marLeft w:val="0"/>
      <w:marRight w:val="0"/>
      <w:marTop w:val="0"/>
      <w:marBottom w:val="0"/>
      <w:divBdr>
        <w:top w:val="none" w:sz="0" w:space="0" w:color="auto"/>
        <w:left w:val="none" w:sz="0" w:space="0" w:color="auto"/>
        <w:bottom w:val="none" w:sz="0" w:space="0" w:color="auto"/>
        <w:right w:val="none" w:sz="0" w:space="0" w:color="auto"/>
      </w:divBdr>
    </w:div>
    <w:div w:id="1767918143">
      <w:bodyDiv w:val="1"/>
      <w:marLeft w:val="0"/>
      <w:marRight w:val="0"/>
      <w:marTop w:val="0"/>
      <w:marBottom w:val="0"/>
      <w:divBdr>
        <w:top w:val="none" w:sz="0" w:space="0" w:color="auto"/>
        <w:left w:val="none" w:sz="0" w:space="0" w:color="auto"/>
        <w:bottom w:val="none" w:sz="0" w:space="0" w:color="auto"/>
        <w:right w:val="none" w:sz="0" w:space="0" w:color="auto"/>
      </w:divBdr>
    </w:div>
    <w:div w:id="1783526902">
      <w:bodyDiv w:val="1"/>
      <w:marLeft w:val="0"/>
      <w:marRight w:val="0"/>
      <w:marTop w:val="0"/>
      <w:marBottom w:val="0"/>
      <w:divBdr>
        <w:top w:val="none" w:sz="0" w:space="0" w:color="auto"/>
        <w:left w:val="none" w:sz="0" w:space="0" w:color="auto"/>
        <w:bottom w:val="none" w:sz="0" w:space="0" w:color="auto"/>
        <w:right w:val="none" w:sz="0" w:space="0" w:color="auto"/>
      </w:divBdr>
      <w:divsChild>
        <w:div w:id="1480227951">
          <w:marLeft w:val="0"/>
          <w:marRight w:val="0"/>
          <w:marTop w:val="0"/>
          <w:marBottom w:val="0"/>
          <w:divBdr>
            <w:top w:val="none" w:sz="0" w:space="0" w:color="auto"/>
            <w:left w:val="none" w:sz="0" w:space="0" w:color="auto"/>
            <w:bottom w:val="none" w:sz="0" w:space="0" w:color="auto"/>
            <w:right w:val="none" w:sz="0" w:space="0" w:color="auto"/>
          </w:divBdr>
        </w:div>
      </w:divsChild>
    </w:div>
    <w:div w:id="1785342369">
      <w:bodyDiv w:val="1"/>
      <w:marLeft w:val="0"/>
      <w:marRight w:val="0"/>
      <w:marTop w:val="0"/>
      <w:marBottom w:val="0"/>
      <w:divBdr>
        <w:top w:val="none" w:sz="0" w:space="0" w:color="auto"/>
        <w:left w:val="none" w:sz="0" w:space="0" w:color="auto"/>
        <w:bottom w:val="none" w:sz="0" w:space="0" w:color="auto"/>
        <w:right w:val="none" w:sz="0" w:space="0" w:color="auto"/>
      </w:divBdr>
    </w:div>
    <w:div w:id="1793281022">
      <w:bodyDiv w:val="1"/>
      <w:marLeft w:val="0"/>
      <w:marRight w:val="0"/>
      <w:marTop w:val="0"/>
      <w:marBottom w:val="0"/>
      <w:divBdr>
        <w:top w:val="none" w:sz="0" w:space="0" w:color="auto"/>
        <w:left w:val="none" w:sz="0" w:space="0" w:color="auto"/>
        <w:bottom w:val="none" w:sz="0" w:space="0" w:color="auto"/>
        <w:right w:val="none" w:sz="0" w:space="0" w:color="auto"/>
      </w:divBdr>
      <w:divsChild>
        <w:div w:id="1946616221">
          <w:marLeft w:val="0"/>
          <w:marRight w:val="0"/>
          <w:marTop w:val="0"/>
          <w:marBottom w:val="0"/>
          <w:divBdr>
            <w:top w:val="none" w:sz="0" w:space="0" w:color="auto"/>
            <w:left w:val="none" w:sz="0" w:space="0" w:color="auto"/>
            <w:bottom w:val="none" w:sz="0" w:space="0" w:color="auto"/>
            <w:right w:val="none" w:sz="0" w:space="0" w:color="auto"/>
          </w:divBdr>
        </w:div>
      </w:divsChild>
    </w:div>
    <w:div w:id="1824080237">
      <w:bodyDiv w:val="1"/>
      <w:marLeft w:val="0"/>
      <w:marRight w:val="0"/>
      <w:marTop w:val="0"/>
      <w:marBottom w:val="0"/>
      <w:divBdr>
        <w:top w:val="none" w:sz="0" w:space="0" w:color="auto"/>
        <w:left w:val="none" w:sz="0" w:space="0" w:color="auto"/>
        <w:bottom w:val="none" w:sz="0" w:space="0" w:color="auto"/>
        <w:right w:val="none" w:sz="0" w:space="0" w:color="auto"/>
      </w:divBdr>
    </w:div>
    <w:div w:id="1825124035">
      <w:bodyDiv w:val="1"/>
      <w:marLeft w:val="0"/>
      <w:marRight w:val="0"/>
      <w:marTop w:val="0"/>
      <w:marBottom w:val="0"/>
      <w:divBdr>
        <w:top w:val="none" w:sz="0" w:space="0" w:color="auto"/>
        <w:left w:val="none" w:sz="0" w:space="0" w:color="auto"/>
        <w:bottom w:val="none" w:sz="0" w:space="0" w:color="auto"/>
        <w:right w:val="none" w:sz="0" w:space="0" w:color="auto"/>
      </w:divBdr>
      <w:divsChild>
        <w:div w:id="419911215">
          <w:marLeft w:val="0"/>
          <w:marRight w:val="0"/>
          <w:marTop w:val="0"/>
          <w:marBottom w:val="0"/>
          <w:divBdr>
            <w:top w:val="none" w:sz="0" w:space="0" w:color="auto"/>
            <w:left w:val="none" w:sz="0" w:space="0" w:color="auto"/>
            <w:bottom w:val="none" w:sz="0" w:space="0" w:color="auto"/>
            <w:right w:val="none" w:sz="0" w:space="0" w:color="auto"/>
          </w:divBdr>
        </w:div>
      </w:divsChild>
    </w:div>
    <w:div w:id="1826512074">
      <w:bodyDiv w:val="1"/>
      <w:marLeft w:val="0"/>
      <w:marRight w:val="0"/>
      <w:marTop w:val="0"/>
      <w:marBottom w:val="0"/>
      <w:divBdr>
        <w:top w:val="none" w:sz="0" w:space="0" w:color="auto"/>
        <w:left w:val="none" w:sz="0" w:space="0" w:color="auto"/>
        <w:bottom w:val="none" w:sz="0" w:space="0" w:color="auto"/>
        <w:right w:val="none" w:sz="0" w:space="0" w:color="auto"/>
      </w:divBdr>
    </w:div>
    <w:div w:id="1845048428">
      <w:bodyDiv w:val="1"/>
      <w:marLeft w:val="0"/>
      <w:marRight w:val="0"/>
      <w:marTop w:val="0"/>
      <w:marBottom w:val="0"/>
      <w:divBdr>
        <w:top w:val="none" w:sz="0" w:space="0" w:color="auto"/>
        <w:left w:val="none" w:sz="0" w:space="0" w:color="auto"/>
        <w:bottom w:val="none" w:sz="0" w:space="0" w:color="auto"/>
        <w:right w:val="none" w:sz="0" w:space="0" w:color="auto"/>
      </w:divBdr>
    </w:div>
    <w:div w:id="1857039541">
      <w:bodyDiv w:val="1"/>
      <w:marLeft w:val="0"/>
      <w:marRight w:val="0"/>
      <w:marTop w:val="0"/>
      <w:marBottom w:val="0"/>
      <w:divBdr>
        <w:top w:val="none" w:sz="0" w:space="0" w:color="auto"/>
        <w:left w:val="none" w:sz="0" w:space="0" w:color="auto"/>
        <w:bottom w:val="none" w:sz="0" w:space="0" w:color="auto"/>
        <w:right w:val="none" w:sz="0" w:space="0" w:color="auto"/>
      </w:divBdr>
    </w:div>
    <w:div w:id="1870559846">
      <w:bodyDiv w:val="1"/>
      <w:marLeft w:val="0"/>
      <w:marRight w:val="0"/>
      <w:marTop w:val="0"/>
      <w:marBottom w:val="0"/>
      <w:divBdr>
        <w:top w:val="none" w:sz="0" w:space="0" w:color="auto"/>
        <w:left w:val="none" w:sz="0" w:space="0" w:color="auto"/>
        <w:bottom w:val="none" w:sz="0" w:space="0" w:color="auto"/>
        <w:right w:val="none" w:sz="0" w:space="0" w:color="auto"/>
      </w:divBdr>
    </w:div>
    <w:div w:id="1883983671">
      <w:bodyDiv w:val="1"/>
      <w:marLeft w:val="0"/>
      <w:marRight w:val="0"/>
      <w:marTop w:val="0"/>
      <w:marBottom w:val="0"/>
      <w:divBdr>
        <w:top w:val="none" w:sz="0" w:space="0" w:color="auto"/>
        <w:left w:val="none" w:sz="0" w:space="0" w:color="auto"/>
        <w:bottom w:val="none" w:sz="0" w:space="0" w:color="auto"/>
        <w:right w:val="none" w:sz="0" w:space="0" w:color="auto"/>
      </w:divBdr>
    </w:div>
    <w:div w:id="1889493013">
      <w:bodyDiv w:val="1"/>
      <w:marLeft w:val="0"/>
      <w:marRight w:val="0"/>
      <w:marTop w:val="0"/>
      <w:marBottom w:val="0"/>
      <w:divBdr>
        <w:top w:val="none" w:sz="0" w:space="0" w:color="auto"/>
        <w:left w:val="none" w:sz="0" w:space="0" w:color="auto"/>
        <w:bottom w:val="none" w:sz="0" w:space="0" w:color="auto"/>
        <w:right w:val="none" w:sz="0" w:space="0" w:color="auto"/>
      </w:divBdr>
      <w:divsChild>
        <w:div w:id="1959094739">
          <w:marLeft w:val="0"/>
          <w:marRight w:val="0"/>
          <w:marTop w:val="0"/>
          <w:marBottom w:val="0"/>
          <w:divBdr>
            <w:top w:val="none" w:sz="0" w:space="0" w:color="auto"/>
            <w:left w:val="none" w:sz="0" w:space="0" w:color="auto"/>
            <w:bottom w:val="none" w:sz="0" w:space="0" w:color="auto"/>
            <w:right w:val="none" w:sz="0" w:space="0" w:color="auto"/>
          </w:divBdr>
        </w:div>
      </w:divsChild>
    </w:div>
    <w:div w:id="1953315496">
      <w:bodyDiv w:val="1"/>
      <w:marLeft w:val="0"/>
      <w:marRight w:val="0"/>
      <w:marTop w:val="0"/>
      <w:marBottom w:val="0"/>
      <w:divBdr>
        <w:top w:val="none" w:sz="0" w:space="0" w:color="auto"/>
        <w:left w:val="none" w:sz="0" w:space="0" w:color="auto"/>
        <w:bottom w:val="none" w:sz="0" w:space="0" w:color="auto"/>
        <w:right w:val="none" w:sz="0" w:space="0" w:color="auto"/>
      </w:divBdr>
    </w:div>
    <w:div w:id="1970628345">
      <w:bodyDiv w:val="1"/>
      <w:marLeft w:val="0"/>
      <w:marRight w:val="0"/>
      <w:marTop w:val="0"/>
      <w:marBottom w:val="0"/>
      <w:divBdr>
        <w:top w:val="none" w:sz="0" w:space="0" w:color="auto"/>
        <w:left w:val="none" w:sz="0" w:space="0" w:color="auto"/>
        <w:bottom w:val="none" w:sz="0" w:space="0" w:color="auto"/>
        <w:right w:val="none" w:sz="0" w:space="0" w:color="auto"/>
      </w:divBdr>
    </w:div>
    <w:div w:id="1975796682">
      <w:bodyDiv w:val="1"/>
      <w:marLeft w:val="0"/>
      <w:marRight w:val="0"/>
      <w:marTop w:val="0"/>
      <w:marBottom w:val="0"/>
      <w:divBdr>
        <w:top w:val="none" w:sz="0" w:space="0" w:color="auto"/>
        <w:left w:val="none" w:sz="0" w:space="0" w:color="auto"/>
        <w:bottom w:val="none" w:sz="0" w:space="0" w:color="auto"/>
        <w:right w:val="none" w:sz="0" w:space="0" w:color="auto"/>
      </w:divBdr>
    </w:div>
    <w:div w:id="1984499310">
      <w:bodyDiv w:val="1"/>
      <w:marLeft w:val="0"/>
      <w:marRight w:val="0"/>
      <w:marTop w:val="0"/>
      <w:marBottom w:val="0"/>
      <w:divBdr>
        <w:top w:val="none" w:sz="0" w:space="0" w:color="auto"/>
        <w:left w:val="none" w:sz="0" w:space="0" w:color="auto"/>
        <w:bottom w:val="none" w:sz="0" w:space="0" w:color="auto"/>
        <w:right w:val="none" w:sz="0" w:space="0" w:color="auto"/>
      </w:divBdr>
    </w:div>
    <w:div w:id="1995184807">
      <w:bodyDiv w:val="1"/>
      <w:marLeft w:val="0"/>
      <w:marRight w:val="0"/>
      <w:marTop w:val="0"/>
      <w:marBottom w:val="0"/>
      <w:divBdr>
        <w:top w:val="none" w:sz="0" w:space="0" w:color="auto"/>
        <w:left w:val="none" w:sz="0" w:space="0" w:color="auto"/>
        <w:bottom w:val="none" w:sz="0" w:space="0" w:color="auto"/>
        <w:right w:val="none" w:sz="0" w:space="0" w:color="auto"/>
      </w:divBdr>
    </w:div>
    <w:div w:id="2125691162">
      <w:bodyDiv w:val="1"/>
      <w:marLeft w:val="0"/>
      <w:marRight w:val="0"/>
      <w:marTop w:val="0"/>
      <w:marBottom w:val="0"/>
      <w:divBdr>
        <w:top w:val="none" w:sz="0" w:space="0" w:color="auto"/>
        <w:left w:val="none" w:sz="0" w:space="0" w:color="auto"/>
        <w:bottom w:val="none" w:sz="0" w:space="0" w:color="auto"/>
        <w:right w:val="none" w:sz="0" w:space="0" w:color="auto"/>
      </w:divBdr>
    </w:div>
    <w:div w:id="2128502074">
      <w:bodyDiv w:val="1"/>
      <w:marLeft w:val="0"/>
      <w:marRight w:val="0"/>
      <w:marTop w:val="0"/>
      <w:marBottom w:val="0"/>
      <w:divBdr>
        <w:top w:val="none" w:sz="0" w:space="0" w:color="auto"/>
        <w:left w:val="none" w:sz="0" w:space="0" w:color="auto"/>
        <w:bottom w:val="none" w:sz="0" w:space="0" w:color="auto"/>
        <w:right w:val="none" w:sz="0" w:space="0" w:color="auto"/>
      </w:divBdr>
    </w:div>
    <w:div w:id="21398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hyperlink" Target="https://aviationanalyst.co.uk/2018/10/17/flybe-is-in-financial-trouble-analysis/" TargetMode="External"/><Relationship Id="rId39" Type="http://schemas.openxmlformats.org/officeDocument/2006/relationships/header" Target="header1.xml"/><Relationship Id="rId21" Type="http://schemas.openxmlformats.org/officeDocument/2006/relationships/hyperlink" Target="https://uk.investing.com/equities/flybe-group-balance-sheet" TargetMode="External"/><Relationship Id="rId34" Type="http://schemas.openxmlformats.org/officeDocument/2006/relationships/chart" Target="charts/chart8.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ft.com/content/782da316-3ea8-11ea-b232-000f4477fbca" TargetMode="External"/><Relationship Id="rId29" Type="http://schemas.openxmlformats.org/officeDocument/2006/relationships/hyperlink" Target="https://uk.investing.com/equities/flybe-group-balance-she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lybeplc.github.io/deal/rns/Flybe_Annual_Report_2017-18.pdf" TargetMode="External"/><Relationship Id="rId32" Type="http://schemas.openxmlformats.org/officeDocument/2006/relationships/hyperlink" Target="https://gradcoach.com/descriptive-statistics/" TargetMode="External"/><Relationship Id="rId37" Type="http://schemas.openxmlformats.org/officeDocument/2006/relationships/chart" Target="charts/chart11.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find-and-update.company-information.service.gov.uk/company/01373432/filing-history" TargetMode="External"/><Relationship Id="rId28" Type="http://schemas.openxmlformats.org/officeDocument/2006/relationships/hyperlink" Target="https://fame-r1-bvdinfo-com.oxfordbrookes.idm.oclc.org/version-20240321-1-1/fame/1/Companies/Report" TargetMode="External"/><Relationship Id="rId36"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hyperlink" Target="https://fame-r1-bvdinfo-com.oxfordbrookes.idm.oclc.org/version-20240321-1-1/fame/1/Companies/Report)(fame" TargetMode="External"/><Relationship Id="rId31" Type="http://schemas.openxmlformats.org/officeDocument/2006/relationships/hyperlink" Target="https://www.alation.com/blog/what-is-data-quality-why-is-it-importa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5.png"/><Relationship Id="rId27" Type="http://schemas.openxmlformats.org/officeDocument/2006/relationships/hyperlink" Target="https://www.slideshare.net/marcomarabese/flybe-financial-analysis" TargetMode="External"/><Relationship Id="rId30" Type="http://schemas.openxmlformats.org/officeDocument/2006/relationships/hyperlink" Target="https://analyze.co.za/why-is-trend-analysis-important-to-your-business/" TargetMode="External"/><Relationship Id="rId35" Type="http://schemas.openxmlformats.org/officeDocument/2006/relationships/chart" Target="charts/chart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assets.ey.com/content/dam/ey-sites/ey-com/en_uk/generic/fbe-realisations-2021-limited-administration/ey-flybe-administrators-proposals-no-decision-by-creditors.pdf" TargetMode="External"/><Relationship Id="rId33" Type="http://schemas.openxmlformats.org/officeDocument/2006/relationships/hyperlink" Target="https://www.ft.com/content/782da316-3ea8-11ea-b232-000f4477fbca" TargetMode="External"/><Relationship Id="rId38" Type="http://schemas.openxmlformats.org/officeDocument/2006/relationships/chart" Target="charts/chart1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01581cce85128bf9/Desktop/DD/ddm%20with%20grap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Asset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'[ddm with graph.xlsx]Sheet1'!$B$62</c:f>
              <c:strCache>
                <c:ptCount val="1"/>
                <c:pt idx="0">
                  <c:v>Tangible Assets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'[ddm with graph.xlsx]Sheet1'!$A$63:$A$82</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graph.xlsx]Sheet1'!$B$63:$B$82</c:f>
              <c:numCache>
                <c:formatCode>#,##0</c:formatCode>
                <c:ptCount val="20"/>
                <c:pt idx="0">
                  <c:v>308200000</c:v>
                </c:pt>
                <c:pt idx="1">
                  <c:v>309100000</c:v>
                </c:pt>
                <c:pt idx="2">
                  <c:v>213700000</c:v>
                </c:pt>
                <c:pt idx="3">
                  <c:v>189100000</c:v>
                </c:pt>
                <c:pt idx="4">
                  <c:v>170600000</c:v>
                </c:pt>
                <c:pt idx="5">
                  <c:v>165400000</c:v>
                </c:pt>
                <c:pt idx="6">
                  <c:v>162100000</c:v>
                </c:pt>
                <c:pt idx="7">
                  <c:v>136300000</c:v>
                </c:pt>
                <c:pt idx="8">
                  <c:v>132100000</c:v>
                </c:pt>
                <c:pt idx="9">
                  <c:v>137960000</c:v>
                </c:pt>
                <c:pt idx="10">
                  <c:v>153743000</c:v>
                </c:pt>
                <c:pt idx="11">
                  <c:v>180790000</c:v>
                </c:pt>
                <c:pt idx="12">
                  <c:v>97583000</c:v>
                </c:pt>
                <c:pt idx="13">
                  <c:v>110004000</c:v>
                </c:pt>
                <c:pt idx="14">
                  <c:v>96685000</c:v>
                </c:pt>
                <c:pt idx="15">
                  <c:v>40742000</c:v>
                </c:pt>
                <c:pt idx="16">
                  <c:v>30288000</c:v>
                </c:pt>
                <c:pt idx="17">
                  <c:v>32330000</c:v>
                </c:pt>
                <c:pt idx="18">
                  <c:v>35886000</c:v>
                </c:pt>
                <c:pt idx="19">
                  <c:v>36122000</c:v>
                </c:pt>
              </c:numCache>
            </c:numRef>
          </c:val>
          <c:smooth val="0"/>
          <c:extLst>
            <c:ext xmlns:c16="http://schemas.microsoft.com/office/drawing/2014/chart" uri="{C3380CC4-5D6E-409C-BE32-E72D297353CC}">
              <c16:uniqueId val="{00000000-4B72-487C-848B-E462810C6013}"/>
            </c:ext>
          </c:extLst>
        </c:ser>
        <c:ser>
          <c:idx val="1"/>
          <c:order val="1"/>
          <c:tx>
            <c:strRef>
              <c:f>'[ddm with graph.xlsx]Sheet1'!$C$62</c:f>
              <c:strCache>
                <c:ptCount val="1"/>
                <c:pt idx="0">
                  <c:v>Fixed Assets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'[ddm with graph.xlsx]Sheet1'!$A$63:$A$82</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graph.xlsx]Sheet1'!$C$63:$C$82</c:f>
              <c:numCache>
                <c:formatCode>#,##0</c:formatCode>
                <c:ptCount val="20"/>
                <c:pt idx="0">
                  <c:v>416200000</c:v>
                </c:pt>
                <c:pt idx="1">
                  <c:v>404200000</c:v>
                </c:pt>
                <c:pt idx="2">
                  <c:v>287600000</c:v>
                </c:pt>
                <c:pt idx="3">
                  <c:v>252000000</c:v>
                </c:pt>
                <c:pt idx="4">
                  <c:v>243200000</c:v>
                </c:pt>
                <c:pt idx="5">
                  <c:v>246100000</c:v>
                </c:pt>
                <c:pt idx="6">
                  <c:v>244900000</c:v>
                </c:pt>
                <c:pt idx="7">
                  <c:v>197700000</c:v>
                </c:pt>
                <c:pt idx="8">
                  <c:v>140600000</c:v>
                </c:pt>
                <c:pt idx="9">
                  <c:v>146003000</c:v>
                </c:pt>
                <c:pt idx="10">
                  <c:v>161361000</c:v>
                </c:pt>
                <c:pt idx="11">
                  <c:v>138698000</c:v>
                </c:pt>
                <c:pt idx="12">
                  <c:v>97583000</c:v>
                </c:pt>
                <c:pt idx="13">
                  <c:v>110004000</c:v>
                </c:pt>
                <c:pt idx="14">
                  <c:v>96685000</c:v>
                </c:pt>
                <c:pt idx="15">
                  <c:v>40742000</c:v>
                </c:pt>
                <c:pt idx="16">
                  <c:v>30288000</c:v>
                </c:pt>
                <c:pt idx="17">
                  <c:v>32497000</c:v>
                </c:pt>
                <c:pt idx="18">
                  <c:v>36219000</c:v>
                </c:pt>
                <c:pt idx="19">
                  <c:v>36122000</c:v>
                </c:pt>
              </c:numCache>
            </c:numRef>
          </c:val>
          <c:smooth val="0"/>
          <c:extLst>
            <c:ext xmlns:c16="http://schemas.microsoft.com/office/drawing/2014/chart" uri="{C3380CC4-5D6E-409C-BE32-E72D297353CC}">
              <c16:uniqueId val="{00000001-4B72-487C-848B-E462810C6013}"/>
            </c:ext>
          </c:extLst>
        </c:ser>
        <c:ser>
          <c:idx val="2"/>
          <c:order val="2"/>
          <c:tx>
            <c:strRef>
              <c:f>'[ddm with graph.xlsx]Sheet1'!$D$62</c:f>
              <c:strCache>
                <c:ptCount val="1"/>
                <c:pt idx="0">
                  <c:v> Current Assets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'[ddm with graph.xlsx]Sheet1'!$A$63:$A$82</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graph.xlsx]Sheet1'!$D$63:$D$82</c:f>
              <c:numCache>
                <c:formatCode>#,##0</c:formatCode>
                <c:ptCount val="20"/>
                <c:pt idx="0">
                  <c:v>195500000</c:v>
                </c:pt>
                <c:pt idx="1">
                  <c:v>255400000</c:v>
                </c:pt>
                <c:pt idx="2">
                  <c:v>281100000</c:v>
                </c:pt>
                <c:pt idx="3">
                  <c:v>308300000</c:v>
                </c:pt>
                <c:pt idx="4">
                  <c:v>304800000</c:v>
                </c:pt>
                <c:pt idx="5">
                  <c:v>159700000</c:v>
                </c:pt>
                <c:pt idx="6">
                  <c:v>170400000</c:v>
                </c:pt>
                <c:pt idx="7">
                  <c:v>216400000</c:v>
                </c:pt>
                <c:pt idx="8">
                  <c:v>172100000</c:v>
                </c:pt>
                <c:pt idx="9">
                  <c:v>182624000</c:v>
                </c:pt>
                <c:pt idx="10">
                  <c:v>173330000</c:v>
                </c:pt>
                <c:pt idx="11">
                  <c:v>243982000</c:v>
                </c:pt>
                <c:pt idx="12">
                  <c:v>94776000</c:v>
                </c:pt>
                <c:pt idx="13">
                  <c:v>111727000</c:v>
                </c:pt>
                <c:pt idx="14">
                  <c:v>76860000</c:v>
                </c:pt>
                <c:pt idx="15">
                  <c:v>62163000</c:v>
                </c:pt>
                <c:pt idx="16">
                  <c:v>53734000</c:v>
                </c:pt>
                <c:pt idx="17">
                  <c:v>55164000</c:v>
                </c:pt>
                <c:pt idx="18">
                  <c:v>36439000</c:v>
                </c:pt>
                <c:pt idx="19">
                  <c:v>29355000</c:v>
                </c:pt>
              </c:numCache>
            </c:numRef>
          </c:val>
          <c:smooth val="0"/>
          <c:extLst>
            <c:ext xmlns:c16="http://schemas.microsoft.com/office/drawing/2014/chart" uri="{C3380CC4-5D6E-409C-BE32-E72D297353CC}">
              <c16:uniqueId val="{00000002-4B72-487C-848B-E462810C6013}"/>
            </c:ext>
          </c:extLst>
        </c:ser>
        <c:dLbls>
          <c:showLegendKey val="0"/>
          <c:showVal val="0"/>
          <c:showCatName val="0"/>
          <c:showSerName val="0"/>
          <c:showPercent val="0"/>
          <c:showBubbleSize val="0"/>
        </c:dLbls>
        <c:marker val="1"/>
        <c:smooth val="0"/>
        <c:axId val="1092468607"/>
        <c:axId val="1092469087"/>
      </c:lineChart>
      <c:catAx>
        <c:axId val="1092468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69087"/>
        <c:crosses val="autoZero"/>
        <c:auto val="1"/>
        <c:lblAlgn val="ctr"/>
        <c:lblOffset val="100"/>
        <c:noMultiLvlLbl val="0"/>
      </c:catAx>
      <c:valAx>
        <c:axId val="109246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Assest value in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68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143228398225369E-2"/>
          <c:y val="0.16936073059360732"/>
          <c:w val="0.84300009836048595"/>
          <c:h val="0.7109815553877683"/>
        </c:manualLayout>
      </c:layout>
      <c:barChart>
        <c:barDir val="col"/>
        <c:grouping val="stacked"/>
        <c:varyColors val="0"/>
        <c:ser>
          <c:idx val="0"/>
          <c:order val="0"/>
          <c:tx>
            <c:strRef>
              <c:f>'[ddm with graph.xlsx]Sheet1'!$D$89</c:f>
              <c:strCache>
                <c:ptCount val="1"/>
                <c:pt idx="0">
                  <c:v> Return on Total Assets (%)</c:v>
                </c:pt>
              </c:strCache>
            </c:strRef>
          </c:tx>
          <c:spPr>
            <a:solidFill>
              <a:schemeClr val="accent1"/>
            </a:solidFill>
            <a:ln>
              <a:noFill/>
            </a:ln>
            <a:effectLst/>
          </c:spPr>
          <c:invertIfNegative val="0"/>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graph.xlsx]Sheet1'!$D$90:$D$109</c:f>
              <c:numCache>
                <c:formatCode>General</c:formatCode>
                <c:ptCount val="20"/>
                <c:pt idx="0">
                  <c:v>-1.54</c:v>
                </c:pt>
                <c:pt idx="1">
                  <c:v>-3.02</c:v>
                </c:pt>
                <c:pt idx="2">
                  <c:v>0.47</c:v>
                </c:pt>
                <c:pt idx="3">
                  <c:v>-4.21</c:v>
                </c:pt>
                <c:pt idx="4">
                  <c:v>1.48</c:v>
                </c:pt>
                <c:pt idx="5">
                  <c:v>-10.029999999999999</c:v>
                </c:pt>
                <c:pt idx="6">
                  <c:v>-1.49</c:v>
                </c:pt>
                <c:pt idx="7">
                  <c:v>-1.04</c:v>
                </c:pt>
                <c:pt idx="8">
                  <c:v>1.82</c:v>
                </c:pt>
                <c:pt idx="9">
                  <c:v>0.02</c:v>
                </c:pt>
                <c:pt idx="10">
                  <c:v>9.07</c:v>
                </c:pt>
                <c:pt idx="11">
                  <c:v>-4.2300000000000004</c:v>
                </c:pt>
                <c:pt idx="12">
                  <c:v>-6.39</c:v>
                </c:pt>
                <c:pt idx="13">
                  <c:v>3.52</c:v>
                </c:pt>
                <c:pt idx="14">
                  <c:v>1.69</c:v>
                </c:pt>
                <c:pt idx="15">
                  <c:v>0.28999999999999998</c:v>
                </c:pt>
                <c:pt idx="16">
                  <c:v>-20.72</c:v>
                </c:pt>
                <c:pt idx="17">
                  <c:v>-12.39</c:v>
                </c:pt>
                <c:pt idx="18">
                  <c:v>2.12</c:v>
                </c:pt>
                <c:pt idx="19">
                  <c:v>10.89</c:v>
                </c:pt>
              </c:numCache>
            </c:numRef>
          </c:val>
          <c:extLst>
            <c:ext xmlns:c16="http://schemas.microsoft.com/office/drawing/2014/chart" uri="{C3380CC4-5D6E-409C-BE32-E72D297353CC}">
              <c16:uniqueId val="{00000000-2998-414A-B88F-A8D8EAAFDA7E}"/>
            </c:ext>
          </c:extLst>
        </c:ser>
        <c:dLbls>
          <c:showLegendKey val="0"/>
          <c:showVal val="0"/>
          <c:showCatName val="0"/>
          <c:showSerName val="0"/>
          <c:showPercent val="0"/>
          <c:showBubbleSize val="0"/>
        </c:dLbls>
        <c:gapWidth val="150"/>
        <c:overlap val="100"/>
        <c:axId val="1211999328"/>
        <c:axId val="1212001728"/>
      </c:barChart>
      <c:catAx>
        <c:axId val="121199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001728"/>
        <c:crosses val="autoZero"/>
        <c:auto val="1"/>
        <c:lblAlgn val="ctr"/>
        <c:lblOffset val="100"/>
        <c:noMultiLvlLbl val="0"/>
      </c:catAx>
      <c:valAx>
        <c:axId val="121200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99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Gearing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'[ddm with graph.xlsx]Sheet1'!$M$89</c:f>
              <c:strCache>
                <c:ptCount val="1"/>
                <c:pt idx="0">
                  <c:v> Gearing (%)</c:v>
                </c:pt>
              </c:strCache>
            </c:strRef>
          </c:tx>
          <c:spPr>
            <a:solidFill>
              <a:schemeClr val="accent1"/>
            </a:solidFill>
            <a:ln>
              <a:noFill/>
            </a:ln>
            <a:effectLst/>
          </c:spPr>
          <c:invertIfNegative val="0"/>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graph.xlsx]Sheet1'!$M$90:$M$109</c:f>
              <c:numCache>
                <c:formatCode>General</c:formatCode>
                <c:ptCount val="20"/>
                <c:pt idx="0">
                  <c:v>281.2</c:v>
                </c:pt>
                <c:pt idx="1">
                  <c:v>178.57</c:v>
                </c:pt>
                <c:pt idx="2">
                  <c:v>106.61</c:v>
                </c:pt>
                <c:pt idx="3">
                  <c:v>125.79</c:v>
                </c:pt>
                <c:pt idx="4">
                  <c:v>76.2</c:v>
                </c:pt>
                <c:pt idx="5">
                  <c:v>349.69</c:v>
                </c:pt>
                <c:pt idx="6">
                  <c:v>164.88</c:v>
                </c:pt>
                <c:pt idx="7">
                  <c:v>120.48</c:v>
                </c:pt>
                <c:pt idx="8">
                  <c:v>740.21</c:v>
                </c:pt>
                <c:pt idx="9">
                  <c:v>967.82</c:v>
                </c:pt>
                <c:pt idx="10">
                  <c:v>0</c:v>
                </c:pt>
                <c:pt idx="11">
                  <c:v>0</c:v>
                </c:pt>
                <c:pt idx="12">
                  <c:v>0</c:v>
                </c:pt>
                <c:pt idx="13">
                  <c:v>701.27</c:v>
                </c:pt>
                <c:pt idx="14">
                  <c:v>593.64</c:v>
                </c:pt>
                <c:pt idx="15">
                  <c:v>400.03</c:v>
                </c:pt>
                <c:pt idx="16">
                  <c:v>218.88</c:v>
                </c:pt>
                <c:pt idx="17">
                  <c:v>378.92</c:v>
                </c:pt>
                <c:pt idx="18">
                  <c:v>177.99</c:v>
                </c:pt>
                <c:pt idx="19">
                  <c:v>188.41</c:v>
                </c:pt>
              </c:numCache>
            </c:numRef>
          </c:val>
          <c:extLst>
            <c:ext xmlns:c16="http://schemas.microsoft.com/office/drawing/2014/chart" uri="{C3380CC4-5D6E-409C-BE32-E72D297353CC}">
              <c16:uniqueId val="{00000000-3966-4B7D-BCC1-6ACB5A699C03}"/>
            </c:ext>
          </c:extLst>
        </c:ser>
        <c:dLbls>
          <c:showLegendKey val="0"/>
          <c:showVal val="0"/>
          <c:showCatName val="0"/>
          <c:showSerName val="0"/>
          <c:showPercent val="0"/>
          <c:showBubbleSize val="0"/>
        </c:dLbls>
        <c:gapWidth val="182"/>
        <c:axId val="1001214624"/>
        <c:axId val="1001216064"/>
      </c:barChart>
      <c:catAx>
        <c:axId val="1001214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216064"/>
        <c:crosses val="autoZero"/>
        <c:auto val="1"/>
        <c:lblAlgn val="ctr"/>
        <c:lblOffset val="100"/>
        <c:noMultiLvlLbl val="0"/>
      </c:catAx>
      <c:valAx>
        <c:axId val="100121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214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815070285554788"/>
          <c:y val="7.4152995550837361E-2"/>
          <c:w val="0.79407152230971123"/>
          <c:h val="0.77844714974387363"/>
        </c:manualLayout>
      </c:layout>
      <c:lineChart>
        <c:grouping val="stacked"/>
        <c:varyColors val="0"/>
        <c:ser>
          <c:idx val="0"/>
          <c:order val="0"/>
          <c:tx>
            <c:strRef>
              <c:f>'[EXCEL SUPPORTIVE DOCUMENT.xlsx]Sheet1'!$B$1</c:f>
              <c:strCache>
                <c:ptCount val="1"/>
                <c:pt idx="0">
                  <c:v> Administration Expenses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'[EXCEL SUPPORTIVE DOCUMENT.xlsx]Sheet1'!$A$2:$A$21</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'[EXCEL SUPPORTIVE DOCUMENT.xlsx]Sheet1'!$B$2:$B$21</c:f>
              <c:numCache>
                <c:formatCode>#,##0</c:formatCode>
                <c:ptCount val="20"/>
                <c:pt idx="0">
                  <c:v>-774900000</c:v>
                </c:pt>
                <c:pt idx="1">
                  <c:v>-728600000</c:v>
                </c:pt>
                <c:pt idx="2">
                  <c:v>-619600000</c:v>
                </c:pt>
                <c:pt idx="3">
                  <c:v>-587600000</c:v>
                </c:pt>
                <c:pt idx="4">
                  <c:v>-619000000</c:v>
                </c:pt>
                <c:pt idx="5">
                  <c:v>-645800000</c:v>
                </c:pt>
                <c:pt idx="6">
                  <c:v>-621400000</c:v>
                </c:pt>
                <c:pt idx="7">
                  <c:v>-598900000</c:v>
                </c:pt>
                <c:pt idx="8">
                  <c:v>-55100000</c:v>
                </c:pt>
                <c:pt idx="9">
                  <c:v>-51009000</c:v>
                </c:pt>
                <c:pt idx="10">
                  <c:v>-54610000</c:v>
                </c:pt>
                <c:pt idx="11">
                  <c:v>-48570000</c:v>
                </c:pt>
                <c:pt idx="12">
                  <c:v>-34029000</c:v>
                </c:pt>
                <c:pt idx="13">
                  <c:v>-36071000</c:v>
                </c:pt>
                <c:pt idx="14">
                  <c:v>-38256000</c:v>
                </c:pt>
                <c:pt idx="15">
                  <c:v>-42807000</c:v>
                </c:pt>
                <c:pt idx="16">
                  <c:v>-28971000</c:v>
                </c:pt>
                <c:pt idx="17">
                  <c:v>-22059000</c:v>
                </c:pt>
                <c:pt idx="18">
                  <c:v>-19573000</c:v>
                </c:pt>
                <c:pt idx="19">
                  <c:v>-13286000</c:v>
                </c:pt>
              </c:numCache>
            </c:numRef>
          </c:val>
          <c:smooth val="0"/>
          <c:extLst>
            <c:ext xmlns:c16="http://schemas.microsoft.com/office/drawing/2014/chart" uri="{C3380CC4-5D6E-409C-BE32-E72D297353CC}">
              <c16:uniqueId val="{00000000-52BB-4AD4-8866-1756BCEC6B54}"/>
            </c:ext>
          </c:extLst>
        </c:ser>
        <c:ser>
          <c:idx val="1"/>
          <c:order val="1"/>
          <c:tx>
            <c:strRef>
              <c:f>'[EXCEL SUPPORTIVE DOCUMENT.xlsx]Sheet1'!$C$1</c:f>
              <c:strCache>
                <c:ptCount val="1"/>
                <c:pt idx="0">
                  <c:v> Interest Paid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strRef>
              <c:f>'[EXCEL SUPPORTIVE DOCUMENT.xlsx]Sheet1'!$A$2:$A$21</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'[EXCEL SUPPORTIVE DOCUMENT.xlsx]Sheet1'!$C$2:$C$21</c:f>
              <c:numCache>
                <c:formatCode>#,##0</c:formatCode>
                <c:ptCount val="20"/>
                <c:pt idx="0">
                  <c:v>-6100000</c:v>
                </c:pt>
                <c:pt idx="1">
                  <c:v>-5000000</c:v>
                </c:pt>
                <c:pt idx="2">
                  <c:v>-4000000</c:v>
                </c:pt>
                <c:pt idx="3">
                  <c:v>-11700000</c:v>
                </c:pt>
                <c:pt idx="4">
                  <c:v>-1700000</c:v>
                </c:pt>
                <c:pt idx="5">
                  <c:v>-2500000</c:v>
                </c:pt>
                <c:pt idx="6">
                  <c:v>-3300000</c:v>
                </c:pt>
                <c:pt idx="7">
                  <c:v>-2600000</c:v>
                </c:pt>
                <c:pt idx="8">
                  <c:v>-3200000</c:v>
                </c:pt>
                <c:pt idx="9">
                  <c:v>-10331000</c:v>
                </c:pt>
                <c:pt idx="10">
                  <c:v>-10707000</c:v>
                </c:pt>
                <c:pt idx="11">
                  <c:v>-7808000</c:v>
                </c:pt>
                <c:pt idx="12">
                  <c:v>-10196000</c:v>
                </c:pt>
                <c:pt idx="13">
                  <c:v>-6822000</c:v>
                </c:pt>
                <c:pt idx="14">
                  <c:v>-4682000</c:v>
                </c:pt>
                <c:pt idx="15">
                  <c:v>-1471000</c:v>
                </c:pt>
                <c:pt idx="16">
                  <c:v>-1614000</c:v>
                </c:pt>
                <c:pt idx="17">
                  <c:v>-1517000</c:v>
                </c:pt>
                <c:pt idx="18">
                  <c:v>-1351000</c:v>
                </c:pt>
                <c:pt idx="19">
                  <c:v>-1347000</c:v>
                </c:pt>
              </c:numCache>
            </c:numRef>
          </c:val>
          <c:smooth val="0"/>
          <c:extLst>
            <c:ext xmlns:c16="http://schemas.microsoft.com/office/drawing/2014/chart" uri="{C3380CC4-5D6E-409C-BE32-E72D297353CC}">
              <c16:uniqueId val="{00000001-52BB-4AD4-8866-1756BCEC6B54}"/>
            </c:ext>
          </c:extLst>
        </c:ser>
        <c:dLbls>
          <c:showLegendKey val="0"/>
          <c:showVal val="0"/>
          <c:showCatName val="0"/>
          <c:showSerName val="0"/>
          <c:showPercent val="0"/>
          <c:showBubbleSize val="0"/>
        </c:dLbls>
        <c:marker val="1"/>
        <c:smooth val="0"/>
        <c:axId val="1129846399"/>
        <c:axId val="1129822879"/>
      </c:lineChart>
      <c:catAx>
        <c:axId val="1129846399"/>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822879"/>
        <c:crosses val="autoZero"/>
        <c:auto val="1"/>
        <c:lblAlgn val="ctr"/>
        <c:lblOffset val="100"/>
        <c:noMultiLvlLbl val="0"/>
      </c:catAx>
      <c:valAx>
        <c:axId val="112982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Interest Paid</a:t>
                </a:r>
                <a:r>
                  <a:rPr lang="en-IN" baseline="0"/>
                  <a:t> in USD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84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Assets Turnover (USD)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74803933536186"/>
          <c:y val="0.15453309156844972"/>
          <c:w val="0.85258377690699338"/>
          <c:h val="0.59352553165668431"/>
        </c:manualLayout>
      </c:layout>
      <c:lineChart>
        <c:grouping val="stacked"/>
        <c:varyColors val="0"/>
        <c:ser>
          <c:idx val="0"/>
          <c:order val="0"/>
          <c:tx>
            <c:strRef>
              <c:f>'[ddm with graph.xlsx]Sheet1'!$G$89</c:f>
              <c:strCache>
                <c:ptCount val="1"/>
                <c:pt idx="0">
                  <c:v>Net Assets Turnover (x)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graph.xlsx]Sheet1'!$G$90:$G$109</c:f>
              <c:numCache>
                <c:formatCode>General</c:formatCode>
                <c:ptCount val="20"/>
                <c:pt idx="0">
                  <c:v>2.23</c:v>
                </c:pt>
                <c:pt idx="1">
                  <c:v>1.74</c:v>
                </c:pt>
                <c:pt idx="2">
                  <c:v>2.0499999999999998</c:v>
                </c:pt>
                <c:pt idx="3">
                  <c:v>1.89</c:v>
                </c:pt>
                <c:pt idx="4">
                  <c:v>1.87</c:v>
                </c:pt>
                <c:pt idx="5">
                  <c:v>3.11</c:v>
                </c:pt>
                <c:pt idx="6">
                  <c:v>2.86</c:v>
                </c:pt>
                <c:pt idx="7">
                  <c:v>2.69</c:v>
                </c:pt>
                <c:pt idx="8">
                  <c:v>3.82</c:v>
                </c:pt>
                <c:pt idx="9">
                  <c:v>3.87</c:v>
                </c:pt>
                <c:pt idx="10">
                  <c:v>3.72</c:v>
                </c:pt>
                <c:pt idx="11">
                  <c:v>2.0099999999999998</c:v>
                </c:pt>
                <c:pt idx="12">
                  <c:v>4.67</c:v>
                </c:pt>
                <c:pt idx="13">
                  <c:v>2.71</c:v>
                </c:pt>
                <c:pt idx="14">
                  <c:v>2.81</c:v>
                </c:pt>
                <c:pt idx="15">
                  <c:v>7.38</c:v>
                </c:pt>
                <c:pt idx="16">
                  <c:v>8.48</c:v>
                </c:pt>
                <c:pt idx="17">
                  <c:v>8.11</c:v>
                </c:pt>
                <c:pt idx="18">
                  <c:v>6.07</c:v>
                </c:pt>
                <c:pt idx="19">
                  <c:v>5.05</c:v>
                </c:pt>
              </c:numCache>
            </c:numRef>
          </c:val>
          <c:smooth val="0"/>
          <c:extLst>
            <c:ext xmlns:c16="http://schemas.microsoft.com/office/drawing/2014/chart" uri="{C3380CC4-5D6E-409C-BE32-E72D297353CC}">
              <c16:uniqueId val="{00000000-F421-4D85-B881-9B4FDB8CAD10}"/>
            </c:ext>
          </c:extLst>
        </c:ser>
        <c:dLbls>
          <c:showLegendKey val="0"/>
          <c:showVal val="0"/>
          <c:showCatName val="0"/>
          <c:showSerName val="0"/>
          <c:showPercent val="0"/>
          <c:showBubbleSize val="0"/>
        </c:dLbls>
        <c:marker val="1"/>
        <c:smooth val="0"/>
        <c:axId val="1171549760"/>
        <c:axId val="1171547360"/>
      </c:lineChart>
      <c:catAx>
        <c:axId val="117154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547360"/>
        <c:crosses val="autoZero"/>
        <c:auto val="1"/>
        <c:lblAlgn val="ctr"/>
        <c:lblOffset val="100"/>
        <c:noMultiLvlLbl val="0"/>
      </c:catAx>
      <c:valAx>
        <c:axId val="117154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Net Asset turnover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54976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'[ddm with graph.xlsx]Sheet1'!$B$89</c:f>
              <c:strCache>
                <c:ptCount val="1"/>
                <c:pt idx="0">
                  <c:v> Return on Shareholders Funds (%)</c:v>
                </c:pt>
              </c:strCache>
            </c:strRef>
          </c:tx>
          <c:spPr>
            <a:solidFill>
              <a:schemeClr val="accent1"/>
            </a:solidFill>
            <a:ln>
              <a:noFill/>
            </a:ln>
            <a:effectLst/>
          </c:spPr>
          <c:invertIfNegative val="0"/>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graph.xlsx]Sheet1'!$B$90:$B$109</c:f>
              <c:numCache>
                <c:formatCode>General</c:formatCode>
                <c:ptCount val="20"/>
                <c:pt idx="0">
                  <c:v>-10.1</c:v>
                </c:pt>
                <c:pt idx="1">
                  <c:v>-12.96</c:v>
                </c:pt>
                <c:pt idx="2">
                  <c:v>1.75</c:v>
                </c:pt>
                <c:pt idx="3">
                  <c:v>-16.86</c:v>
                </c:pt>
                <c:pt idx="4">
                  <c:v>4.17</c:v>
                </c:pt>
                <c:pt idx="5">
                  <c:v>-84.62</c:v>
                </c:pt>
                <c:pt idx="6">
                  <c:v>-6.94</c:v>
                </c:pt>
                <c:pt idx="7">
                  <c:v>-3.99</c:v>
                </c:pt>
                <c:pt idx="8">
                  <c:v>30.16</c:v>
                </c:pt>
                <c:pt idx="9">
                  <c:v>0.44</c:v>
                </c:pt>
                <c:pt idx="10">
                  <c:v>252.15</c:v>
                </c:pt>
                <c:pt idx="11">
                  <c:v>0</c:v>
                </c:pt>
                <c:pt idx="12">
                  <c:v>0</c:v>
                </c:pt>
                <c:pt idx="13">
                  <c:v>47.22</c:v>
                </c:pt>
                <c:pt idx="14">
                  <c:v>21.85</c:v>
                </c:pt>
                <c:pt idx="15">
                  <c:v>3.24</c:v>
                </c:pt>
                <c:pt idx="16">
                  <c:v>-193.55</c:v>
                </c:pt>
                <c:pt idx="17">
                  <c:v>-128.51</c:v>
                </c:pt>
                <c:pt idx="18">
                  <c:v>11.35</c:v>
                </c:pt>
                <c:pt idx="19">
                  <c:v>55.83</c:v>
                </c:pt>
              </c:numCache>
            </c:numRef>
          </c:val>
          <c:extLst>
            <c:ext xmlns:c16="http://schemas.microsoft.com/office/drawing/2014/chart" uri="{C3380CC4-5D6E-409C-BE32-E72D297353CC}">
              <c16:uniqueId val="{00000000-BB1A-473A-920C-75FD54249119}"/>
            </c:ext>
          </c:extLst>
        </c:ser>
        <c:dLbls>
          <c:showLegendKey val="0"/>
          <c:showVal val="0"/>
          <c:showCatName val="0"/>
          <c:showSerName val="0"/>
          <c:showPercent val="0"/>
          <c:showBubbleSize val="0"/>
        </c:dLbls>
        <c:gapWidth val="182"/>
        <c:axId val="1074204304"/>
        <c:axId val="1074206224"/>
      </c:barChart>
      <c:catAx>
        <c:axId val="1074204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206224"/>
        <c:crosses val="autoZero"/>
        <c:auto val="1"/>
        <c:lblAlgn val="ctr"/>
        <c:lblOffset val="100"/>
        <c:noMultiLvlLbl val="0"/>
      </c:catAx>
      <c:valAx>
        <c:axId val="107420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ROSF</a:t>
                </a:r>
                <a:r>
                  <a:rPr lang="en-IN" baseline="0"/>
                  <a:t> in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20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174879458266176E-2"/>
          <c:y val="0.27805200528867346"/>
          <c:w val="0.89743674021706643"/>
          <c:h val="0.64119300534766777"/>
        </c:manualLayout>
      </c:layout>
      <c:barChart>
        <c:barDir val="bar"/>
        <c:grouping val="clustered"/>
        <c:varyColors val="0"/>
        <c:ser>
          <c:idx val="0"/>
          <c:order val="0"/>
          <c:tx>
            <c:strRef>
              <c:f>'[ddm with graph.xlsx]Sheet1'!$C$89</c:f>
              <c:strCache>
                <c:ptCount val="1"/>
                <c:pt idx="0">
                  <c:v>Return on Capital Employed (%)</c:v>
                </c:pt>
              </c:strCache>
            </c:strRef>
          </c:tx>
          <c:spPr>
            <a:solidFill>
              <a:schemeClr val="accent1"/>
            </a:solidFill>
            <a:ln>
              <a:noFill/>
            </a:ln>
            <a:effectLst/>
          </c:spPr>
          <c:invertIfNegative val="0"/>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graph.xlsx]Sheet1'!$C$90:$C$109</c:f>
              <c:numCache>
                <c:formatCode>General</c:formatCode>
                <c:ptCount val="20"/>
                <c:pt idx="0">
                  <c:v>-2.79</c:v>
                </c:pt>
                <c:pt idx="1">
                  <c:v>-4.8899999999999997</c:v>
                </c:pt>
                <c:pt idx="2">
                  <c:v>0.89</c:v>
                </c:pt>
                <c:pt idx="3">
                  <c:v>-7.79</c:v>
                </c:pt>
                <c:pt idx="4">
                  <c:v>2.44</c:v>
                </c:pt>
                <c:pt idx="5">
                  <c:v>-20.6</c:v>
                </c:pt>
                <c:pt idx="6">
                  <c:v>-2.88</c:v>
                </c:pt>
                <c:pt idx="7">
                  <c:v>-1.95</c:v>
                </c:pt>
                <c:pt idx="8">
                  <c:v>3.81</c:v>
                </c:pt>
                <c:pt idx="9">
                  <c:v>0.05</c:v>
                </c:pt>
                <c:pt idx="10">
                  <c:v>21.1</c:v>
                </c:pt>
                <c:pt idx="11">
                  <c:v>-8.8800000000000008</c:v>
                </c:pt>
                <c:pt idx="12">
                  <c:v>-18.829999999999998</c:v>
                </c:pt>
                <c:pt idx="13">
                  <c:v>7.9</c:v>
                </c:pt>
                <c:pt idx="14">
                  <c:v>3.36</c:v>
                </c:pt>
                <c:pt idx="15">
                  <c:v>0.96</c:v>
                </c:pt>
                <c:pt idx="16">
                  <c:v>-64.98</c:v>
                </c:pt>
                <c:pt idx="17">
                  <c:v>-42.91</c:v>
                </c:pt>
                <c:pt idx="18">
                  <c:v>5.0999999999999996</c:v>
                </c:pt>
                <c:pt idx="19">
                  <c:v>23.53</c:v>
                </c:pt>
              </c:numCache>
            </c:numRef>
          </c:val>
          <c:extLst>
            <c:ext xmlns:c16="http://schemas.microsoft.com/office/drawing/2014/chart" uri="{C3380CC4-5D6E-409C-BE32-E72D297353CC}">
              <c16:uniqueId val="{00000000-F04A-4EE6-854C-EBCF7ADEE894}"/>
            </c:ext>
          </c:extLst>
        </c:ser>
        <c:dLbls>
          <c:showLegendKey val="0"/>
          <c:showVal val="0"/>
          <c:showCatName val="0"/>
          <c:showSerName val="0"/>
          <c:showPercent val="0"/>
          <c:showBubbleSize val="0"/>
        </c:dLbls>
        <c:gapWidth val="219"/>
        <c:axId val="1173566640"/>
        <c:axId val="1173570960"/>
      </c:barChart>
      <c:catAx>
        <c:axId val="11735666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570960"/>
        <c:crosses val="autoZero"/>
        <c:auto val="1"/>
        <c:lblAlgn val="ctr"/>
        <c:lblOffset val="100"/>
        <c:noMultiLvlLbl val="0"/>
      </c:catAx>
      <c:valAx>
        <c:axId val="117357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ROCE in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566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'[ddm with graph.xlsx]Sheet1'!$E$89</c:f>
              <c:strCache>
                <c:ptCount val="1"/>
                <c:pt idx="0">
                  <c:v>Profit margin (%)</c:v>
                </c:pt>
              </c:strCache>
            </c:strRef>
          </c:tx>
          <c:spPr>
            <a:solidFill>
              <a:schemeClr val="accent1"/>
            </a:solidFill>
            <a:ln>
              <a:noFill/>
            </a:ln>
            <a:effectLst/>
          </c:spPr>
          <c:invertIfNegative val="0"/>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graph.xlsx]Sheet1'!$E$90:$E$109</c:f>
              <c:numCache>
                <c:formatCode>General</c:formatCode>
                <c:ptCount val="20"/>
                <c:pt idx="0">
                  <c:v>-1.25</c:v>
                </c:pt>
                <c:pt idx="1">
                  <c:v>-2.81</c:v>
                </c:pt>
                <c:pt idx="2">
                  <c:v>0.43</c:v>
                </c:pt>
                <c:pt idx="3">
                  <c:v>-4.1100000000000003</c:v>
                </c:pt>
                <c:pt idx="4">
                  <c:v>1.31</c:v>
                </c:pt>
                <c:pt idx="5">
                  <c:v>-6.63</c:v>
                </c:pt>
                <c:pt idx="6">
                  <c:v>-1.01</c:v>
                </c:pt>
                <c:pt idx="7">
                  <c:v>-0.72</c:v>
                </c:pt>
                <c:pt idx="8">
                  <c:v>1</c:v>
                </c:pt>
                <c:pt idx="9">
                  <c:v>0.01</c:v>
                </c:pt>
                <c:pt idx="10">
                  <c:v>5.67</c:v>
                </c:pt>
                <c:pt idx="11">
                  <c:v>-4.41</c:v>
                </c:pt>
                <c:pt idx="12">
                  <c:v>-4.03</c:v>
                </c:pt>
                <c:pt idx="13">
                  <c:v>2.92</c:v>
                </c:pt>
                <c:pt idx="14">
                  <c:v>1.2</c:v>
                </c:pt>
                <c:pt idx="15">
                  <c:v>0.13</c:v>
                </c:pt>
                <c:pt idx="16">
                  <c:v>-7.67</c:v>
                </c:pt>
                <c:pt idx="17">
                  <c:v>-5.29</c:v>
                </c:pt>
                <c:pt idx="18">
                  <c:v>0.84</c:v>
                </c:pt>
                <c:pt idx="19">
                  <c:v>4.66</c:v>
                </c:pt>
              </c:numCache>
            </c:numRef>
          </c:val>
          <c:extLst>
            <c:ext xmlns:c16="http://schemas.microsoft.com/office/drawing/2014/chart" uri="{C3380CC4-5D6E-409C-BE32-E72D297353CC}">
              <c16:uniqueId val="{00000000-6009-479F-9FCB-F4B3DFAB30B3}"/>
            </c:ext>
          </c:extLst>
        </c:ser>
        <c:dLbls>
          <c:showLegendKey val="0"/>
          <c:showVal val="0"/>
          <c:showCatName val="0"/>
          <c:showSerName val="0"/>
          <c:showPercent val="0"/>
          <c:showBubbleSize val="0"/>
        </c:dLbls>
        <c:gapWidth val="219"/>
        <c:overlap val="-27"/>
        <c:axId val="1151894368"/>
        <c:axId val="1151894848"/>
      </c:barChart>
      <c:catAx>
        <c:axId val="11518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94848"/>
        <c:crosses val="autoZero"/>
        <c:auto val="1"/>
        <c:lblAlgn val="ctr"/>
        <c:lblOffset val="100"/>
        <c:noMultiLvlLbl val="0"/>
      </c:catAx>
      <c:valAx>
        <c:axId val="115189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Profit Margin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94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Ratio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'[ddm with graph.xlsx]Sheet1'!$H$89</c:f>
              <c:strCache>
                <c:ptCount val="1"/>
                <c:pt idx="0">
                  <c:v>Current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graph.xlsx]Sheet1'!$H$90:$H$109</c:f>
              <c:numCache>
                <c:formatCode>General</c:formatCode>
                <c:ptCount val="20"/>
                <c:pt idx="0">
                  <c:v>0.71</c:v>
                </c:pt>
                <c:pt idx="1">
                  <c:v>1.01</c:v>
                </c:pt>
                <c:pt idx="2">
                  <c:v>1.06</c:v>
                </c:pt>
                <c:pt idx="3">
                  <c:v>1.2</c:v>
                </c:pt>
                <c:pt idx="4">
                  <c:v>1.41</c:v>
                </c:pt>
                <c:pt idx="5">
                  <c:v>0.77</c:v>
                </c:pt>
                <c:pt idx="6">
                  <c:v>0.85</c:v>
                </c:pt>
                <c:pt idx="7">
                  <c:v>1.1200000000000001</c:v>
                </c:pt>
                <c:pt idx="8">
                  <c:v>1.05</c:v>
                </c:pt>
                <c:pt idx="9">
                  <c:v>1.01</c:v>
                </c:pt>
                <c:pt idx="10">
                  <c:v>0.91</c:v>
                </c:pt>
                <c:pt idx="11">
                  <c:v>1.22</c:v>
                </c:pt>
                <c:pt idx="12">
                  <c:v>0.75</c:v>
                </c:pt>
                <c:pt idx="13">
                  <c:v>0.91</c:v>
                </c:pt>
                <c:pt idx="14">
                  <c:v>0.89</c:v>
                </c:pt>
                <c:pt idx="15">
                  <c:v>0.87</c:v>
                </c:pt>
                <c:pt idx="16">
                  <c:v>0.94</c:v>
                </c:pt>
                <c:pt idx="17">
                  <c:v>0.88</c:v>
                </c:pt>
                <c:pt idx="18">
                  <c:v>0.86</c:v>
                </c:pt>
                <c:pt idx="19">
                  <c:v>0.83</c:v>
                </c:pt>
              </c:numCache>
            </c:numRef>
          </c:val>
          <c:smooth val="1"/>
          <c:extLst>
            <c:ext xmlns:c16="http://schemas.microsoft.com/office/drawing/2014/chart" uri="{C3380CC4-5D6E-409C-BE32-E72D297353CC}">
              <c16:uniqueId val="{00000000-FCD3-4FC2-A237-7F6D18DCB54D}"/>
            </c:ext>
          </c:extLst>
        </c:ser>
        <c:ser>
          <c:idx val="1"/>
          <c:order val="1"/>
          <c:tx>
            <c:strRef>
              <c:f>'[ddm with graph.xlsx]Sheet1'!$I$89</c:f>
              <c:strCache>
                <c:ptCount val="1"/>
                <c:pt idx="0">
                  <c:v> Liquidity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graph.xlsx]Sheet1'!$I$90:$I$109</c:f>
              <c:numCache>
                <c:formatCode>General</c:formatCode>
                <c:ptCount val="20"/>
                <c:pt idx="0">
                  <c:v>0.68</c:v>
                </c:pt>
                <c:pt idx="1">
                  <c:v>0.99</c:v>
                </c:pt>
                <c:pt idx="2">
                  <c:v>1.04</c:v>
                </c:pt>
                <c:pt idx="3">
                  <c:v>1.17</c:v>
                </c:pt>
                <c:pt idx="4">
                  <c:v>1.38</c:v>
                </c:pt>
                <c:pt idx="5">
                  <c:v>0.73</c:v>
                </c:pt>
                <c:pt idx="6">
                  <c:v>0.82</c:v>
                </c:pt>
                <c:pt idx="7">
                  <c:v>1.0900000000000001</c:v>
                </c:pt>
                <c:pt idx="8">
                  <c:v>1.02</c:v>
                </c:pt>
                <c:pt idx="9">
                  <c:v>0.97</c:v>
                </c:pt>
                <c:pt idx="10">
                  <c:v>0.87</c:v>
                </c:pt>
                <c:pt idx="11">
                  <c:v>1.18</c:v>
                </c:pt>
                <c:pt idx="12">
                  <c:v>0.7</c:v>
                </c:pt>
                <c:pt idx="13">
                  <c:v>0.86</c:v>
                </c:pt>
                <c:pt idx="14">
                  <c:v>0.83</c:v>
                </c:pt>
                <c:pt idx="15">
                  <c:v>0.77</c:v>
                </c:pt>
                <c:pt idx="16">
                  <c:v>0.84</c:v>
                </c:pt>
                <c:pt idx="17">
                  <c:v>0.8</c:v>
                </c:pt>
                <c:pt idx="18">
                  <c:v>0.77</c:v>
                </c:pt>
                <c:pt idx="19">
                  <c:v>0.73</c:v>
                </c:pt>
              </c:numCache>
            </c:numRef>
          </c:val>
          <c:smooth val="1"/>
          <c:extLst>
            <c:ext xmlns:c16="http://schemas.microsoft.com/office/drawing/2014/chart" uri="{C3380CC4-5D6E-409C-BE32-E72D297353CC}">
              <c16:uniqueId val="{00000001-FCD3-4FC2-A237-7F6D18DCB54D}"/>
            </c:ext>
          </c:extLst>
        </c:ser>
        <c:ser>
          <c:idx val="2"/>
          <c:order val="2"/>
          <c:tx>
            <c:strRef>
              <c:f>'[ddm with graph.xlsx]Sheet1'!$J$89</c:f>
              <c:strCache>
                <c:ptCount val="1"/>
                <c:pt idx="0">
                  <c:v> Shareholders liquidity ratio (x)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graph.xlsx]Sheet1'!$J$90:$J$109</c:f>
              <c:numCache>
                <c:formatCode>General</c:formatCode>
                <c:ptCount val="20"/>
                <c:pt idx="0">
                  <c:v>0.38</c:v>
                </c:pt>
                <c:pt idx="1">
                  <c:v>0.61</c:v>
                </c:pt>
                <c:pt idx="2">
                  <c:v>1.03</c:v>
                </c:pt>
                <c:pt idx="3">
                  <c:v>0.86</c:v>
                </c:pt>
                <c:pt idx="4">
                  <c:v>1.41</c:v>
                </c:pt>
                <c:pt idx="5">
                  <c:v>0.32</c:v>
                </c:pt>
                <c:pt idx="6">
                  <c:v>0.71</c:v>
                </c:pt>
                <c:pt idx="7">
                  <c:v>0.95</c:v>
                </c:pt>
                <c:pt idx="8">
                  <c:v>0.14000000000000001</c:v>
                </c:pt>
                <c:pt idx="9">
                  <c:v>0.13</c:v>
                </c:pt>
                <c:pt idx="10">
                  <c:v>0.09</c:v>
                </c:pt>
                <c:pt idx="11">
                  <c:v>-0.12</c:v>
                </c:pt>
                <c:pt idx="12">
                  <c:v>-0.17</c:v>
                </c:pt>
                <c:pt idx="13">
                  <c:v>0.2</c:v>
                </c:pt>
                <c:pt idx="14">
                  <c:v>0.18</c:v>
                </c:pt>
                <c:pt idx="15">
                  <c:v>0.42</c:v>
                </c:pt>
                <c:pt idx="16">
                  <c:v>0.51</c:v>
                </c:pt>
                <c:pt idx="17">
                  <c:v>0.5</c:v>
                </c:pt>
                <c:pt idx="18">
                  <c:v>0.81</c:v>
                </c:pt>
                <c:pt idx="19">
                  <c:v>0.73</c:v>
                </c:pt>
              </c:numCache>
            </c:numRef>
          </c:val>
          <c:smooth val="1"/>
          <c:extLst>
            <c:ext xmlns:c16="http://schemas.microsoft.com/office/drawing/2014/chart" uri="{C3380CC4-5D6E-409C-BE32-E72D297353CC}">
              <c16:uniqueId val="{00000002-FCD3-4FC2-A237-7F6D18DCB54D}"/>
            </c:ext>
          </c:extLst>
        </c:ser>
        <c:dLbls>
          <c:showLegendKey val="0"/>
          <c:showVal val="0"/>
          <c:showCatName val="0"/>
          <c:showSerName val="0"/>
          <c:showPercent val="0"/>
          <c:showBubbleSize val="0"/>
        </c:dLbls>
        <c:marker val="1"/>
        <c:smooth val="0"/>
        <c:axId val="1077989728"/>
        <c:axId val="1077991168"/>
      </c:lineChart>
      <c:catAx>
        <c:axId val="1077989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991168"/>
        <c:crosses val="autoZero"/>
        <c:auto val="1"/>
        <c:lblAlgn val="ctr"/>
        <c:lblOffset val="100"/>
        <c:noMultiLvlLbl val="0"/>
      </c:catAx>
      <c:valAx>
        <c:axId val="107799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9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baseline="0">
                <a:solidFill>
                  <a:sysClr val="windowText" lastClr="000000">
                    <a:lumMod val="65000"/>
                    <a:lumOff val="35000"/>
                  </a:sysClr>
                </a:solidFill>
              </a:rPr>
              <a:t>Solvency Ratio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'[ddm with graph.xlsx]Sheet1'!$K$89</c:f>
              <c:strCache>
                <c:ptCount val="1"/>
                <c:pt idx="0">
                  <c:v> Solvency ratio (Asset based)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graph.xlsx]Sheet1'!$K$90:$K$109</c:f>
              <c:numCache>
                <c:formatCode>General</c:formatCode>
                <c:ptCount val="20"/>
                <c:pt idx="0">
                  <c:v>15.22</c:v>
                </c:pt>
                <c:pt idx="1">
                  <c:v>23.27</c:v>
                </c:pt>
                <c:pt idx="2">
                  <c:v>27.11</c:v>
                </c:pt>
                <c:pt idx="3">
                  <c:v>24.99</c:v>
                </c:pt>
                <c:pt idx="4">
                  <c:v>35.42</c:v>
                </c:pt>
                <c:pt idx="5">
                  <c:v>11.85</c:v>
                </c:pt>
                <c:pt idx="6">
                  <c:v>21.53</c:v>
                </c:pt>
                <c:pt idx="7">
                  <c:v>26.06</c:v>
                </c:pt>
                <c:pt idx="8">
                  <c:v>6.04</c:v>
                </c:pt>
                <c:pt idx="9">
                  <c:v>5.03</c:v>
                </c:pt>
                <c:pt idx="10">
                  <c:v>3.6</c:v>
                </c:pt>
                <c:pt idx="11">
                  <c:v>-6.53</c:v>
                </c:pt>
                <c:pt idx="12">
                  <c:v>-6.95</c:v>
                </c:pt>
                <c:pt idx="13">
                  <c:v>7.46</c:v>
                </c:pt>
                <c:pt idx="14">
                  <c:v>7.72</c:v>
                </c:pt>
                <c:pt idx="15">
                  <c:v>9.0500000000000007</c:v>
                </c:pt>
                <c:pt idx="16">
                  <c:v>10.7</c:v>
                </c:pt>
                <c:pt idx="17">
                  <c:v>9.64</c:v>
                </c:pt>
                <c:pt idx="18">
                  <c:v>18.7</c:v>
                </c:pt>
                <c:pt idx="19">
                  <c:v>19.5</c:v>
                </c:pt>
              </c:numCache>
            </c:numRef>
          </c:val>
          <c:smooth val="0"/>
          <c:extLst>
            <c:ext xmlns:c16="http://schemas.microsoft.com/office/drawing/2014/chart" uri="{C3380CC4-5D6E-409C-BE32-E72D297353CC}">
              <c16:uniqueId val="{00000000-4DA4-41BD-A313-71DD9C4F8181}"/>
            </c:ext>
          </c:extLst>
        </c:ser>
        <c:ser>
          <c:idx val="1"/>
          <c:order val="1"/>
          <c:tx>
            <c:strRef>
              <c:f>'[ddm with graph.xlsx]Sheet1'!$L$89</c:f>
              <c:strCache>
                <c:ptCount val="1"/>
                <c:pt idx="0">
                  <c:v>Solvency ratio (Liability based)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2.8617961401586092E-2"/>
                  <c:y val="-0.3586296083850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graph.xlsx]Sheet1'!$L$90:$L$109</c:f>
              <c:numCache>
                <c:formatCode>General</c:formatCode>
                <c:ptCount val="20"/>
                <c:pt idx="0">
                  <c:v>17.95</c:v>
                </c:pt>
                <c:pt idx="1">
                  <c:v>30.33</c:v>
                </c:pt>
                <c:pt idx="2">
                  <c:v>37.200000000000003</c:v>
                </c:pt>
                <c:pt idx="3">
                  <c:v>33.31</c:v>
                </c:pt>
                <c:pt idx="4">
                  <c:v>54.85</c:v>
                </c:pt>
                <c:pt idx="5">
                  <c:v>13.45</c:v>
                </c:pt>
                <c:pt idx="6">
                  <c:v>27.43</c:v>
                </c:pt>
                <c:pt idx="7">
                  <c:v>35.24</c:v>
                </c:pt>
                <c:pt idx="8">
                  <c:v>6.43</c:v>
                </c:pt>
                <c:pt idx="9">
                  <c:v>5.3</c:v>
                </c:pt>
                <c:pt idx="10">
                  <c:v>3.73</c:v>
                </c:pt>
                <c:pt idx="11">
                  <c:v>0</c:v>
                </c:pt>
                <c:pt idx="12">
                  <c:v>0</c:v>
                </c:pt>
                <c:pt idx="13">
                  <c:v>8.06</c:v>
                </c:pt>
                <c:pt idx="14">
                  <c:v>8.3699999999999992</c:v>
                </c:pt>
                <c:pt idx="15">
                  <c:v>9.9499999999999993</c:v>
                </c:pt>
                <c:pt idx="16">
                  <c:v>11.99</c:v>
                </c:pt>
                <c:pt idx="17">
                  <c:v>10.67</c:v>
                </c:pt>
                <c:pt idx="18">
                  <c:v>23.01</c:v>
                </c:pt>
                <c:pt idx="19">
                  <c:v>24.22</c:v>
                </c:pt>
              </c:numCache>
            </c:numRef>
          </c:val>
          <c:smooth val="0"/>
          <c:extLst>
            <c:ext xmlns:c16="http://schemas.microsoft.com/office/drawing/2014/chart" uri="{C3380CC4-5D6E-409C-BE32-E72D297353CC}">
              <c16:uniqueId val="{00000002-4DA4-41BD-A313-71DD9C4F8181}"/>
            </c:ext>
          </c:extLst>
        </c:ser>
        <c:dLbls>
          <c:showLegendKey val="0"/>
          <c:showVal val="0"/>
          <c:showCatName val="0"/>
          <c:showSerName val="0"/>
          <c:showPercent val="0"/>
          <c:showBubbleSize val="0"/>
        </c:dLbls>
        <c:marker val="1"/>
        <c:smooth val="0"/>
        <c:axId val="1206911104"/>
        <c:axId val="1206911584"/>
      </c:lineChart>
      <c:catAx>
        <c:axId val="12069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911584"/>
        <c:crosses val="autoZero"/>
        <c:auto val="1"/>
        <c:lblAlgn val="ctr"/>
        <c:lblOffset val="100"/>
        <c:noMultiLvlLbl val="0"/>
      </c:catAx>
      <c:valAx>
        <c:axId val="120691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Solvency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91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income  1999-2018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'[ddm with graph.xlsx]Sheet1'!$B$31</c:f>
              <c:strCache>
                <c:ptCount val="1"/>
                <c:pt idx="0">
                  <c:v>Net income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'[ddm with graph.xlsx]Sheet1'!$A$32:$A$51</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graph.xlsx]Sheet1'!$B$32:$B$51</c:f>
              <c:numCache>
                <c:formatCode>#,##0</c:formatCode>
                <c:ptCount val="20"/>
                <c:pt idx="0">
                  <c:v>-9400000</c:v>
                </c:pt>
                <c:pt idx="1">
                  <c:v>-26700000</c:v>
                </c:pt>
                <c:pt idx="2">
                  <c:v>6800000</c:v>
                </c:pt>
                <c:pt idx="3">
                  <c:v>-35700000</c:v>
                </c:pt>
                <c:pt idx="4">
                  <c:v>8100000</c:v>
                </c:pt>
                <c:pt idx="5">
                  <c:v>-41800000</c:v>
                </c:pt>
                <c:pt idx="6">
                  <c:v>-6400000</c:v>
                </c:pt>
                <c:pt idx="7">
                  <c:v>3800000</c:v>
                </c:pt>
                <c:pt idx="8">
                  <c:v>6700000</c:v>
                </c:pt>
                <c:pt idx="9">
                  <c:v>4149000</c:v>
                </c:pt>
                <c:pt idx="10">
                  <c:v>34854000</c:v>
                </c:pt>
                <c:pt idx="11">
                  <c:v>-19891000</c:v>
                </c:pt>
                <c:pt idx="12">
                  <c:v>-7936000</c:v>
                </c:pt>
                <c:pt idx="13">
                  <c:v>12421000</c:v>
                </c:pt>
                <c:pt idx="14">
                  <c:v>4054000</c:v>
                </c:pt>
                <c:pt idx="15">
                  <c:v>285000</c:v>
                </c:pt>
                <c:pt idx="16">
                  <c:v>-16946000</c:v>
                </c:pt>
                <c:pt idx="17">
                  <c:v>-10147000</c:v>
                </c:pt>
                <c:pt idx="18">
                  <c:v>1001000</c:v>
                </c:pt>
                <c:pt idx="19">
                  <c:v>6332000</c:v>
                </c:pt>
              </c:numCache>
            </c:numRef>
          </c:val>
          <c:smooth val="0"/>
          <c:extLst>
            <c:ext xmlns:c16="http://schemas.microsoft.com/office/drawing/2014/chart" uri="{C3380CC4-5D6E-409C-BE32-E72D297353CC}">
              <c16:uniqueId val="{00000000-1D99-42C7-8DCB-7686AA64F2BB}"/>
            </c:ext>
          </c:extLst>
        </c:ser>
        <c:dLbls>
          <c:showLegendKey val="0"/>
          <c:showVal val="0"/>
          <c:showCatName val="0"/>
          <c:showSerName val="0"/>
          <c:showPercent val="0"/>
          <c:showBubbleSize val="0"/>
        </c:dLbls>
        <c:marker val="1"/>
        <c:smooth val="0"/>
        <c:axId val="1161343600"/>
        <c:axId val="1161344080"/>
      </c:lineChart>
      <c:catAx>
        <c:axId val="116134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ln>
                  <a:solidFill>
                    <a:schemeClr val="tx1">
                      <a:lumMod val="95000"/>
                      <a:lumOff val="5000"/>
                    </a:schemeClr>
                  </a:solidFill>
                </a:ln>
                <a:solidFill>
                  <a:schemeClr val="tx1">
                    <a:lumMod val="65000"/>
                    <a:lumOff val="35000"/>
                  </a:schemeClr>
                </a:solidFill>
                <a:latin typeface="+mn-lt"/>
                <a:ea typeface="+mn-ea"/>
                <a:cs typeface="+mn-cs"/>
              </a:defRPr>
            </a:pPr>
            <a:endParaRPr lang="en-US"/>
          </a:p>
        </c:txPr>
        <c:crossAx val="1161344080"/>
        <c:crosses val="autoZero"/>
        <c:auto val="1"/>
        <c:lblAlgn val="ctr"/>
        <c:lblOffset val="100"/>
        <c:noMultiLvlLbl val="0"/>
      </c:catAx>
      <c:valAx>
        <c:axId val="116134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Net</a:t>
                </a:r>
                <a:r>
                  <a:rPr lang="en-IN" baseline="0"/>
                  <a:t> Income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4360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'[ddm with graph.xlsx]Sheet1'!$F$89</c:f>
              <c:strCache>
                <c:ptCount val="1"/>
                <c:pt idx="0">
                  <c:v> EBIT margin (%)</c:v>
                </c:pt>
              </c:strCache>
            </c:strRef>
          </c:tx>
          <c:spPr>
            <a:ln w="28575" cap="rnd">
              <a:solidFill>
                <a:schemeClr val="accent1"/>
              </a:solidFill>
              <a:round/>
            </a:ln>
            <a:effectLst/>
          </c:spPr>
          <c:marker>
            <c:symbol val="none"/>
          </c:marker>
          <c:cat>
            <c:strRef>
              <c:f>'[ddm with graph.xlsx]Sheet1'!$A$90:$A$109</c:f>
              <c:strCache>
                <c:ptCount val="20"/>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pt idx="15">
                  <c:v>2003</c:v>
                </c:pt>
                <c:pt idx="16">
                  <c:v>2002</c:v>
                </c:pt>
                <c:pt idx="17">
                  <c:v>2001</c:v>
                </c:pt>
                <c:pt idx="18">
                  <c:v>2000</c:v>
                </c:pt>
                <c:pt idx="19">
                  <c:v>1999</c:v>
                </c:pt>
              </c:strCache>
            </c:strRef>
          </c:cat>
          <c:val>
            <c:numRef>
              <c:f>'[ddm with graph.xlsx]Sheet1'!$F$90:$F$109</c:f>
              <c:numCache>
                <c:formatCode>General</c:formatCode>
                <c:ptCount val="20"/>
                <c:pt idx="0">
                  <c:v>-1.97</c:v>
                </c:pt>
                <c:pt idx="1">
                  <c:v>-0.34</c:v>
                </c:pt>
                <c:pt idx="2">
                  <c:v>1.39</c:v>
                </c:pt>
                <c:pt idx="3">
                  <c:v>-2.21</c:v>
                </c:pt>
                <c:pt idx="4">
                  <c:v>0.13</c:v>
                </c:pt>
                <c:pt idx="5">
                  <c:v>-5.58</c:v>
                </c:pt>
                <c:pt idx="6">
                  <c:v>-0.8</c:v>
                </c:pt>
                <c:pt idx="7">
                  <c:v>-0.15</c:v>
                </c:pt>
                <c:pt idx="8">
                  <c:v>1.44</c:v>
                </c:pt>
                <c:pt idx="9">
                  <c:v>1.37</c:v>
                </c:pt>
                <c:pt idx="10">
                  <c:v>5.84</c:v>
                </c:pt>
                <c:pt idx="11">
                  <c:v>1.39</c:v>
                </c:pt>
                <c:pt idx="12">
                  <c:v>-1.03</c:v>
                </c:pt>
                <c:pt idx="13">
                  <c:v>4.5999999999999996</c:v>
                </c:pt>
                <c:pt idx="14">
                  <c:v>-4.0199999999999996</c:v>
                </c:pt>
                <c:pt idx="15">
                  <c:v>-2.38</c:v>
                </c:pt>
                <c:pt idx="16">
                  <c:v>-9.84</c:v>
                </c:pt>
                <c:pt idx="17">
                  <c:v>-4.3099999999999996</c:v>
                </c:pt>
                <c:pt idx="18">
                  <c:v>1.3</c:v>
                </c:pt>
                <c:pt idx="19">
                  <c:v>5.07</c:v>
                </c:pt>
              </c:numCache>
            </c:numRef>
          </c:val>
          <c:smooth val="0"/>
          <c:extLst>
            <c:ext xmlns:c16="http://schemas.microsoft.com/office/drawing/2014/chart" uri="{C3380CC4-5D6E-409C-BE32-E72D297353CC}">
              <c16:uniqueId val="{00000000-CBB8-4B2B-B9F8-33A3C6F23342}"/>
            </c:ext>
          </c:extLst>
        </c:ser>
        <c:dLbls>
          <c:showLegendKey val="0"/>
          <c:showVal val="0"/>
          <c:showCatName val="0"/>
          <c:showSerName val="0"/>
          <c:showPercent val="0"/>
          <c:showBubbleSize val="0"/>
        </c:dLbls>
        <c:smooth val="0"/>
        <c:axId val="1278385072"/>
        <c:axId val="1278383152"/>
      </c:lineChart>
      <c:catAx>
        <c:axId val="127838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83152"/>
        <c:crosses val="autoZero"/>
        <c:auto val="1"/>
        <c:lblAlgn val="ctr"/>
        <c:lblOffset val="100"/>
        <c:noMultiLvlLbl val="0"/>
      </c:catAx>
      <c:valAx>
        <c:axId val="127838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EBIT margin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8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A193AC-EFCA-4021-9C13-15DD7EF0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28</Pages>
  <Words>3865</Words>
  <Characters>24787</Characters>
  <Application>Microsoft Office Word</Application>
  <DocSecurity>0</DocSecurity>
  <Lines>659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raj</dc:creator>
  <cp:keywords/>
  <dc:description/>
  <cp:lastModifiedBy>aswathymattathu@outlook.com</cp:lastModifiedBy>
  <cp:revision>381</cp:revision>
  <dcterms:created xsi:type="dcterms:W3CDTF">2024-05-06T11:47:00Z</dcterms:created>
  <dcterms:modified xsi:type="dcterms:W3CDTF">2024-05-10T20:01:00Z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c552e943-908e-46a3-bc74-3846da644ca7</vt:lpwstr>
  </property>
</Properties>
</file>