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FE1E0F" w14:textId="77777777" w:rsidR="002E6313" w:rsidRPr="002E6313" w:rsidRDefault="002E6313" w:rsidP="002E631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6313">
        <w:rPr>
          <w:rFonts w:ascii="Times New Roman" w:eastAsia="Times New Roman" w:hAnsi="Times New Roman" w:cs="Times New Roman"/>
          <w:b/>
          <w:bCs/>
          <w:kern w:val="0"/>
          <w:lang w:eastAsia="en-GB"/>
          <w14:ligatures w14:val="none"/>
        </w:rPr>
        <w:t>Resolve all participant-number inconsistencies first.</w:t>
      </w:r>
      <w:r w:rsidRPr="002E6313">
        <w:rPr>
          <w:rFonts w:ascii="Times New Roman" w:eastAsia="Times New Roman" w:hAnsi="Times New Roman" w:cs="Times New Roman"/>
          <w:kern w:val="0"/>
          <w:lang w:eastAsia="en-GB"/>
          <w14:ligatures w14:val="none"/>
        </w:rPr>
        <w:t xml:space="preserve"> Reconcile the stated human cohort size (previously N=91) with the new analysis tables showing up to N=119–120 at T0, and do the same for the mouse dataset. Create a clear subject-flow table with N per assessment and time point.</w:t>
      </w:r>
    </w:p>
    <w:p w14:paraId="0CD3CE24" w14:textId="77777777" w:rsidR="002E6313" w:rsidRPr="002E6313" w:rsidRDefault="002E6313" w:rsidP="002E631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6313">
        <w:rPr>
          <w:rFonts w:ascii="Times New Roman" w:eastAsia="Times New Roman" w:hAnsi="Times New Roman" w:cs="Times New Roman"/>
          <w:b/>
          <w:bCs/>
          <w:kern w:val="0"/>
          <w:lang w:eastAsia="en-GB"/>
          <w14:ligatures w14:val="none"/>
        </w:rPr>
        <w:t>Finalize the uncoupled longitudinal models.</w:t>
      </w:r>
      <w:r w:rsidRPr="002E6313">
        <w:rPr>
          <w:rFonts w:ascii="Times New Roman" w:eastAsia="Times New Roman" w:hAnsi="Times New Roman" w:cs="Times New Roman"/>
          <w:kern w:val="0"/>
          <w:lang w:eastAsia="en-GB"/>
          <w14:ligatures w14:val="none"/>
        </w:rPr>
        <w:t xml:space="preserve"> Use raw scores, not change scores. Keep baseline deficit continuous and test </w:t>
      </w:r>
      <w:r w:rsidRPr="002E6313">
        <w:rPr>
          <w:rFonts w:ascii="Times New Roman" w:eastAsia="Times New Roman" w:hAnsi="Times New Roman" w:cs="Times New Roman"/>
          <w:b/>
          <w:bCs/>
          <w:kern w:val="0"/>
          <w:lang w:eastAsia="en-GB"/>
          <w14:ligatures w14:val="none"/>
        </w:rPr>
        <w:t>Time × Baseline</w:t>
      </w:r>
      <w:r w:rsidRPr="002E6313">
        <w:rPr>
          <w:rFonts w:ascii="Times New Roman" w:eastAsia="Times New Roman" w:hAnsi="Times New Roman" w:cs="Times New Roman"/>
          <w:kern w:val="0"/>
          <w:lang w:eastAsia="en-GB"/>
          <w14:ligatures w14:val="none"/>
        </w:rPr>
        <w:t xml:space="preserve"> for each assessment. Make sure Figure 4 and Table 3 are generated from the same final model, not from a prototype GEE.</w:t>
      </w:r>
    </w:p>
    <w:p w14:paraId="3497E065" w14:textId="77777777" w:rsidR="002E6313" w:rsidRPr="002E6313" w:rsidRDefault="002E6313" w:rsidP="002E631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6313">
        <w:rPr>
          <w:rFonts w:ascii="Times New Roman" w:eastAsia="Times New Roman" w:hAnsi="Times New Roman" w:cs="Times New Roman"/>
          <w:b/>
          <w:bCs/>
          <w:kern w:val="0"/>
          <w:lang w:eastAsia="en-GB"/>
          <w14:ligatures w14:val="none"/>
        </w:rPr>
        <w:t>Repeat the baseline-moderation analysis in the floor/ceiling sensitivity analyses.</w:t>
      </w:r>
      <w:r w:rsidRPr="002E6313">
        <w:rPr>
          <w:rFonts w:ascii="Times New Roman" w:eastAsia="Times New Roman" w:hAnsi="Times New Roman" w:cs="Times New Roman"/>
          <w:kern w:val="0"/>
          <w:lang w:eastAsia="en-GB"/>
          <w14:ligatures w14:val="none"/>
        </w:rPr>
        <w:t xml:space="preserve"> At present the report shows that the overall time effect remains significant after removing boundary cases, but the reviewer’s main concern is whether </w:t>
      </w:r>
      <w:r w:rsidRPr="002E6313">
        <w:rPr>
          <w:rFonts w:ascii="Times New Roman" w:eastAsia="Times New Roman" w:hAnsi="Times New Roman" w:cs="Times New Roman"/>
          <w:b/>
          <w:bCs/>
          <w:kern w:val="0"/>
          <w:lang w:eastAsia="en-GB"/>
          <w14:ligatures w14:val="none"/>
        </w:rPr>
        <w:t>Time × Baseline</w:t>
      </w:r>
      <w:r w:rsidRPr="002E6313">
        <w:rPr>
          <w:rFonts w:ascii="Times New Roman" w:eastAsia="Times New Roman" w:hAnsi="Times New Roman" w:cs="Times New Roman"/>
          <w:kern w:val="0"/>
          <w:lang w:eastAsia="en-GB"/>
          <w14:ligatures w14:val="none"/>
        </w:rPr>
        <w:t xml:space="preserve"> changes after excluding baseline-boundary participants or boundary observations. </w:t>
      </w:r>
    </w:p>
    <w:p w14:paraId="41885EB2" w14:textId="77777777" w:rsidR="002E6313" w:rsidRPr="002E6313" w:rsidRDefault="002E6313" w:rsidP="002E631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6313">
        <w:rPr>
          <w:rFonts w:ascii="Times New Roman" w:eastAsia="Times New Roman" w:hAnsi="Times New Roman" w:cs="Times New Roman"/>
          <w:b/>
          <w:bCs/>
          <w:kern w:val="0"/>
          <w:lang w:eastAsia="en-GB"/>
          <w14:ligatures w14:val="none"/>
        </w:rPr>
        <w:t>Audit the theoretical scale ranges and scoring.</w:t>
      </w:r>
      <w:r w:rsidRPr="002E6313">
        <w:rPr>
          <w:rFonts w:ascii="Times New Roman" w:eastAsia="Times New Roman" w:hAnsi="Times New Roman" w:cs="Times New Roman"/>
          <w:kern w:val="0"/>
          <w:lang w:eastAsia="en-GB"/>
          <w14:ligatures w14:val="none"/>
        </w:rPr>
        <w:t xml:space="preserve"> Especially verify the FM-UE and FM-LE maxima used for the floor/ceiling analysis and investigate the 2 FM-LE values above the documented maximum.</w:t>
      </w:r>
    </w:p>
    <w:p w14:paraId="27A59F5B" w14:textId="77777777" w:rsidR="002E6313" w:rsidRPr="002E6313" w:rsidRDefault="002E6313" w:rsidP="002E631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6313">
        <w:rPr>
          <w:rFonts w:ascii="Times New Roman" w:eastAsia="Times New Roman" w:hAnsi="Times New Roman" w:cs="Times New Roman"/>
          <w:b/>
          <w:bCs/>
          <w:kern w:val="0"/>
          <w:lang w:eastAsia="en-GB"/>
          <w14:ligatures w14:val="none"/>
        </w:rPr>
        <w:t>Retain and formalize the individual recovery-trajectory phenotypes.</w:t>
      </w:r>
      <w:r w:rsidRPr="002E6313">
        <w:rPr>
          <w:rFonts w:ascii="Times New Roman" w:eastAsia="Times New Roman" w:hAnsi="Times New Roman" w:cs="Times New Roman"/>
          <w:kern w:val="0"/>
          <w:lang w:eastAsia="en-GB"/>
          <w14:ligatures w14:val="none"/>
        </w:rPr>
        <w:t xml:space="preserve"> Keep categories such as steady recovery, early recovery with later decline, late recovery after early decline, and steady decline as descriptive longitudinal phenotypes, but define what constitutes meaningful improvement/decline. Ideally use MCID/MDC where available rather than any numerical change.</w:t>
      </w:r>
    </w:p>
    <w:p w14:paraId="17DF2946" w14:textId="77777777" w:rsidR="002E6313" w:rsidRPr="002E6313" w:rsidRDefault="002E6313" w:rsidP="002E631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6313">
        <w:rPr>
          <w:rFonts w:ascii="Times New Roman" w:eastAsia="Times New Roman" w:hAnsi="Times New Roman" w:cs="Times New Roman"/>
          <w:b/>
          <w:bCs/>
          <w:kern w:val="0"/>
          <w:lang w:eastAsia="en-GB"/>
          <w14:ligatures w14:val="none"/>
        </w:rPr>
        <w:t>Quantify which assessment best discriminates trajectory heterogeneity.</w:t>
      </w:r>
      <w:r w:rsidRPr="002E6313">
        <w:rPr>
          <w:rFonts w:ascii="Times New Roman" w:eastAsia="Times New Roman" w:hAnsi="Times New Roman" w:cs="Times New Roman"/>
          <w:kern w:val="0"/>
          <w:lang w:eastAsia="en-GB"/>
          <w14:ligatures w14:val="none"/>
        </w:rPr>
        <w:t xml:space="preserve"> Go beyond counting categories. Compare, for example, the proportion of non-steady trajectories detected by each scale, agreement across scales, and possibly responsiveness/standardized change. This is the analysis that supports the manuscript’s key clinical message that repeated FM assessment may be more informative for detecting atypical motor recovery.</w:t>
      </w:r>
    </w:p>
    <w:p w14:paraId="673F1348" w14:textId="77777777" w:rsidR="002E6313" w:rsidRPr="002E6313" w:rsidRDefault="002E6313" w:rsidP="002E631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6313">
        <w:rPr>
          <w:rFonts w:ascii="Times New Roman" w:eastAsia="Times New Roman" w:hAnsi="Times New Roman" w:cs="Times New Roman"/>
          <w:b/>
          <w:bCs/>
          <w:kern w:val="0"/>
          <w:lang w:eastAsia="en-GB"/>
          <w14:ligatures w14:val="none"/>
        </w:rPr>
        <w:t>Analyze the role of acute deficit in those trajectory phenotypes without dichotomization.</w:t>
      </w:r>
      <w:r w:rsidRPr="002E6313">
        <w:rPr>
          <w:rFonts w:ascii="Times New Roman" w:eastAsia="Times New Roman" w:hAnsi="Times New Roman" w:cs="Times New Roman"/>
          <w:kern w:val="0"/>
          <w:lang w:eastAsia="en-GB"/>
          <w14:ligatures w14:val="none"/>
        </w:rPr>
        <w:t xml:space="preserve"> Instead of k-means low/high groups, test whether continuous T0 severity is associated with the probability of a non-steady trajectory. A logistic or multinomial model could be used if numbers permit; otherwise keep this exploratory.</w:t>
      </w:r>
    </w:p>
    <w:p w14:paraId="79D39B7A" w14:textId="77777777" w:rsidR="002E6313" w:rsidRPr="002E6313" w:rsidRDefault="002E6313" w:rsidP="002E631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6313">
        <w:rPr>
          <w:rFonts w:ascii="Times New Roman" w:eastAsia="Times New Roman" w:hAnsi="Times New Roman" w:cs="Times New Roman"/>
          <w:b/>
          <w:bCs/>
          <w:kern w:val="0"/>
          <w:lang w:eastAsia="en-GB"/>
          <w14:ligatures w14:val="none"/>
        </w:rPr>
        <w:t>Keep the distinction between trajectory sensitivity and baseline-dependent prognosis explicit.</w:t>
      </w:r>
      <w:r w:rsidRPr="002E6313">
        <w:rPr>
          <w:rFonts w:ascii="Times New Roman" w:eastAsia="Times New Roman" w:hAnsi="Times New Roman" w:cs="Times New Roman"/>
          <w:kern w:val="0"/>
          <w:lang w:eastAsia="en-GB"/>
          <w14:ligatures w14:val="none"/>
        </w:rPr>
        <w:t xml:space="preserve"> The current Table 3 suggests NIHSS has the strongest corrected Time × Baseline interaction, while FM-UE/FM-LE may still be more informative for distinguishing individual motor trajectory phenotypes. These are different questions and should be analyzed and reported separately. </w:t>
      </w:r>
    </w:p>
    <w:p w14:paraId="46008DDB" w14:textId="77777777" w:rsidR="002E6313" w:rsidRPr="002E6313" w:rsidRDefault="002E6313" w:rsidP="002E631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6313">
        <w:rPr>
          <w:rFonts w:ascii="Times New Roman" w:eastAsia="Times New Roman" w:hAnsi="Times New Roman" w:cs="Times New Roman"/>
          <w:b/>
          <w:bCs/>
          <w:kern w:val="0"/>
          <w:lang w:eastAsia="en-GB"/>
          <w14:ligatures w14:val="none"/>
        </w:rPr>
        <w:t>Add clinical characterization of atypical recovery without using “PRR outlier.”</w:t>
      </w:r>
      <w:r w:rsidRPr="002E6313">
        <w:rPr>
          <w:rFonts w:ascii="Times New Roman" w:eastAsia="Times New Roman" w:hAnsi="Times New Roman" w:cs="Times New Roman"/>
          <w:kern w:val="0"/>
          <w:lang w:eastAsia="en-GB"/>
          <w14:ligatures w14:val="none"/>
        </w:rPr>
        <w:t xml:space="preserve"> Define atypical cases from the new longitudinal framework, preferably using large standardized residuals or unusual subject-specific slopes, and then describe age, sex, treatment, vascular risk, etiology, hemorrhage, and lesion complexity. Keep very small subgroups such as bleeding descriptive.</w:t>
      </w:r>
    </w:p>
    <w:p w14:paraId="1E4EF209" w14:textId="77777777" w:rsidR="002E6313" w:rsidRPr="002E6313" w:rsidRDefault="002E6313" w:rsidP="002E631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6313">
        <w:rPr>
          <w:rFonts w:ascii="Times New Roman" w:eastAsia="Times New Roman" w:hAnsi="Times New Roman" w:cs="Times New Roman"/>
          <w:b/>
          <w:bCs/>
          <w:kern w:val="0"/>
          <w:lang w:eastAsia="en-GB"/>
          <w14:ligatures w14:val="none"/>
        </w:rPr>
        <w:t>For bleeding, reduce inferential claims.</w:t>
      </w:r>
      <w:r w:rsidRPr="002E6313">
        <w:rPr>
          <w:rFonts w:ascii="Times New Roman" w:eastAsia="Times New Roman" w:hAnsi="Times New Roman" w:cs="Times New Roman"/>
          <w:kern w:val="0"/>
          <w:lang w:eastAsia="en-GB"/>
          <w14:ligatures w14:val="none"/>
        </w:rPr>
        <w:t xml:space="preserve"> With very few cases, show where these patients lie in the longitudinal/trajectory framework and describe whether hemorrhage or hemorrhagic transformation coincides with deterioration, but avoid formal subgroup statistics unless sample size supports them.</w:t>
      </w:r>
    </w:p>
    <w:p w14:paraId="55A81730" w14:textId="77777777" w:rsidR="002E6313" w:rsidRDefault="002E6313" w:rsidP="002E631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6313">
        <w:rPr>
          <w:rFonts w:ascii="Times New Roman" w:eastAsia="Times New Roman" w:hAnsi="Times New Roman" w:cs="Times New Roman"/>
          <w:b/>
          <w:bCs/>
          <w:kern w:val="0"/>
          <w:lang w:eastAsia="en-GB"/>
          <w14:ligatures w14:val="none"/>
        </w:rPr>
        <w:t>Add a mouse trajectory-phenotype analysis.</w:t>
      </w:r>
      <w:r w:rsidRPr="002E6313">
        <w:rPr>
          <w:rFonts w:ascii="Times New Roman" w:eastAsia="Times New Roman" w:hAnsi="Times New Roman" w:cs="Times New Roman"/>
          <w:kern w:val="0"/>
          <w:lang w:eastAsia="en-GB"/>
          <w14:ligatures w14:val="none"/>
        </w:rPr>
        <w:t xml:space="preserve"> Apply the same conceptual recovery categories to mouse data using biologically matched stages, for example D3, D14, and D56, while retaining the full mouse time course separately. Use sham variability to define meaningful change so that small test fluctuations are not mislabeled as recovery or decline.</w:t>
      </w:r>
    </w:p>
    <w:p w14:paraId="778E624C" w14:textId="77777777" w:rsidR="00615E2C" w:rsidRDefault="00615E2C" w:rsidP="00615E2C">
      <w:pPr>
        <w:pStyle w:val="p1"/>
      </w:pPr>
      <w:r>
        <w:lastRenderedPageBreak/>
        <w:t xml:space="preserve">For the mouse trajectory analysis, I would make one important methodological improvement: </w:t>
      </w:r>
      <w:r>
        <w:rPr>
          <w:rStyle w:val="s1"/>
          <w:b/>
          <w:bCs/>
        </w:rPr>
        <w:t>do not classify every tiny fluctuation as recovery or decline</w:t>
      </w:r>
      <w:r>
        <w:t>. You have sham animals, which is a major advantage. Use the natural test–retest variability in sham mice to define what constitutes a meaningful change. For example, if the D3→D14 change in a stroke mouse exceeds the range expected from sham variability, classify it as genuine improvement or worsening. This would make the mouse trajectory categories much more defensible than simply using the sign of a difference.</w:t>
      </w:r>
    </w:p>
    <w:p w14:paraId="2C5DF486" w14:textId="77777777" w:rsidR="00615E2C" w:rsidRDefault="00615E2C" w:rsidP="00615E2C">
      <w:pPr>
        <w:pStyle w:val="p1"/>
      </w:pPr>
      <w:r>
        <w:t>Then you could ask something quite interesting:</w:t>
      </w:r>
    </w:p>
    <w:p w14:paraId="2B7A7659" w14:textId="77777777" w:rsidR="00615E2C" w:rsidRDefault="00615E2C" w:rsidP="00615E2C">
      <w:pPr>
        <w:pStyle w:val="p2"/>
      </w:pPr>
      <w:r>
        <w:t>Does the task that is most sensitive to heterogeneous recovery in mice correspond to the domain in which the human impairment-specific assessment is most informative?</w:t>
      </w:r>
    </w:p>
    <w:p w14:paraId="141AFA9E" w14:textId="77777777" w:rsidR="00615E2C" w:rsidRDefault="00615E2C" w:rsidP="00615E2C">
      <w:pPr>
        <w:pStyle w:val="p1"/>
      </w:pPr>
      <w:r>
        <w:t xml:space="preserve">For example, if paw-drag or grid-walk trajectories show more non-monotonic individual courses than hindlimb drops, that would parallel your observation that </w:t>
      </w:r>
      <w:r>
        <w:rPr>
          <w:rStyle w:val="s1"/>
          <w:b/>
          <w:bCs/>
        </w:rPr>
        <w:t>upper-extremity recovery is more heterogeneous in humans</w:t>
      </w:r>
      <w:r>
        <w:t>. If they do not, that is equally informative and may indicate that the currently used mouse tasks do not adequately model the complexity captured by FM-UE.</w:t>
      </w:r>
    </w:p>
    <w:p w14:paraId="06BD0F81" w14:textId="77777777" w:rsidR="00615E2C" w:rsidRPr="002E6313" w:rsidRDefault="00615E2C" w:rsidP="00615E2C">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p>
    <w:p w14:paraId="2C8E7710" w14:textId="77777777" w:rsidR="002E6313" w:rsidRPr="002E6313" w:rsidRDefault="002E6313" w:rsidP="002E631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6313">
        <w:rPr>
          <w:rFonts w:ascii="Times New Roman" w:eastAsia="Times New Roman" w:hAnsi="Times New Roman" w:cs="Times New Roman"/>
          <w:b/>
          <w:bCs/>
          <w:kern w:val="0"/>
          <w:lang w:eastAsia="en-GB"/>
          <w14:ligatures w14:val="none"/>
        </w:rPr>
        <w:t>Keep acute mouse severity continuous.</w:t>
      </w:r>
      <w:r w:rsidRPr="002E6313">
        <w:rPr>
          <w:rFonts w:ascii="Times New Roman" w:eastAsia="Times New Roman" w:hAnsi="Times New Roman" w:cs="Times New Roman"/>
          <w:kern w:val="0"/>
          <w:lang w:eastAsia="en-GB"/>
          <w14:ligatures w14:val="none"/>
        </w:rPr>
        <w:t xml:space="preserve"> The current mouse models already show that acute severity moderates later trajectories for foot faults and hindlimb drops, but not paw drags. Preserve this as the mouse analogue of the human Time × Baseline question. </w:t>
      </w:r>
    </w:p>
    <w:p w14:paraId="707A667E" w14:textId="77777777" w:rsidR="002E6313" w:rsidRPr="002E6313" w:rsidRDefault="002E6313" w:rsidP="002E631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6313">
        <w:rPr>
          <w:rFonts w:ascii="Times New Roman" w:eastAsia="Times New Roman" w:hAnsi="Times New Roman" w:cs="Times New Roman"/>
          <w:b/>
          <w:bCs/>
          <w:kern w:val="0"/>
          <w:lang w:eastAsia="en-GB"/>
          <w14:ligatures w14:val="none"/>
        </w:rPr>
        <w:t>Strengthen the direct human–mouse comparison.</w:t>
      </w:r>
      <w:r w:rsidRPr="002E6313">
        <w:rPr>
          <w:rFonts w:ascii="Times New Roman" w:eastAsia="Times New Roman" w:hAnsi="Times New Roman" w:cs="Times New Roman"/>
          <w:kern w:val="0"/>
          <w:lang w:eastAsia="en-GB"/>
          <w14:ligatures w14:val="none"/>
        </w:rPr>
        <w:t xml:space="preserve"> Compare 3 features across species: overall longitudinal recovery, frequency/type of non-steady individual trajectories, and dependence of later outcome on acute severity. Do not frame this as PRR anymore.</w:t>
      </w:r>
    </w:p>
    <w:p w14:paraId="22BAED21" w14:textId="77777777" w:rsidR="002E6313" w:rsidRPr="002E6313" w:rsidRDefault="002E6313" w:rsidP="002E631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6313">
        <w:rPr>
          <w:rFonts w:ascii="Times New Roman" w:eastAsia="Times New Roman" w:hAnsi="Times New Roman" w:cs="Times New Roman"/>
          <w:b/>
          <w:bCs/>
          <w:kern w:val="0"/>
          <w:lang w:eastAsia="en-GB"/>
          <w14:ligatures w14:val="none"/>
        </w:rPr>
        <w:t>Check whether outcome-specific model families are needed.</w:t>
      </w:r>
      <w:r w:rsidRPr="002E6313">
        <w:rPr>
          <w:rFonts w:ascii="Times New Roman" w:eastAsia="Times New Roman" w:hAnsi="Times New Roman" w:cs="Times New Roman"/>
          <w:kern w:val="0"/>
          <w:lang w:eastAsia="en-GB"/>
          <w14:ligatures w14:val="none"/>
        </w:rPr>
        <w:t xml:space="preserve"> In particular, mRS is ordinal and may be better handled with an ordinal model rather than Gaussian assumptions. At minimum, run a sensitivity analysis.</w:t>
      </w:r>
    </w:p>
    <w:p w14:paraId="7827E07A" w14:textId="77777777" w:rsidR="002E6313" w:rsidRPr="002E6313" w:rsidRDefault="002E6313" w:rsidP="002E631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6313">
        <w:rPr>
          <w:rFonts w:ascii="Times New Roman" w:eastAsia="Times New Roman" w:hAnsi="Times New Roman" w:cs="Times New Roman"/>
          <w:b/>
          <w:bCs/>
          <w:kern w:val="0"/>
          <w:lang w:eastAsia="en-GB"/>
          <w14:ligatures w14:val="none"/>
        </w:rPr>
        <w:t>Apply multiple-testing correction consistently.</w:t>
      </w:r>
      <w:r w:rsidRPr="002E6313">
        <w:rPr>
          <w:rFonts w:ascii="Times New Roman" w:eastAsia="Times New Roman" w:hAnsi="Times New Roman" w:cs="Times New Roman"/>
          <w:kern w:val="0"/>
          <w:lang w:eastAsia="en-GB"/>
          <w14:ligatures w14:val="none"/>
        </w:rPr>
        <w:t xml:space="preserve"> Keep FDR-adjusted P values for cross-assessment comparisons and avoid interpreting nominal P values as significant.</w:t>
      </w:r>
    </w:p>
    <w:p w14:paraId="2CDBB231" w14:textId="77777777" w:rsidR="002E6313" w:rsidRPr="002E6313" w:rsidRDefault="002E6313" w:rsidP="002E631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6313">
        <w:rPr>
          <w:rFonts w:ascii="Times New Roman" w:eastAsia="Times New Roman" w:hAnsi="Times New Roman" w:cs="Times New Roman"/>
          <w:b/>
          <w:bCs/>
          <w:kern w:val="0"/>
          <w:lang w:eastAsia="en-GB"/>
          <w14:ligatures w14:val="none"/>
        </w:rPr>
        <w:t>Remove all old PRR-specific analyses from the main manuscript.</w:t>
      </w:r>
      <w:r w:rsidRPr="002E6313">
        <w:rPr>
          <w:rFonts w:ascii="Times New Roman" w:eastAsia="Times New Roman" w:hAnsi="Times New Roman" w:cs="Times New Roman"/>
          <w:kern w:val="0"/>
          <w:lang w:eastAsia="en-GB"/>
          <w14:ligatures w14:val="none"/>
        </w:rPr>
        <w:t xml:space="preserve"> That includes baseline-vs-change regressions, PRR slopes, Euclidean distance comparisons, k-means severity splitting, and PRR “fitters/non-fitters.” These can only remain as historical context in the Discussion, not as current inferential results.</w:t>
      </w:r>
    </w:p>
    <w:p w14:paraId="2FDF5140" w14:textId="77777777" w:rsidR="001F6CD6" w:rsidRDefault="001F6CD6"/>
    <w:sectPr w:rsidR="001F6C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8A4EAC"/>
    <w:multiLevelType w:val="multilevel"/>
    <w:tmpl w:val="227E9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542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313"/>
    <w:rsid w:val="0000240D"/>
    <w:rsid w:val="00002853"/>
    <w:rsid w:val="00032E67"/>
    <w:rsid w:val="0004006E"/>
    <w:rsid w:val="00042CC6"/>
    <w:rsid w:val="000500D6"/>
    <w:rsid w:val="00051E69"/>
    <w:rsid w:val="00085169"/>
    <w:rsid w:val="000905C2"/>
    <w:rsid w:val="0009149B"/>
    <w:rsid w:val="000934FA"/>
    <w:rsid w:val="00094D7F"/>
    <w:rsid w:val="000B0365"/>
    <w:rsid w:val="000B03DC"/>
    <w:rsid w:val="000B7BBF"/>
    <w:rsid w:val="000C630F"/>
    <w:rsid w:val="000D230B"/>
    <w:rsid w:val="000D35DF"/>
    <w:rsid w:val="000E2D20"/>
    <w:rsid w:val="001001F1"/>
    <w:rsid w:val="0012067E"/>
    <w:rsid w:val="00121CF7"/>
    <w:rsid w:val="00130105"/>
    <w:rsid w:val="00133D8F"/>
    <w:rsid w:val="00134D35"/>
    <w:rsid w:val="0013729E"/>
    <w:rsid w:val="001373DB"/>
    <w:rsid w:val="0014246D"/>
    <w:rsid w:val="00150301"/>
    <w:rsid w:val="00155B55"/>
    <w:rsid w:val="00170474"/>
    <w:rsid w:val="001738EF"/>
    <w:rsid w:val="001801B3"/>
    <w:rsid w:val="001841C8"/>
    <w:rsid w:val="0018571B"/>
    <w:rsid w:val="001871D9"/>
    <w:rsid w:val="00196C80"/>
    <w:rsid w:val="001B198B"/>
    <w:rsid w:val="001D23E8"/>
    <w:rsid w:val="001F6CD6"/>
    <w:rsid w:val="00206727"/>
    <w:rsid w:val="0020732B"/>
    <w:rsid w:val="00212963"/>
    <w:rsid w:val="00213944"/>
    <w:rsid w:val="00214840"/>
    <w:rsid w:val="002164BD"/>
    <w:rsid w:val="00217425"/>
    <w:rsid w:val="00225609"/>
    <w:rsid w:val="002273D5"/>
    <w:rsid w:val="0024229A"/>
    <w:rsid w:val="00245C88"/>
    <w:rsid w:val="00246CF8"/>
    <w:rsid w:val="00265E35"/>
    <w:rsid w:val="002756B8"/>
    <w:rsid w:val="00281348"/>
    <w:rsid w:val="002B7A27"/>
    <w:rsid w:val="002C228A"/>
    <w:rsid w:val="002C713C"/>
    <w:rsid w:val="002D1A9D"/>
    <w:rsid w:val="002D6F16"/>
    <w:rsid w:val="002E2175"/>
    <w:rsid w:val="002E6313"/>
    <w:rsid w:val="002E649F"/>
    <w:rsid w:val="002F28C6"/>
    <w:rsid w:val="002F35EC"/>
    <w:rsid w:val="00300CF3"/>
    <w:rsid w:val="00301507"/>
    <w:rsid w:val="0030621F"/>
    <w:rsid w:val="0032755A"/>
    <w:rsid w:val="0033259E"/>
    <w:rsid w:val="00333705"/>
    <w:rsid w:val="003361F6"/>
    <w:rsid w:val="0035129F"/>
    <w:rsid w:val="00355B53"/>
    <w:rsid w:val="00356204"/>
    <w:rsid w:val="00360209"/>
    <w:rsid w:val="003645BA"/>
    <w:rsid w:val="00370231"/>
    <w:rsid w:val="00373AA4"/>
    <w:rsid w:val="00373CD7"/>
    <w:rsid w:val="00390FF5"/>
    <w:rsid w:val="00393AD7"/>
    <w:rsid w:val="003C4881"/>
    <w:rsid w:val="003D5F80"/>
    <w:rsid w:val="003E36D1"/>
    <w:rsid w:val="003E3EBE"/>
    <w:rsid w:val="003E40AE"/>
    <w:rsid w:val="003E43A4"/>
    <w:rsid w:val="003E6222"/>
    <w:rsid w:val="003F07D4"/>
    <w:rsid w:val="003F7FA7"/>
    <w:rsid w:val="004101A1"/>
    <w:rsid w:val="00446309"/>
    <w:rsid w:val="00451E9D"/>
    <w:rsid w:val="0045507C"/>
    <w:rsid w:val="004613C7"/>
    <w:rsid w:val="00461CD8"/>
    <w:rsid w:val="00470C75"/>
    <w:rsid w:val="00475ECF"/>
    <w:rsid w:val="00490311"/>
    <w:rsid w:val="00496972"/>
    <w:rsid w:val="004A33DE"/>
    <w:rsid w:val="004A4786"/>
    <w:rsid w:val="004B119D"/>
    <w:rsid w:val="004B6838"/>
    <w:rsid w:val="004B760B"/>
    <w:rsid w:val="004B7A46"/>
    <w:rsid w:val="004E3AAA"/>
    <w:rsid w:val="004F3491"/>
    <w:rsid w:val="004F5FF3"/>
    <w:rsid w:val="004F7AAC"/>
    <w:rsid w:val="00510D59"/>
    <w:rsid w:val="005213D7"/>
    <w:rsid w:val="0052409D"/>
    <w:rsid w:val="00524FCE"/>
    <w:rsid w:val="00525951"/>
    <w:rsid w:val="00527042"/>
    <w:rsid w:val="0053003D"/>
    <w:rsid w:val="00530F62"/>
    <w:rsid w:val="005446E4"/>
    <w:rsid w:val="00546DE5"/>
    <w:rsid w:val="00546E24"/>
    <w:rsid w:val="005641B4"/>
    <w:rsid w:val="0056424D"/>
    <w:rsid w:val="005706F7"/>
    <w:rsid w:val="005771E9"/>
    <w:rsid w:val="00581164"/>
    <w:rsid w:val="00587346"/>
    <w:rsid w:val="0059164D"/>
    <w:rsid w:val="005954CC"/>
    <w:rsid w:val="005A34DE"/>
    <w:rsid w:val="005A5A62"/>
    <w:rsid w:val="005A64C0"/>
    <w:rsid w:val="005C29F4"/>
    <w:rsid w:val="005C37CF"/>
    <w:rsid w:val="005C4C7E"/>
    <w:rsid w:val="005E7DB7"/>
    <w:rsid w:val="005F1AF0"/>
    <w:rsid w:val="005F31F5"/>
    <w:rsid w:val="005F46EE"/>
    <w:rsid w:val="005F609B"/>
    <w:rsid w:val="005F7CED"/>
    <w:rsid w:val="00615E2C"/>
    <w:rsid w:val="00621BF8"/>
    <w:rsid w:val="00622053"/>
    <w:rsid w:val="00627243"/>
    <w:rsid w:val="006309AB"/>
    <w:rsid w:val="006411D0"/>
    <w:rsid w:val="006443C9"/>
    <w:rsid w:val="0065283F"/>
    <w:rsid w:val="00656426"/>
    <w:rsid w:val="006630D6"/>
    <w:rsid w:val="0066551E"/>
    <w:rsid w:val="00667EF1"/>
    <w:rsid w:val="006745F6"/>
    <w:rsid w:val="00686E17"/>
    <w:rsid w:val="006B66B7"/>
    <w:rsid w:val="006C0B2C"/>
    <w:rsid w:val="006C1352"/>
    <w:rsid w:val="006C299B"/>
    <w:rsid w:val="006C4167"/>
    <w:rsid w:val="006D3D50"/>
    <w:rsid w:val="006D677A"/>
    <w:rsid w:val="006E06C6"/>
    <w:rsid w:val="006E10A2"/>
    <w:rsid w:val="006E35DA"/>
    <w:rsid w:val="00700A78"/>
    <w:rsid w:val="00702813"/>
    <w:rsid w:val="0071101E"/>
    <w:rsid w:val="007112CC"/>
    <w:rsid w:val="0071377F"/>
    <w:rsid w:val="00715BD1"/>
    <w:rsid w:val="00721811"/>
    <w:rsid w:val="00723F4C"/>
    <w:rsid w:val="0073221F"/>
    <w:rsid w:val="007425CC"/>
    <w:rsid w:val="00744CC5"/>
    <w:rsid w:val="0075645D"/>
    <w:rsid w:val="0077264D"/>
    <w:rsid w:val="00785D02"/>
    <w:rsid w:val="00786B29"/>
    <w:rsid w:val="00794BBE"/>
    <w:rsid w:val="00796B19"/>
    <w:rsid w:val="007A2D36"/>
    <w:rsid w:val="007A31B8"/>
    <w:rsid w:val="007B2589"/>
    <w:rsid w:val="007D76E8"/>
    <w:rsid w:val="007E03BB"/>
    <w:rsid w:val="007F62F0"/>
    <w:rsid w:val="007F7720"/>
    <w:rsid w:val="00802B5E"/>
    <w:rsid w:val="00804167"/>
    <w:rsid w:val="00804580"/>
    <w:rsid w:val="00804D9E"/>
    <w:rsid w:val="00807164"/>
    <w:rsid w:val="00814A35"/>
    <w:rsid w:val="00815E71"/>
    <w:rsid w:val="00816F1B"/>
    <w:rsid w:val="008248EB"/>
    <w:rsid w:val="0082528F"/>
    <w:rsid w:val="00825D0D"/>
    <w:rsid w:val="00845E27"/>
    <w:rsid w:val="00852D9D"/>
    <w:rsid w:val="00856DED"/>
    <w:rsid w:val="008619EE"/>
    <w:rsid w:val="00866E38"/>
    <w:rsid w:val="00875FBE"/>
    <w:rsid w:val="00880E7F"/>
    <w:rsid w:val="0088297B"/>
    <w:rsid w:val="008907D2"/>
    <w:rsid w:val="0089210D"/>
    <w:rsid w:val="008B47E8"/>
    <w:rsid w:val="008C2EE4"/>
    <w:rsid w:val="008C4141"/>
    <w:rsid w:val="008C67B2"/>
    <w:rsid w:val="008D0A92"/>
    <w:rsid w:val="008D1283"/>
    <w:rsid w:val="008D379B"/>
    <w:rsid w:val="008D4169"/>
    <w:rsid w:val="008D4875"/>
    <w:rsid w:val="008D5677"/>
    <w:rsid w:val="008E0A19"/>
    <w:rsid w:val="008E18E6"/>
    <w:rsid w:val="008E24EC"/>
    <w:rsid w:val="009015A5"/>
    <w:rsid w:val="00901C2F"/>
    <w:rsid w:val="009043BC"/>
    <w:rsid w:val="0090631A"/>
    <w:rsid w:val="00926FEE"/>
    <w:rsid w:val="00932940"/>
    <w:rsid w:val="00935BE9"/>
    <w:rsid w:val="00941FDB"/>
    <w:rsid w:val="0094298A"/>
    <w:rsid w:val="009458BF"/>
    <w:rsid w:val="009502AD"/>
    <w:rsid w:val="009606F7"/>
    <w:rsid w:val="00997502"/>
    <w:rsid w:val="009A2B60"/>
    <w:rsid w:val="009A3501"/>
    <w:rsid w:val="009B3FE2"/>
    <w:rsid w:val="009B4469"/>
    <w:rsid w:val="009D5AE9"/>
    <w:rsid w:val="009D6E12"/>
    <w:rsid w:val="009D7EDB"/>
    <w:rsid w:val="009E0DC4"/>
    <w:rsid w:val="009E4250"/>
    <w:rsid w:val="009E6667"/>
    <w:rsid w:val="009F3956"/>
    <w:rsid w:val="009F50A3"/>
    <w:rsid w:val="00A04EE3"/>
    <w:rsid w:val="00A0657C"/>
    <w:rsid w:val="00A10D4B"/>
    <w:rsid w:val="00A131AB"/>
    <w:rsid w:val="00A1362A"/>
    <w:rsid w:val="00A14FDB"/>
    <w:rsid w:val="00A156C1"/>
    <w:rsid w:val="00A33E8B"/>
    <w:rsid w:val="00A34421"/>
    <w:rsid w:val="00A356A1"/>
    <w:rsid w:val="00A36BED"/>
    <w:rsid w:val="00A51E7E"/>
    <w:rsid w:val="00A562CD"/>
    <w:rsid w:val="00A66B25"/>
    <w:rsid w:val="00A77C38"/>
    <w:rsid w:val="00A9507C"/>
    <w:rsid w:val="00AA7DE9"/>
    <w:rsid w:val="00AB3EB1"/>
    <w:rsid w:val="00AB4E6A"/>
    <w:rsid w:val="00AB76D3"/>
    <w:rsid w:val="00AC4E13"/>
    <w:rsid w:val="00AC5901"/>
    <w:rsid w:val="00AC6EBB"/>
    <w:rsid w:val="00AD412E"/>
    <w:rsid w:val="00AD590C"/>
    <w:rsid w:val="00AE2716"/>
    <w:rsid w:val="00AF047D"/>
    <w:rsid w:val="00AF7704"/>
    <w:rsid w:val="00B014C3"/>
    <w:rsid w:val="00B05A3A"/>
    <w:rsid w:val="00B1038B"/>
    <w:rsid w:val="00B10971"/>
    <w:rsid w:val="00B15FCA"/>
    <w:rsid w:val="00B2637F"/>
    <w:rsid w:val="00B352DD"/>
    <w:rsid w:val="00B52BD0"/>
    <w:rsid w:val="00B60D5E"/>
    <w:rsid w:val="00B62476"/>
    <w:rsid w:val="00B70F9E"/>
    <w:rsid w:val="00B81B75"/>
    <w:rsid w:val="00B9623E"/>
    <w:rsid w:val="00BA3BBE"/>
    <w:rsid w:val="00BA4662"/>
    <w:rsid w:val="00BA5A2E"/>
    <w:rsid w:val="00BA5E87"/>
    <w:rsid w:val="00BB44AB"/>
    <w:rsid w:val="00BD2048"/>
    <w:rsid w:val="00BD3F85"/>
    <w:rsid w:val="00BE11D5"/>
    <w:rsid w:val="00BE18A1"/>
    <w:rsid w:val="00BE474E"/>
    <w:rsid w:val="00BE550E"/>
    <w:rsid w:val="00BE5F12"/>
    <w:rsid w:val="00BE61BF"/>
    <w:rsid w:val="00BF57A1"/>
    <w:rsid w:val="00C01782"/>
    <w:rsid w:val="00C132EA"/>
    <w:rsid w:val="00C17F80"/>
    <w:rsid w:val="00C2106A"/>
    <w:rsid w:val="00C40866"/>
    <w:rsid w:val="00C40A86"/>
    <w:rsid w:val="00C44959"/>
    <w:rsid w:val="00C47E48"/>
    <w:rsid w:val="00C51C3F"/>
    <w:rsid w:val="00C56C4E"/>
    <w:rsid w:val="00C57E83"/>
    <w:rsid w:val="00C642D3"/>
    <w:rsid w:val="00C64C68"/>
    <w:rsid w:val="00C664B0"/>
    <w:rsid w:val="00C71923"/>
    <w:rsid w:val="00C80E3D"/>
    <w:rsid w:val="00C9038A"/>
    <w:rsid w:val="00C92085"/>
    <w:rsid w:val="00CB4A45"/>
    <w:rsid w:val="00CD3ABF"/>
    <w:rsid w:val="00CD6424"/>
    <w:rsid w:val="00CE1005"/>
    <w:rsid w:val="00CE7F12"/>
    <w:rsid w:val="00CE7F7F"/>
    <w:rsid w:val="00CF5EB4"/>
    <w:rsid w:val="00CF7E1E"/>
    <w:rsid w:val="00D02A20"/>
    <w:rsid w:val="00D050C2"/>
    <w:rsid w:val="00D138BD"/>
    <w:rsid w:val="00D22C28"/>
    <w:rsid w:val="00D23026"/>
    <w:rsid w:val="00D25F32"/>
    <w:rsid w:val="00D3007D"/>
    <w:rsid w:val="00D35402"/>
    <w:rsid w:val="00D367B1"/>
    <w:rsid w:val="00D55122"/>
    <w:rsid w:val="00D55670"/>
    <w:rsid w:val="00D62469"/>
    <w:rsid w:val="00D66B87"/>
    <w:rsid w:val="00D7170F"/>
    <w:rsid w:val="00D758F7"/>
    <w:rsid w:val="00D85948"/>
    <w:rsid w:val="00D85AE9"/>
    <w:rsid w:val="00D939A7"/>
    <w:rsid w:val="00D97EA9"/>
    <w:rsid w:val="00DA295B"/>
    <w:rsid w:val="00DA65E3"/>
    <w:rsid w:val="00DA7298"/>
    <w:rsid w:val="00DB3C87"/>
    <w:rsid w:val="00DB6D7E"/>
    <w:rsid w:val="00DC12CA"/>
    <w:rsid w:val="00DD2319"/>
    <w:rsid w:val="00E02D7E"/>
    <w:rsid w:val="00E146DD"/>
    <w:rsid w:val="00E15A7E"/>
    <w:rsid w:val="00E16C7E"/>
    <w:rsid w:val="00E20E70"/>
    <w:rsid w:val="00E3526E"/>
    <w:rsid w:val="00E375C5"/>
    <w:rsid w:val="00E4165E"/>
    <w:rsid w:val="00E51D39"/>
    <w:rsid w:val="00E5285F"/>
    <w:rsid w:val="00E53A39"/>
    <w:rsid w:val="00E5655B"/>
    <w:rsid w:val="00E57BC9"/>
    <w:rsid w:val="00E57EC4"/>
    <w:rsid w:val="00E601D6"/>
    <w:rsid w:val="00E6377A"/>
    <w:rsid w:val="00E63A82"/>
    <w:rsid w:val="00E713D9"/>
    <w:rsid w:val="00E75D28"/>
    <w:rsid w:val="00E77AF3"/>
    <w:rsid w:val="00E816B2"/>
    <w:rsid w:val="00E85FD4"/>
    <w:rsid w:val="00E9097F"/>
    <w:rsid w:val="00EA6530"/>
    <w:rsid w:val="00EC2F93"/>
    <w:rsid w:val="00EC7349"/>
    <w:rsid w:val="00EE0A11"/>
    <w:rsid w:val="00EE605F"/>
    <w:rsid w:val="00EF2577"/>
    <w:rsid w:val="00F065DF"/>
    <w:rsid w:val="00F3003A"/>
    <w:rsid w:val="00F316EE"/>
    <w:rsid w:val="00F42847"/>
    <w:rsid w:val="00F47721"/>
    <w:rsid w:val="00F55D01"/>
    <w:rsid w:val="00F66E13"/>
    <w:rsid w:val="00F7200F"/>
    <w:rsid w:val="00F72879"/>
    <w:rsid w:val="00F75290"/>
    <w:rsid w:val="00F761E5"/>
    <w:rsid w:val="00F80B86"/>
    <w:rsid w:val="00F83F68"/>
    <w:rsid w:val="00F93DB2"/>
    <w:rsid w:val="00F93FB7"/>
    <w:rsid w:val="00FA360E"/>
    <w:rsid w:val="00FA6C84"/>
    <w:rsid w:val="00FA7304"/>
    <w:rsid w:val="00FB3126"/>
    <w:rsid w:val="00FC1137"/>
    <w:rsid w:val="00FC7906"/>
    <w:rsid w:val="00FD6533"/>
    <w:rsid w:val="00FE0F40"/>
    <w:rsid w:val="00FE30C2"/>
    <w:rsid w:val="00FE393D"/>
    <w:rsid w:val="00FF733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1E06BA0E"/>
  <w15:chartTrackingRefBased/>
  <w15:docId w15:val="{19EB508D-C55C-A24F-BF28-015336A15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3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63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63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3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3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3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3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63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63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3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3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3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3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3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313"/>
    <w:rPr>
      <w:rFonts w:eastAsiaTheme="majorEastAsia" w:cstheme="majorBidi"/>
      <w:color w:val="272727" w:themeColor="text1" w:themeTint="D8"/>
    </w:rPr>
  </w:style>
  <w:style w:type="paragraph" w:styleId="Title">
    <w:name w:val="Title"/>
    <w:basedOn w:val="Normal"/>
    <w:next w:val="Normal"/>
    <w:link w:val="TitleChar"/>
    <w:uiPriority w:val="10"/>
    <w:qFormat/>
    <w:rsid w:val="002E6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3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313"/>
    <w:pPr>
      <w:spacing w:before="160"/>
      <w:jc w:val="center"/>
    </w:pPr>
    <w:rPr>
      <w:i/>
      <w:iCs/>
      <w:color w:val="404040" w:themeColor="text1" w:themeTint="BF"/>
    </w:rPr>
  </w:style>
  <w:style w:type="character" w:customStyle="1" w:styleId="QuoteChar">
    <w:name w:val="Quote Char"/>
    <w:basedOn w:val="DefaultParagraphFont"/>
    <w:link w:val="Quote"/>
    <w:uiPriority w:val="29"/>
    <w:rsid w:val="002E6313"/>
    <w:rPr>
      <w:i/>
      <w:iCs/>
      <w:color w:val="404040" w:themeColor="text1" w:themeTint="BF"/>
    </w:rPr>
  </w:style>
  <w:style w:type="paragraph" w:styleId="ListParagraph">
    <w:name w:val="List Paragraph"/>
    <w:basedOn w:val="Normal"/>
    <w:uiPriority w:val="34"/>
    <w:qFormat/>
    <w:rsid w:val="002E6313"/>
    <w:pPr>
      <w:ind w:left="720"/>
      <w:contextualSpacing/>
    </w:pPr>
  </w:style>
  <w:style w:type="character" w:styleId="IntenseEmphasis">
    <w:name w:val="Intense Emphasis"/>
    <w:basedOn w:val="DefaultParagraphFont"/>
    <w:uiPriority w:val="21"/>
    <w:qFormat/>
    <w:rsid w:val="002E6313"/>
    <w:rPr>
      <w:i/>
      <w:iCs/>
      <w:color w:val="2F5496" w:themeColor="accent1" w:themeShade="BF"/>
    </w:rPr>
  </w:style>
  <w:style w:type="paragraph" w:styleId="IntenseQuote">
    <w:name w:val="Intense Quote"/>
    <w:basedOn w:val="Normal"/>
    <w:next w:val="Normal"/>
    <w:link w:val="IntenseQuoteChar"/>
    <w:uiPriority w:val="30"/>
    <w:qFormat/>
    <w:rsid w:val="002E63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313"/>
    <w:rPr>
      <w:i/>
      <w:iCs/>
      <w:color w:val="2F5496" w:themeColor="accent1" w:themeShade="BF"/>
    </w:rPr>
  </w:style>
  <w:style w:type="character" w:styleId="IntenseReference">
    <w:name w:val="Intense Reference"/>
    <w:basedOn w:val="DefaultParagraphFont"/>
    <w:uiPriority w:val="32"/>
    <w:qFormat/>
    <w:rsid w:val="002E6313"/>
    <w:rPr>
      <w:b/>
      <w:bCs/>
      <w:smallCaps/>
      <w:color w:val="2F5496" w:themeColor="accent1" w:themeShade="BF"/>
      <w:spacing w:val="5"/>
    </w:rPr>
  </w:style>
  <w:style w:type="character" w:customStyle="1" w:styleId="s1">
    <w:name w:val="s1"/>
    <w:basedOn w:val="DefaultParagraphFont"/>
    <w:rsid w:val="002E6313"/>
  </w:style>
  <w:style w:type="character" w:customStyle="1" w:styleId="apple-converted-space">
    <w:name w:val="apple-converted-space"/>
    <w:basedOn w:val="DefaultParagraphFont"/>
    <w:rsid w:val="002E6313"/>
  </w:style>
  <w:style w:type="paragraph" w:customStyle="1" w:styleId="p1">
    <w:name w:val="p1"/>
    <w:basedOn w:val="Normal"/>
    <w:rsid w:val="00615E2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2">
    <w:name w:val="p2"/>
    <w:basedOn w:val="Normal"/>
    <w:rsid w:val="00615E2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884</Words>
  <Characters>5040</Characters>
  <Application>Microsoft Office Word</Application>
  <DocSecurity>0</DocSecurity>
  <Lines>42</Lines>
  <Paragraphs>11</Paragraphs>
  <ScaleCrop>false</ScaleCrop>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Aswendt</dc:creator>
  <cp:keywords/>
  <dc:description/>
  <cp:lastModifiedBy>Markus Aswendt</cp:lastModifiedBy>
  <cp:revision>2</cp:revision>
  <dcterms:created xsi:type="dcterms:W3CDTF">2026-08-28T17:40:00Z</dcterms:created>
  <dcterms:modified xsi:type="dcterms:W3CDTF">2026-08-28T17:42:00Z</dcterms:modified>
</cp:coreProperties>
</file>