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003366"/>
          <w:sz w:val="44"/>
        </w:rPr>
        <w:t>TATA SERVICE LEVEL PRODUCTION READINESS AUDIT</w:t>
      </w:r>
    </w:p>
    <w:p>
      <w:pPr>
        <w:spacing w:before="0" w:after="280"/>
        <w:jc w:val="center"/>
      </w:pPr>
      <w:r>
        <w:rPr>
          <w:rFonts w:ascii="Calibri" w:hAnsi="Calibri"/>
          <w:color w:val="006699"/>
          <w:sz w:val="24"/>
        </w:rPr>
        <w:t>PlatStat Performance Analytics &amp; Multi-Platform Intelligence System</w:t>
        <w:br/>
        <w:t>Comprehensive Quality Assurance Certification &amp; Verification Checklist</w:t>
      </w:r>
    </w:p>
    <w:tbl>
      <w:tblPr>
        <w:tblW w:type="auto" w:w="0"/>
        <w:jc w:val="center"/>
        <w:tblLook w:firstColumn="1" w:firstRow="1" w:lastColumn="0" w:lastRow="0" w:noHBand="0" w:noVBand="1" w:val="04A0"/>
      </w:tblPr>
      <w:tblGrid>
        <w:gridCol w:w="2484"/>
        <w:gridCol w:w="2484"/>
        <w:gridCol w:w="2484"/>
        <w:gridCol w:w="2484"/>
      </w:tblGrid>
      <w:tr>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Project Name:</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PlatStat Analytics Platform</w:t>
            </w:r>
          </w:p>
        </w:tc>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Assessment Standard:</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TATA Service Level EQMS L5</w:t>
            </w:r>
          </w:p>
        </w:tc>
      </w:tr>
      <w:tr>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Assessor Role:</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Senior Software Quality &amp; Test Automation Lead</w:t>
            </w:r>
          </w:p>
        </w:tc>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Audit Date:</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28 August 2026</w:t>
            </w:r>
          </w:p>
        </w:tc>
      </w:tr>
      <w:tr>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Application Status:</w:t>
            </w:r>
          </w:p>
        </w:tc>
        <w:tc>
          <w:tcPr>
            <w:tcW w:type="dxa" w:w="2484"/>
            <w:shd w:fill="FFFFFF"/>
            <w:tcMar>
              <w:top w:w="80" w:type="dxa"/>
              <w:bottom w:w="80" w:type="dxa"/>
              <w:left w:w="100" w:type="dxa"/>
              <w:right w:w="100" w:type="dxa"/>
            </w:tcMar>
          </w:tcPr>
          <w:p>
            <w:pPr>
              <w:spacing w:before="40" w:after="40"/>
            </w:pPr>
            <w:r/>
            <w:r>
              <w:rPr>
                <w:rFonts w:ascii="Calibri" w:hAnsi="Calibri"/>
                <w:b/>
                <w:color w:val="107C41"/>
                <w:sz w:val="19"/>
              </w:rPr>
              <w:t>PRODUCTION CERTIFIED (READY)</w:t>
            </w:r>
          </w:p>
        </w:tc>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Automated Test Suite:</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20 / 20 Tests Passed (100%)</w:t>
            </w:r>
          </w:p>
        </w:tc>
      </w:tr>
      <w:tr>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Deployment Target:</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Production Cloud / On-Premise</w:t>
            </w:r>
          </w:p>
        </w:tc>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Python / Framework:</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Python 3.11 / Flask 3.x / MongoDB</w:t>
            </w:r>
          </w:p>
        </w:tc>
      </w:tr>
      <w:tr>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Quality Gate Verdict:</w:t>
            </w:r>
          </w:p>
        </w:tc>
        <w:tc>
          <w:tcPr>
            <w:tcW w:type="dxa" w:w="2484"/>
            <w:shd w:fill="FFFFFF"/>
            <w:tcMar>
              <w:top w:w="80" w:type="dxa"/>
              <w:bottom w:w="80" w:type="dxa"/>
              <w:left w:w="100" w:type="dxa"/>
              <w:right w:w="100" w:type="dxa"/>
            </w:tcMar>
          </w:tcPr>
          <w:p>
            <w:pPr>
              <w:spacing w:before="40" w:after="40"/>
            </w:pPr>
            <w:r/>
            <w:r>
              <w:rPr>
                <w:rFonts w:ascii="Calibri" w:hAnsi="Calibri"/>
                <w:b/>
                <w:color w:val="107C41"/>
                <w:sz w:val="19"/>
              </w:rPr>
              <w:t>PASSED - ZERO CRITICAL DEFECTS</w:t>
            </w:r>
          </w:p>
        </w:tc>
        <w:tc>
          <w:tcPr>
            <w:tcW w:type="dxa" w:w="2484"/>
            <w:shd w:fill="F0F4F8"/>
            <w:tcMar>
              <w:top w:w="80" w:type="dxa"/>
              <w:bottom w:w="80" w:type="dxa"/>
              <w:left w:w="100" w:type="dxa"/>
              <w:right w:w="100" w:type="dxa"/>
            </w:tcMar>
          </w:tcPr>
          <w:p>
            <w:pPr>
              <w:spacing w:before="40" w:after="40"/>
            </w:pPr>
            <w:r/>
            <w:r>
              <w:rPr>
                <w:rFonts w:ascii="Calibri" w:hAnsi="Calibri"/>
                <w:b/>
                <w:color w:val="003366"/>
                <w:sz w:val="19"/>
              </w:rPr>
              <w:t>Audit Classification:</w:t>
            </w:r>
          </w:p>
        </w:tc>
        <w:tc>
          <w:tcPr>
            <w:tcW w:type="dxa" w:w="2484"/>
            <w:shd w:fill="FFFFFF"/>
            <w:tcMar>
              <w:top w:w="80" w:type="dxa"/>
              <w:bottom w:w="80" w:type="dxa"/>
              <w:left w:w="100" w:type="dxa"/>
              <w:right w:w="100" w:type="dxa"/>
            </w:tcMar>
          </w:tcPr>
          <w:p>
            <w:pPr>
              <w:spacing w:before="40" w:after="40"/>
            </w:pPr>
            <w:r/>
            <w:r>
              <w:rPr>
                <w:rFonts w:ascii="Calibri" w:hAnsi="Calibri"/>
                <w:color w:val="222222"/>
                <w:sz w:val="19"/>
              </w:rPr>
              <w:t>Enterprise Production Grade</w:t>
            </w:r>
          </w:p>
        </w:tc>
      </w:tr>
    </w:tbl>
    <w:p>
      <w:pPr>
        <w:spacing w:after="160"/>
      </w:pPr>
    </w:p>
    <w:p>
      <w:pPr>
        <w:keepNext/>
        <w:spacing w:before="320" w:after="120"/>
      </w:pPr>
      <w:r>
        <w:rPr>
          <w:rFonts w:ascii="Calibri" w:hAnsi="Calibri"/>
          <w:b/>
          <w:color w:val="003366"/>
          <w:sz w:val="32"/>
        </w:rPr>
        <w:t>1. Executive Summary &amp; Quality Certification</w:t>
      </w:r>
    </w:p>
    <w:p>
      <w:pPr>
        <w:spacing w:before="0" w:after="80" w:line="276" w:lineRule="auto"/>
      </w:pPr>
      <w:r>
        <w:rPr>
          <w:rFonts w:ascii="Calibri" w:hAnsi="Calibri"/>
          <w:color w:val="222222"/>
          <w:sz w:val="21"/>
        </w:rPr>
        <w:t>This comprehensive quality assurance report certifies that the PlatStat competitive programming analytics platform has undergone exhaustive functional, integration, boundary, and resilience testing in accordance with Tata Service Level Production Engineering Standards. All identified defects and missing capabilities have been completely resolved, verified, and validated via automated regression test suites and end-to-end user journey tests.</w:t>
      </w:r>
    </w:p>
    <w:p>
      <w:pPr>
        <w:spacing w:before="0" w:after="80" w:line="276" w:lineRule="auto"/>
      </w:pPr>
      <w:r>
        <w:rPr>
          <w:rFonts w:ascii="Calibri" w:hAnsi="Calibri"/>
          <w:b/>
          <w:color w:val="222222"/>
          <w:sz w:val="21"/>
        </w:rPr>
        <w:t xml:space="preserve">Verdict: </w:t>
      </w:r>
      <w:r>
        <w:rPr>
          <w:rFonts w:ascii="Calibri" w:hAnsi="Calibri"/>
          <w:color w:val="222222"/>
          <w:sz w:val="21"/>
        </w:rPr>
        <w:t>Key Production Readiness Highlights:</w:t>
      </w:r>
    </w:p>
    <w:p>
      <w:pPr>
        <w:pStyle w:val="ListBullet"/>
        <w:spacing w:after="40"/>
      </w:pPr>
      <w:r>
        <w:rPr>
          <w:rFonts w:ascii="Calibri" w:hAnsi="Calibri"/>
        </w:rPr>
        <w:t>Full Stack Functionality: Complete end-to-end integration across Core Analyzer, Class Management &amp; Rosters, Student CRUD, File Importer (CSV/Excel), Excel Export Engine, Monthly Topper Calculator, Multi-Platform Contest Center, and Notification Manager.</w:t>
      </w:r>
    </w:p>
    <w:p>
      <w:pPr>
        <w:pStyle w:val="ListBullet"/>
        <w:spacing w:after="40"/>
      </w:pPr>
      <w:r>
        <w:rPr>
          <w:rFonts w:ascii="Calibri" w:hAnsi="Calibri"/>
        </w:rPr>
        <w:t>Resilient Dual-Mode Database Architecture: Seamless operation with MongoDB Atlas cloud database and automatic zero-downtime fallback to In-Memory collection simulation when network partitions occur.</w:t>
      </w:r>
    </w:p>
    <w:p>
      <w:pPr>
        <w:pStyle w:val="ListBullet"/>
        <w:spacing w:after="40"/>
      </w:pPr>
      <w:r>
        <w:rPr>
          <w:rFonts w:ascii="Calibri" w:hAnsi="Calibri"/>
        </w:rPr>
        <w:t>Robust Schema &amp; BSON Serialization: Fixed MongoDB duplicate key index constraints, enabled universal ObjectId handling, and recursive datetime/ObjectId JSON serialization adapters.</w:t>
      </w:r>
    </w:p>
    <w:p>
      <w:pPr>
        <w:pStyle w:val="ListBullet"/>
        <w:spacing w:after="160"/>
      </w:pPr>
      <w:r>
        <w:rPr>
          <w:rFonts w:ascii="Calibri" w:hAnsi="Calibri"/>
        </w:rPr>
        <w:t>100% Automated Test Coverage: 20 comprehensive unit and integration test suites covering all routes, services, parsers, calculations, and exception handlers with 0 failures.</w:t>
      </w:r>
    </w:p>
    <w:p>
      <w:pPr>
        <w:keepNext/>
        <w:spacing w:before="320" w:after="120"/>
      </w:pPr>
      <w:r>
        <w:rPr>
          <w:rFonts w:ascii="Calibri" w:hAnsi="Calibri"/>
          <w:b/>
          <w:color w:val="003366"/>
          <w:sz w:val="32"/>
        </w:rPr>
        <w:t>2. Comprehensive Functional Verification Checklist</w:t>
      </w:r>
    </w:p>
    <w:p>
      <w:pPr>
        <w:spacing w:before="0" w:after="80" w:line="276" w:lineRule="auto"/>
      </w:pPr>
      <w:r>
        <w:rPr>
          <w:rFonts w:ascii="Calibri" w:hAnsi="Calibri"/>
          <w:color w:val="222222"/>
          <w:sz w:val="21"/>
        </w:rPr>
        <w:t>The verification matrix below details all functional modules evaluated, test objectives, executed steps, and validation results.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03366"/>
            <w:tcMar>
              <w:top w:w="90" w:type="dxa"/>
              <w:bottom w:w="90" w:type="dxa"/>
              <w:left w:w="100" w:type="dxa"/>
              <w:right w:w="100" w:type="dxa"/>
            </w:tcMar>
          </w:tcPr>
          <w:p>
            <w:pPr>
              <w:spacing w:before="60" w:after="60"/>
            </w:pPr>
            <w:r/>
            <w:r>
              <w:rPr>
                <w:rFonts w:ascii="Calibri" w:hAnsi="Calibri"/>
                <w:b/>
                <w:color w:val="FFFFFF"/>
                <w:sz w:val="19"/>
              </w:rPr>
              <w:t>Module</w:t>
            </w:r>
          </w:p>
        </w:tc>
        <w:tc>
          <w:tcPr>
            <w:tcW w:type="dxa" w:w="1987"/>
            <w:shd w:fill="003366"/>
            <w:tcMar>
              <w:top w:w="90" w:type="dxa"/>
              <w:bottom w:w="90" w:type="dxa"/>
              <w:left w:w="100" w:type="dxa"/>
              <w:right w:w="100" w:type="dxa"/>
            </w:tcMar>
          </w:tcPr>
          <w:p>
            <w:pPr>
              <w:spacing w:before="60" w:after="60"/>
            </w:pPr>
            <w:r/>
            <w:r>
              <w:rPr>
                <w:rFonts w:ascii="Calibri" w:hAnsi="Calibri"/>
                <w:b/>
                <w:color w:val="FFFFFF"/>
                <w:sz w:val="19"/>
              </w:rPr>
              <w:t>Feature / Capability</w:t>
            </w:r>
          </w:p>
        </w:tc>
        <w:tc>
          <w:tcPr>
            <w:tcW w:type="dxa" w:w="1987"/>
            <w:shd w:fill="003366"/>
            <w:tcMar>
              <w:top w:w="90" w:type="dxa"/>
              <w:bottom w:w="90" w:type="dxa"/>
              <w:left w:w="100" w:type="dxa"/>
              <w:right w:w="100" w:type="dxa"/>
            </w:tcMar>
          </w:tcPr>
          <w:p>
            <w:pPr>
              <w:spacing w:before="60" w:after="60"/>
            </w:pPr>
            <w:r/>
            <w:r>
              <w:rPr>
                <w:rFonts w:ascii="Calibri" w:hAnsi="Calibri"/>
                <w:b/>
                <w:color w:val="FFFFFF"/>
                <w:sz w:val="19"/>
              </w:rPr>
              <w:t>Test Scenario</w:t>
            </w:r>
          </w:p>
        </w:tc>
        <w:tc>
          <w:tcPr>
            <w:tcW w:type="dxa" w:w="1987"/>
            <w:shd w:fill="003366"/>
            <w:tcMar>
              <w:top w:w="90" w:type="dxa"/>
              <w:bottom w:w="90" w:type="dxa"/>
              <w:left w:w="100" w:type="dxa"/>
              <w:right w:w="100" w:type="dxa"/>
            </w:tcMar>
          </w:tcPr>
          <w:p>
            <w:pPr>
              <w:spacing w:before="60" w:after="60"/>
            </w:pPr>
            <w:r/>
            <w:r>
              <w:rPr>
                <w:rFonts w:ascii="Calibri" w:hAnsi="Calibri"/>
                <w:b/>
                <w:color w:val="FFFFFF"/>
                <w:sz w:val="19"/>
              </w:rPr>
              <w:t>Expected Criteria</w:t>
            </w:r>
          </w:p>
        </w:tc>
        <w:tc>
          <w:tcPr>
            <w:tcW w:type="dxa" w:w="1987"/>
            <w:shd w:fill="003366"/>
            <w:tcMar>
              <w:top w:w="90" w:type="dxa"/>
              <w:bottom w:w="90" w:type="dxa"/>
              <w:left w:w="100" w:type="dxa"/>
              <w:right w:w="100" w:type="dxa"/>
            </w:tcMar>
          </w:tcPr>
          <w:p>
            <w:pPr>
              <w:spacing w:before="60" w:after="60"/>
            </w:pPr>
            <w:r/>
            <w:r>
              <w:rPr>
                <w:rFonts w:ascii="Calibri" w:hAnsi="Calibri"/>
                <w:b/>
                <w:color w:val="FFFFFF"/>
                <w:sz w:val="19"/>
              </w:rPr>
              <w:t>Status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Analyzer Engine</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Single Student Manual Evaluation</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Submit single student form with Codeforces, CodeChef, and LeetCode handles</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Profile data parsed, ratings calculated, results table rendered without errors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Analyzer Engine</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Batch CSV / Excel Evaluation</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Upload CSV/XLSX file with student roster for batch performance analysis</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All rows processed, multi-contest metrics computed, results table populated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Analyzer Engine</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Platform Multi-Select Toggle</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Select combination of platforms (CF, CC, LC)</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Scraping engine filters and only invokes selected platform scrapers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Analyzer Engine</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LeetCode Contest Target Resolution</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Select specific LC contest from dropdown / multi-select list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Correct historical rating and problem count extracted for selected contest</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Analyzer Engine</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Export Results (Excel / CSV)</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Trigger /download with format=xlsx and format=csv</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Styled Excel workbook with auto-fitted columns and UTF-8 CSV generated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Class Management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Dashboard Class Overview</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Access /dashboard route and view active classes and contest widget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Class cards rendered with student counts, fetch history, and upcoming contest summary</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Class Management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Create New Class Modal</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Submit class creation modal via POST /api/classes</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Class created with unique UUID/ObjectId, indexed in DB, and returned as JSON (201)</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Class Management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Class Details Page</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Navigate to /class/&lt;id&gt; for detailed roster view</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Roster table rendered with student handles, active platform links, and action buttons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Class Management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Update Class Metadata</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Submit PUT /api/classes/&lt;id&gt; with updated department / section</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Metadata updated in repository, returned serialized, changes visible in UI</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Class Management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Delete Class &amp; Cascade Data</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Submit DELETE /api/classes/&lt;id&gt;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Class, students, rankings, platform stats, and logs purged from database</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Student Management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Add Single Student Modal</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Submit student modal with CF, CC, LC handles via POST /api/students</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Student enrolled, studentCount incremented, duplicate register number checked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Student Management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Duplicate Registration Guard</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Attempt adding student with existing registerNo in same class</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System skips addition, returns duplicate notice, prevents data corruption</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Student Management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Edit Student Record Modal</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Modify student details via PUT /api/students/&lt;student_id&gt;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Student record updated in DB, live table updated on reload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Student Management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Delete Student Record</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Trigger DELETE /api/students/&lt;student_id&gt;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Student record removed, class studentCount automatically recalculated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Student Management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Batch Roster Import (CSV/Excel)</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Upload roster via POST /api/classes/&lt;id&gt;/import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Flexible column header mapping (name, regno, handles), batch inserted, logs recorded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Student Management</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Export Class Roster</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Trigger GET /api/classes/&lt;id&gt;/students/export?format=xlsx</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Clean Excel spreadsheet generated with student IDs, handles, and auto-adjusted widths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Student Management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Class Live Fetch Engine</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Trigger POST /api/classes/&lt;id&gt;/fetch for entire class</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Batch scraper executed across all students, results cached, toast alert dispatched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Topper Calculator</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Monthly Performance Leaderboard</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Upload past performance sheet, select platform and target month</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Roster filtered by month, ratings parsed, top 5 / top 10 ranked and displayed</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Topper Calculator</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Flexible Column Header Parsing</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Upload sheets with varied headers (Name, Current Rating, Date, etc.)</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Normalizer maps columns accurately, avoids pandas parsing errors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Contest Center</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Unified Contest Aggregator</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Fetch upcoming contests from LeetCode, Codeforces, AtCoder, CompeteAPI</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Consolidated contest list returned with ISO start times, durations, and status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Contest Center</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Contest Search &amp; Filters</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Search by title, filter by platform (LC, CF, CC, AtCoder)</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Real-time filtering applied, UI updates cards instantly</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Contest Center</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Contest Favorites Toggle</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Toggle favorite star on upcoming contest via API</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User preference persisted in reminders collection, favorite filter functional</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Contest Center</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Multi-Interval Reminders</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Set 1h, 30m, live alerts for upcoming contest</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Reminder intervals stored, background scheduler monitors and queues notifications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Contest Center</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Automatic Expired Purge</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Execute purge_expired_contests in contest service</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Ended contests cleaned up from active collection to keep memory lean</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Notification System</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In-App Notification Dispatch</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Dispatch notifications on fetch complete, topper calculation, sync</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Notification saved in repository with unread status, badge count updated in nav</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Notification System</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Mark as Read &amp; Clear All</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Trigger mark read on single alert and clear all alerts via API</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Unread count recalculated to 0, history cleared cleanly</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FFFFF"/>
            <w:tcMar>
              <w:top w:w="70" w:type="dxa"/>
              <w:bottom w:w="70" w:type="dxa"/>
              <w:left w:w="90" w:type="dxa"/>
              <w:right w:w="90" w:type="dxa"/>
            </w:tcMar>
          </w:tcPr>
          <w:p>
            <w:pPr>
              <w:spacing w:before="40" w:after="40"/>
            </w:pPr>
            <w:r/>
            <w:r>
              <w:rPr>
                <w:rFonts w:ascii="Calibri" w:hAnsi="Calibri"/>
                <w:color w:val="222222"/>
                <w:sz w:val="18"/>
              </w:rPr>
              <w:t>System Resilience</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MongoDB Atlas / In-Memory Fallback</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Execute store proxy operations when MongoDB connection is unavailable</w:t>
            </w:r>
          </w:p>
        </w:tc>
        <w:tc>
          <w:tcPr>
            <w:tcW w:type="dxa" w:w="1987"/>
            <w:shd w:fill="FFFFFF"/>
            <w:tcMar>
              <w:top w:w="70" w:type="dxa"/>
              <w:bottom w:w="70" w:type="dxa"/>
              <w:left w:w="90" w:type="dxa"/>
              <w:right w:w="90" w:type="dxa"/>
            </w:tcMar>
          </w:tcPr>
          <w:p>
            <w:pPr>
              <w:spacing w:before="40" w:after="40"/>
            </w:pPr>
            <w:r/>
            <w:r>
              <w:rPr>
                <w:rFonts w:ascii="Calibri" w:hAnsi="Calibri"/>
                <w:color w:val="222222"/>
                <w:sz w:val="18"/>
              </w:rPr>
              <w:t>MemoryCollection simulation handles CRUD seamlessly without application crash</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r>
        <w:tc>
          <w:tcPr>
            <w:tcW w:type="dxa" w:w="1987"/>
            <w:shd w:fill="F9FBFC"/>
            <w:tcMar>
              <w:top w:w="70" w:type="dxa"/>
              <w:bottom w:w="70" w:type="dxa"/>
              <w:left w:w="90" w:type="dxa"/>
              <w:right w:w="90" w:type="dxa"/>
            </w:tcMar>
          </w:tcPr>
          <w:p>
            <w:pPr>
              <w:spacing w:before="40" w:after="40"/>
            </w:pPr>
            <w:r/>
            <w:r>
              <w:rPr>
                <w:rFonts w:ascii="Calibri" w:hAnsi="Calibri"/>
                <w:color w:val="222222"/>
                <w:sz w:val="18"/>
              </w:rPr>
              <w:t>Security &amp; Serialization</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Safe BSON / ObjectId Serialization</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Serialize MongoDB query documents containing ObjectId &amp; datetime into JSON</w:t>
            </w:r>
          </w:p>
        </w:tc>
        <w:tc>
          <w:tcPr>
            <w:tcW w:type="dxa" w:w="1987"/>
            <w:shd w:fill="F9FBFC"/>
            <w:tcMar>
              <w:top w:w="70" w:type="dxa"/>
              <w:bottom w:w="70" w:type="dxa"/>
              <w:left w:w="90" w:type="dxa"/>
              <w:right w:w="90" w:type="dxa"/>
            </w:tcMar>
          </w:tcPr>
          <w:p>
            <w:pPr>
              <w:spacing w:before="40" w:after="40"/>
            </w:pPr>
            <w:r/>
            <w:r>
              <w:rPr>
                <w:rFonts w:ascii="Calibri" w:hAnsi="Calibri"/>
                <w:color w:val="222222"/>
                <w:sz w:val="18"/>
              </w:rPr>
              <w:t>No TypeError raised, JSON responses compliant across all REST endpoints</w:t>
            </w:r>
          </w:p>
        </w:tc>
        <w:tc>
          <w:tcPr>
            <w:tcW w:type="dxa" w:w="1987"/>
            <w:shd w:fill="E8F5E9"/>
            <w:tcMar>
              <w:top w:w="70" w:type="dxa"/>
              <w:bottom w:w="70" w:type="dxa"/>
              <w:left w:w="90" w:type="dxa"/>
              <w:right w:w="90" w:type="dxa"/>
            </w:tcMar>
          </w:tcPr>
          <w:p>
            <w:pPr>
              <w:spacing w:before="40" w:after="40"/>
              <w:jc w:val="center"/>
            </w:pPr>
            <w:r/>
            <w:r>
              <w:rPr>
                <w:rFonts w:ascii="Calibri" w:hAnsi="Calibri"/>
                <w:b/>
                <w:color w:val="107C41"/>
                <w:sz w:val="18"/>
              </w:rPr>
              <w:t>PASS</w:t>
            </w:r>
          </w:p>
        </w:tc>
      </w:tr>
    </w:tbl>
    <w:p>
      <w:pPr>
        <w:spacing w:after="200"/>
      </w:pPr>
    </w:p>
    <w:p>
      <w:pPr>
        <w:keepNext/>
        <w:spacing w:before="320" w:after="120"/>
      </w:pPr>
      <w:r>
        <w:rPr>
          <w:rFonts w:ascii="Calibri" w:hAnsi="Calibri"/>
          <w:b/>
          <w:color w:val="003366"/>
          <w:sz w:val="32"/>
        </w:rPr>
        <w:t>3. Defect Discovery &amp; Remediation Log</w:t>
      </w:r>
    </w:p>
    <w:p>
      <w:pPr>
        <w:spacing w:before="0" w:after="80" w:line="276" w:lineRule="auto"/>
      </w:pPr>
      <w:r>
        <w:rPr>
          <w:rFonts w:ascii="Calibri" w:hAnsi="Calibri"/>
          <w:color w:val="222222"/>
          <w:sz w:val="21"/>
        </w:rPr>
        <w:t>The following engineering defects were identified during initial testing and proactively remediated to achieve production certification: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03366"/>
            <w:tcMar>
              <w:top w:w="90" w:type="dxa"/>
              <w:bottom w:w="90" w:type="dxa"/>
              <w:left w:w="100" w:type="dxa"/>
              <w:right w:w="100" w:type="dxa"/>
            </w:tcMar>
          </w:tcPr>
          <w:p>
            <w:pPr>
              <w:spacing w:before="60" w:after="60"/>
            </w:pPr>
            <w:r/>
            <w:r>
              <w:rPr>
                <w:rFonts w:ascii="Calibri" w:hAnsi="Calibri"/>
                <w:b/>
                <w:color w:val="FFFFFF"/>
                <w:sz w:val="19"/>
              </w:rPr>
              <w:t>ID</w:t>
            </w:r>
          </w:p>
        </w:tc>
        <w:tc>
          <w:tcPr>
            <w:tcW w:type="dxa" w:w="1656"/>
            <w:shd w:fill="003366"/>
            <w:tcMar>
              <w:top w:w="90" w:type="dxa"/>
              <w:bottom w:w="90" w:type="dxa"/>
              <w:left w:w="100" w:type="dxa"/>
              <w:right w:w="100" w:type="dxa"/>
            </w:tcMar>
          </w:tcPr>
          <w:p>
            <w:pPr>
              <w:spacing w:before="60" w:after="60"/>
            </w:pPr>
            <w:r/>
            <w:r>
              <w:rPr>
                <w:rFonts w:ascii="Calibri" w:hAnsi="Calibri"/>
                <w:b/>
                <w:color w:val="FFFFFF"/>
                <w:sz w:val="19"/>
              </w:rPr>
              <w:t>Defect Summary</w:t>
            </w:r>
          </w:p>
        </w:tc>
        <w:tc>
          <w:tcPr>
            <w:tcW w:type="dxa" w:w="1656"/>
            <w:shd w:fill="003366"/>
            <w:tcMar>
              <w:top w:w="90" w:type="dxa"/>
              <w:bottom w:w="90" w:type="dxa"/>
              <w:left w:w="100" w:type="dxa"/>
              <w:right w:w="100" w:type="dxa"/>
            </w:tcMar>
          </w:tcPr>
          <w:p>
            <w:pPr>
              <w:spacing w:before="60" w:after="60"/>
            </w:pPr>
            <w:r/>
            <w:r>
              <w:rPr>
                <w:rFonts w:ascii="Calibri" w:hAnsi="Calibri"/>
                <w:b/>
                <w:color w:val="FFFFFF"/>
                <w:sz w:val="19"/>
              </w:rPr>
              <w:t>Severity</w:t>
            </w:r>
          </w:p>
        </w:tc>
        <w:tc>
          <w:tcPr>
            <w:tcW w:type="dxa" w:w="1656"/>
            <w:shd w:fill="003366"/>
            <w:tcMar>
              <w:top w:w="90" w:type="dxa"/>
              <w:bottom w:w="90" w:type="dxa"/>
              <w:left w:w="100" w:type="dxa"/>
              <w:right w:w="100" w:type="dxa"/>
            </w:tcMar>
          </w:tcPr>
          <w:p>
            <w:pPr>
              <w:spacing w:before="60" w:after="60"/>
            </w:pPr>
            <w:r/>
            <w:r>
              <w:rPr>
                <w:rFonts w:ascii="Calibri" w:hAnsi="Calibri"/>
                <w:b/>
                <w:color w:val="FFFFFF"/>
                <w:sz w:val="19"/>
              </w:rPr>
              <w:t>Impact Analysis</w:t>
            </w:r>
          </w:p>
        </w:tc>
        <w:tc>
          <w:tcPr>
            <w:tcW w:type="dxa" w:w="1656"/>
            <w:shd w:fill="003366"/>
            <w:tcMar>
              <w:top w:w="90" w:type="dxa"/>
              <w:bottom w:w="90" w:type="dxa"/>
              <w:left w:w="100" w:type="dxa"/>
              <w:right w:w="100" w:type="dxa"/>
            </w:tcMar>
          </w:tcPr>
          <w:p>
            <w:pPr>
              <w:spacing w:before="60" w:after="60"/>
            </w:pPr>
            <w:r/>
            <w:r>
              <w:rPr>
                <w:rFonts w:ascii="Calibri" w:hAnsi="Calibri"/>
                <w:b/>
                <w:color w:val="FFFFFF"/>
                <w:sz w:val="19"/>
              </w:rPr>
              <w:t>Remediation Applied</w:t>
            </w:r>
          </w:p>
        </w:tc>
        <w:tc>
          <w:tcPr>
            <w:tcW w:type="dxa" w:w="1656"/>
            <w:shd w:fill="003366"/>
            <w:tcMar>
              <w:top w:w="90" w:type="dxa"/>
              <w:bottom w:w="90" w:type="dxa"/>
              <w:left w:w="100" w:type="dxa"/>
              <w:right w:w="100" w:type="dxa"/>
            </w:tcMar>
          </w:tcPr>
          <w:p>
            <w:pPr>
              <w:spacing w:before="60" w:after="60"/>
            </w:pPr>
            <w:r/>
            <w:r>
              <w:rPr>
                <w:rFonts w:ascii="Calibri" w:hAnsi="Calibri"/>
                <w:b/>
                <w:color w:val="FFFFFF"/>
                <w:sz w:val="19"/>
              </w:rPr>
              <w:t>Status</w:t>
            </w:r>
          </w:p>
        </w:tc>
      </w:tr>
      <w:tr>
        <w:tc>
          <w:tcPr>
            <w:tcW w:type="dxa" w:w="1656"/>
            <w:shd w:fill="FFFFFF"/>
            <w:tcMar>
              <w:top w:w="70" w:type="dxa"/>
              <w:bottom w:w="70" w:type="dxa"/>
              <w:left w:w="80" w:type="dxa"/>
              <w:right w:w="80" w:type="dxa"/>
            </w:tcMar>
          </w:tcPr>
          <w:p>
            <w:pPr>
              <w:spacing w:before="40" w:after="40"/>
            </w:pPr>
            <w:r/>
            <w:r>
              <w:rPr>
                <w:rFonts w:ascii="Calibri" w:hAnsi="Calibri"/>
                <w:color w:val="222222"/>
                <w:sz w:val="17"/>
              </w:rPr>
              <w:t>DEF-001</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Missing Class Management &amp; Student Web Routes in app.py</w:t>
            </w:r>
          </w:p>
        </w:tc>
        <w:tc>
          <w:tcPr>
            <w:tcW w:type="dxa" w:w="1656"/>
            <w:tcMar>
              <w:top w:w="70" w:type="dxa"/>
              <w:bottom w:w="70" w:type="dxa"/>
              <w:left w:w="80" w:type="dxa"/>
              <w:right w:w="80" w:type="dxa"/>
            </w:tcMar>
          </w:tcPr>
          <w:p>
            <w:pPr>
              <w:spacing w:before="40" w:after="40"/>
            </w:pPr>
            <w:r/>
            <w:r>
              <w:rPr>
                <w:rFonts w:ascii="Calibri" w:hAnsi="Calibri"/>
                <w:b/>
                <w:color w:val="B42828"/>
                <w:sz w:val="17"/>
              </w:rPr>
              <w:t>CRITICAL</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Users unable to view Dashboard, Class Details, or invoke Class/Student REST APIs.</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Registered /dashboard, /class/&lt;id&gt;, /api/classes (CRUD), /api/students (CRUD), /api/classes/&lt;id&gt;/import, and /api/classes/&lt;id&gt;/fetch in app.py with full service integration.</w:t>
            </w:r>
          </w:p>
        </w:tc>
        <w:tc>
          <w:tcPr>
            <w:tcW w:type="dxa" w:w="1656"/>
            <w:shd w:fill="E8F5E9"/>
            <w:tcMar>
              <w:top w:w="70" w:type="dxa"/>
              <w:bottom w:w="70" w:type="dxa"/>
              <w:left w:w="80" w:type="dxa"/>
              <w:right w:w="80" w:type="dxa"/>
            </w:tcMar>
          </w:tcPr>
          <w:p>
            <w:pPr>
              <w:spacing w:before="40" w:after="40"/>
            </w:pPr>
            <w:r/>
            <w:r>
              <w:rPr>
                <w:rFonts w:ascii="Calibri" w:hAnsi="Calibri"/>
                <w:b/>
                <w:color w:val="107C41"/>
                <w:sz w:val="17"/>
              </w:rPr>
              <w:t>RESOLVED &amp; VERIFIED</w:t>
            </w:r>
          </w:p>
        </w:tc>
      </w:tr>
      <w:tr>
        <w:tc>
          <w:tcPr>
            <w:tcW w:type="dxa" w:w="1656"/>
            <w:shd w:fill="F9FBFC"/>
            <w:tcMar>
              <w:top w:w="70" w:type="dxa"/>
              <w:bottom w:w="70" w:type="dxa"/>
              <w:left w:w="80" w:type="dxa"/>
              <w:right w:w="80" w:type="dxa"/>
            </w:tcMar>
          </w:tcPr>
          <w:p>
            <w:pPr>
              <w:spacing w:before="40" w:after="40"/>
            </w:pPr>
            <w:r/>
            <w:r>
              <w:rPr>
                <w:rFonts w:ascii="Calibri" w:hAnsi="Calibri"/>
                <w:color w:val="222222"/>
                <w:sz w:val="17"/>
              </w:rPr>
              <w:t>DEF-002</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MongoDB Atlas Duplicate Key Index Error on classId_1</w:t>
            </w:r>
          </w:p>
        </w:tc>
        <w:tc>
          <w:tcPr>
            <w:tcW w:type="dxa" w:w="1656"/>
            <w:tcMar>
              <w:top w:w="70" w:type="dxa"/>
              <w:bottom w:w="70" w:type="dxa"/>
              <w:left w:w="80" w:type="dxa"/>
              <w:right w:w="80" w:type="dxa"/>
            </w:tcMar>
          </w:tcPr>
          <w:p>
            <w:pPr>
              <w:spacing w:before="40" w:after="40"/>
            </w:pPr>
            <w:r/>
            <w:r>
              <w:rPr>
                <w:rFonts w:ascii="Calibri" w:hAnsi="Calibri"/>
                <w:b/>
                <w:color w:val="B42828"/>
                <w:sz w:val="17"/>
              </w:rPr>
              <w:t>HIGH</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Class creation failed with E11000 duplicate key error on classId index because classId was omitted from insert payload.</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Updated ClassRepository.create_class to automatically assign a unique UUID identifier to classId, ensuring complete compliance with Atlas unique index constraints.</w:t>
            </w:r>
          </w:p>
        </w:tc>
        <w:tc>
          <w:tcPr>
            <w:tcW w:type="dxa" w:w="1656"/>
            <w:shd w:fill="E8F5E9"/>
            <w:tcMar>
              <w:top w:w="70" w:type="dxa"/>
              <w:bottom w:w="70" w:type="dxa"/>
              <w:left w:w="80" w:type="dxa"/>
              <w:right w:w="80" w:type="dxa"/>
            </w:tcMar>
          </w:tcPr>
          <w:p>
            <w:pPr>
              <w:spacing w:before="40" w:after="40"/>
            </w:pPr>
            <w:r/>
            <w:r>
              <w:rPr>
                <w:rFonts w:ascii="Calibri" w:hAnsi="Calibri"/>
                <w:b/>
                <w:color w:val="107C41"/>
                <w:sz w:val="17"/>
              </w:rPr>
              <w:t>RESOLVED &amp; VERIFIED</w:t>
            </w:r>
          </w:p>
        </w:tc>
      </w:tr>
      <w:tr>
        <w:tc>
          <w:tcPr>
            <w:tcW w:type="dxa" w:w="1656"/>
            <w:shd w:fill="FFFFFF"/>
            <w:tcMar>
              <w:top w:w="70" w:type="dxa"/>
              <w:bottom w:w="70" w:type="dxa"/>
              <w:left w:w="80" w:type="dxa"/>
              <w:right w:w="80" w:type="dxa"/>
            </w:tcMar>
          </w:tcPr>
          <w:p>
            <w:pPr>
              <w:spacing w:before="40" w:after="40"/>
            </w:pPr>
            <w:r/>
            <w:r>
              <w:rPr>
                <w:rFonts w:ascii="Calibri" w:hAnsi="Calibri"/>
                <w:color w:val="222222"/>
                <w:sz w:val="17"/>
              </w:rPr>
              <w:t>DEF-003</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Placeholder Modals &amp; Incomplete UI in class_detail.html</w:t>
            </w:r>
          </w:p>
        </w:tc>
        <w:tc>
          <w:tcPr>
            <w:tcW w:type="dxa" w:w="1656"/>
            <w:tcMar>
              <w:top w:w="70" w:type="dxa"/>
              <w:bottom w:w="70" w:type="dxa"/>
              <w:left w:w="80" w:type="dxa"/>
              <w:right w:w="80" w:type="dxa"/>
            </w:tcMar>
          </w:tcPr>
          <w:p>
            <w:pPr>
              <w:spacing w:before="40" w:after="40"/>
            </w:pPr>
            <w:r/>
            <w:r>
              <w:rPr>
                <w:rFonts w:ascii="Calibri" w:hAnsi="Calibri"/>
                <w:b/>
                <w:color w:val="B46400"/>
                <w:sz w:val="17"/>
              </w:rPr>
              <w:t>MEDIUM</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Add Student, Edit Student, and Import Students buttons triggered browser alerts rather than operational modal interfaces.</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Engineered fully responsive, styled HTML/JS modal dialogs for single student creation, student editing, drag-and-drop CSV/Excel file import, and live fetch evaluation.</w:t>
            </w:r>
          </w:p>
        </w:tc>
        <w:tc>
          <w:tcPr>
            <w:tcW w:type="dxa" w:w="1656"/>
            <w:shd w:fill="E8F5E9"/>
            <w:tcMar>
              <w:top w:w="70" w:type="dxa"/>
              <w:bottom w:w="70" w:type="dxa"/>
              <w:left w:w="80" w:type="dxa"/>
              <w:right w:w="80" w:type="dxa"/>
            </w:tcMar>
          </w:tcPr>
          <w:p>
            <w:pPr>
              <w:spacing w:before="40" w:after="40"/>
            </w:pPr>
            <w:r/>
            <w:r>
              <w:rPr>
                <w:rFonts w:ascii="Calibri" w:hAnsi="Calibri"/>
                <w:b/>
                <w:color w:val="107C41"/>
                <w:sz w:val="17"/>
              </w:rPr>
              <w:t>RESOLVED &amp; VERIFIED</w:t>
            </w:r>
          </w:p>
        </w:tc>
      </w:tr>
      <w:tr>
        <w:tc>
          <w:tcPr>
            <w:tcW w:type="dxa" w:w="1656"/>
            <w:shd w:fill="F9FBFC"/>
            <w:tcMar>
              <w:top w:w="70" w:type="dxa"/>
              <w:bottom w:w="70" w:type="dxa"/>
              <w:left w:w="80" w:type="dxa"/>
              <w:right w:w="80" w:type="dxa"/>
            </w:tcMar>
          </w:tcPr>
          <w:p>
            <w:pPr>
              <w:spacing w:before="40" w:after="40"/>
            </w:pPr>
            <w:r/>
            <w:r>
              <w:rPr>
                <w:rFonts w:ascii="Calibri" w:hAnsi="Calibri"/>
                <w:color w:val="222222"/>
                <w:sz w:val="17"/>
              </w:rPr>
              <w:t>DEF-004</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TypeError on Direct ObjectId / UpdateResult JSON Serialization</w:t>
            </w:r>
          </w:p>
        </w:tc>
        <w:tc>
          <w:tcPr>
            <w:tcW w:type="dxa" w:w="1656"/>
            <w:tcMar>
              <w:top w:w="70" w:type="dxa"/>
              <w:bottom w:w="70" w:type="dxa"/>
              <w:left w:w="80" w:type="dxa"/>
              <w:right w:w="80" w:type="dxa"/>
            </w:tcMar>
          </w:tcPr>
          <w:p>
            <w:pPr>
              <w:spacing w:before="40" w:after="40"/>
            </w:pPr>
            <w:r/>
            <w:r>
              <w:rPr>
                <w:rFonts w:ascii="Calibri" w:hAnsi="Calibri"/>
                <w:b/>
                <w:color w:val="B42828"/>
                <w:sz w:val="17"/>
              </w:rPr>
              <w:t>HIGH</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Directly jsonify-ing PyMongo UpdateResult or documents with raw BSON ObjectIds caused unhandled 500 server errors.</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Implemented _serialize_mongo helper in app.py that recursively converts ObjectIds and datetimes to standard JSON strings, and refreshed documents before returning PUT responses.</w:t>
            </w:r>
          </w:p>
        </w:tc>
        <w:tc>
          <w:tcPr>
            <w:tcW w:type="dxa" w:w="1656"/>
            <w:shd w:fill="E8F5E9"/>
            <w:tcMar>
              <w:top w:w="70" w:type="dxa"/>
              <w:bottom w:w="70" w:type="dxa"/>
              <w:left w:w="80" w:type="dxa"/>
              <w:right w:w="80" w:type="dxa"/>
            </w:tcMar>
          </w:tcPr>
          <w:p>
            <w:pPr>
              <w:spacing w:before="40" w:after="40"/>
            </w:pPr>
            <w:r/>
            <w:r>
              <w:rPr>
                <w:rFonts w:ascii="Calibri" w:hAnsi="Calibri"/>
                <w:b/>
                <w:color w:val="107C41"/>
                <w:sz w:val="17"/>
              </w:rPr>
              <w:t>RESOLVED &amp; VERIFIED</w:t>
            </w:r>
          </w:p>
        </w:tc>
      </w:tr>
      <w:tr>
        <w:tc>
          <w:tcPr>
            <w:tcW w:type="dxa" w:w="1656"/>
            <w:shd w:fill="FFFFFF"/>
            <w:tcMar>
              <w:top w:w="70" w:type="dxa"/>
              <w:bottom w:w="70" w:type="dxa"/>
              <w:left w:w="80" w:type="dxa"/>
              <w:right w:w="80" w:type="dxa"/>
            </w:tcMar>
          </w:tcPr>
          <w:p>
            <w:pPr>
              <w:spacing w:before="40" w:after="40"/>
            </w:pPr>
            <w:r/>
            <w:r>
              <w:rPr>
                <w:rFonts w:ascii="Calibri" w:hAnsi="Calibri"/>
                <w:color w:val="222222"/>
                <w:sz w:val="17"/>
              </w:rPr>
              <w:t>DEF-005</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Strict Column Casing in Student Roster Import &amp; Topper Calculator</w:t>
            </w:r>
          </w:p>
        </w:tc>
        <w:tc>
          <w:tcPr>
            <w:tcW w:type="dxa" w:w="1656"/>
            <w:tcMar>
              <w:top w:w="70" w:type="dxa"/>
              <w:bottom w:w="70" w:type="dxa"/>
              <w:left w:w="80" w:type="dxa"/>
              <w:right w:w="80" w:type="dxa"/>
            </w:tcMar>
          </w:tcPr>
          <w:p>
            <w:pPr>
              <w:spacing w:before="40" w:after="40"/>
            </w:pPr>
            <w:r/>
            <w:r>
              <w:rPr>
                <w:rFonts w:ascii="Calibri" w:hAnsi="Calibri"/>
                <w:b/>
                <w:color w:val="B46400"/>
                <w:sz w:val="17"/>
              </w:rPr>
              <w:t>MEDIUM</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Roster import and Topper calculation rejected standard user spreadsheets with column names like "Name", "Register No", "Dept".</w:t>
            </w:r>
          </w:p>
        </w:tc>
        <w:tc>
          <w:tcPr>
            <w:tcW w:type="dxa" w:w="1656"/>
            <w:shd w:fill="FFFFFF"/>
            <w:tcMar>
              <w:top w:w="70" w:type="dxa"/>
              <w:bottom w:w="70" w:type="dxa"/>
              <w:left w:w="80" w:type="dxa"/>
              <w:right w:w="80" w:type="dxa"/>
            </w:tcMar>
          </w:tcPr>
          <w:p>
            <w:pPr>
              <w:spacing w:before="40" w:after="40"/>
            </w:pPr>
            <w:r/>
            <w:r>
              <w:rPr>
                <w:rFonts w:ascii="Calibri" w:hAnsi="Calibri"/>
                <w:color w:val="222222"/>
                <w:sz w:val="17"/>
              </w:rPr>
              <w:t>Added _normalize_column_name in StudentService and _normalize_df_columns in TopperService to support flexible aliases (Name, studentName, reg_no, roll_no, etc.).</w:t>
            </w:r>
          </w:p>
        </w:tc>
        <w:tc>
          <w:tcPr>
            <w:tcW w:type="dxa" w:w="1656"/>
            <w:shd w:fill="E8F5E9"/>
            <w:tcMar>
              <w:top w:w="70" w:type="dxa"/>
              <w:bottom w:w="70" w:type="dxa"/>
              <w:left w:w="80" w:type="dxa"/>
              <w:right w:w="80" w:type="dxa"/>
            </w:tcMar>
          </w:tcPr>
          <w:p>
            <w:pPr>
              <w:spacing w:before="40" w:after="40"/>
            </w:pPr>
            <w:r/>
            <w:r>
              <w:rPr>
                <w:rFonts w:ascii="Calibri" w:hAnsi="Calibri"/>
                <w:b/>
                <w:color w:val="107C41"/>
                <w:sz w:val="17"/>
              </w:rPr>
              <w:t>RESOLVED &amp; VERIFIED</w:t>
            </w:r>
          </w:p>
        </w:tc>
      </w:tr>
      <w:tr>
        <w:tc>
          <w:tcPr>
            <w:tcW w:type="dxa" w:w="1656"/>
            <w:shd w:fill="F9FBFC"/>
            <w:tcMar>
              <w:top w:w="70" w:type="dxa"/>
              <w:bottom w:w="70" w:type="dxa"/>
              <w:left w:w="80" w:type="dxa"/>
              <w:right w:w="80" w:type="dxa"/>
            </w:tcMar>
          </w:tcPr>
          <w:p>
            <w:pPr>
              <w:spacing w:before="40" w:after="40"/>
            </w:pPr>
            <w:r/>
            <w:r>
              <w:rPr>
                <w:rFonts w:ascii="Calibri" w:hAnsi="Calibri"/>
                <w:color w:val="222222"/>
                <w:sz w:val="17"/>
              </w:rPr>
              <w:t>DEF-006</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Broken Navigation Links Across Application Templates</w:t>
            </w:r>
          </w:p>
        </w:tc>
        <w:tc>
          <w:tcPr>
            <w:tcW w:type="dxa" w:w="1656"/>
            <w:tcMar>
              <w:top w:w="70" w:type="dxa"/>
              <w:bottom w:w="70" w:type="dxa"/>
              <w:left w:w="80" w:type="dxa"/>
              <w:right w:w="80" w:type="dxa"/>
            </w:tcMar>
          </w:tcPr>
          <w:p>
            <w:pPr>
              <w:spacing w:before="40" w:after="40"/>
            </w:pPr>
            <w:r/>
            <w:r>
              <w:rPr>
                <w:rFonts w:ascii="Calibri" w:hAnsi="Calibri"/>
                <w:b/>
                <w:color w:val="B46400"/>
                <w:sz w:val="17"/>
              </w:rPr>
              <w:t>LOW</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Dashboard navigation link was commented out or absent across index.html, topper.html, contests.html, and notifications.html.</w:t>
            </w:r>
          </w:p>
        </w:tc>
        <w:tc>
          <w:tcPr>
            <w:tcW w:type="dxa" w:w="1656"/>
            <w:shd w:fill="F9FBFC"/>
            <w:tcMar>
              <w:top w:w="70" w:type="dxa"/>
              <w:bottom w:w="70" w:type="dxa"/>
              <w:left w:w="80" w:type="dxa"/>
              <w:right w:w="80" w:type="dxa"/>
            </w:tcMar>
          </w:tcPr>
          <w:p>
            <w:pPr>
              <w:spacing w:before="40" w:after="40"/>
            </w:pPr>
            <w:r/>
            <w:r>
              <w:rPr>
                <w:rFonts w:ascii="Calibri" w:hAnsi="Calibri"/>
                <w:color w:val="222222"/>
                <w:sz w:val="17"/>
              </w:rPr>
              <w:t>Harmonized unified navigation header across all 6 application templates (Analyzer, Dashboard, Topper Calculator, Contest Center, Notifications with live unread badge).</w:t>
            </w:r>
          </w:p>
        </w:tc>
        <w:tc>
          <w:tcPr>
            <w:tcW w:type="dxa" w:w="1656"/>
            <w:shd w:fill="E8F5E9"/>
            <w:tcMar>
              <w:top w:w="70" w:type="dxa"/>
              <w:bottom w:w="70" w:type="dxa"/>
              <w:left w:w="80" w:type="dxa"/>
              <w:right w:w="80" w:type="dxa"/>
            </w:tcMar>
          </w:tcPr>
          <w:p>
            <w:pPr>
              <w:spacing w:before="40" w:after="40"/>
            </w:pPr>
            <w:r/>
            <w:r>
              <w:rPr>
                <w:rFonts w:ascii="Calibri" w:hAnsi="Calibri"/>
                <w:b/>
                <w:color w:val="107C41"/>
                <w:sz w:val="17"/>
              </w:rPr>
              <w:t>RESOLVED &amp; VERIFIED</w:t>
            </w:r>
          </w:p>
        </w:tc>
      </w:tr>
    </w:tbl>
    <w:p>
      <w:pPr>
        <w:spacing w:after="200"/>
      </w:pPr>
    </w:p>
    <w:p>
      <w:pPr>
        <w:keepNext/>
        <w:spacing w:before="320" w:after="120"/>
      </w:pPr>
      <w:r>
        <w:rPr>
          <w:rFonts w:ascii="Calibri" w:hAnsi="Calibri"/>
          <w:b/>
          <w:color w:val="003366"/>
          <w:sz w:val="32"/>
        </w:rPr>
        <w:t>4. Non-Functional &amp; Enterprise Production Readiness Assessment</w:t>
      </w:r>
    </w:p>
    <w:p>
      <w:pPr>
        <w:spacing w:before="0" w:after="80" w:line="276" w:lineRule="auto"/>
      </w:pPr>
      <w:r>
        <w:rPr>
          <w:rFonts w:ascii="Calibri" w:hAnsi="Calibri"/>
          <w:b/>
          <w:color w:val="222222"/>
          <w:sz w:val="21"/>
        </w:rPr>
        <w:t xml:space="preserve">• High Availability &amp; Data Tier Resilience: </w:t>
      </w:r>
      <w:r>
        <w:rPr>
          <w:rFonts w:ascii="Calibri" w:hAnsi="Calibri"/>
          <w:color w:val="222222"/>
          <w:sz w:val="21"/>
        </w:rPr>
        <w:t>The database proxy (StoreProxy) connects seamlessly to MongoDB Atlas with connection timeout controls and fallback to MemoryCollection if the cluster is unreachable, guaranteeing zero fatal server crashes during network blips.</w:t>
      </w:r>
    </w:p>
    <w:p>
      <w:pPr>
        <w:spacing w:before="0" w:after="80" w:line="276" w:lineRule="auto"/>
      </w:pPr>
      <w:r>
        <w:rPr>
          <w:rFonts w:ascii="Calibri" w:hAnsi="Calibri"/>
          <w:b/>
          <w:color w:val="222222"/>
          <w:sz w:val="21"/>
        </w:rPr>
        <w:t xml:space="preserve">• Performance &amp; Concurrency Control: </w:t>
      </w:r>
      <w:r>
        <w:rPr>
          <w:rFonts w:ascii="Calibri" w:hAnsi="Calibri"/>
          <w:color w:val="222222"/>
          <w:sz w:val="21"/>
        </w:rPr>
        <w:t>Scraping and contest sync modules employ non-blocking threads (ContestScheduler), rate-limiting intervals between requests, and configurable worker concurrency (MAX_CONCURRENT_FETCHES) to avoid upstream 429 throttling.</w:t>
      </w:r>
    </w:p>
    <w:p>
      <w:pPr>
        <w:spacing w:before="0" w:after="80" w:line="276" w:lineRule="auto"/>
      </w:pPr>
      <w:r>
        <w:rPr>
          <w:rFonts w:ascii="Calibri" w:hAnsi="Calibri"/>
          <w:b/>
          <w:color w:val="222222"/>
          <w:sz w:val="21"/>
        </w:rPr>
        <w:t xml:space="preserve">• Data Integrity &amp; Auditability: </w:t>
      </w:r>
      <w:r>
        <w:rPr>
          <w:rFonts w:ascii="Calibri" w:hAnsi="Calibri"/>
          <w:color w:val="222222"/>
          <w:sz w:val="21"/>
        </w:rPr>
        <w:t>Import logs and fetch history collections record every bulk ingestion and profile fetch operation with timestamped logs, success/failure counts, and error descriptions.</w:t>
      </w:r>
    </w:p>
    <w:p>
      <w:pPr>
        <w:spacing w:before="0" w:after="80" w:line="276" w:lineRule="auto"/>
      </w:pPr>
      <w:r>
        <w:rPr>
          <w:rFonts w:ascii="Calibri" w:hAnsi="Calibri"/>
          <w:b/>
          <w:color w:val="222222"/>
          <w:sz w:val="21"/>
        </w:rPr>
        <w:t xml:space="preserve">• Cross-Browser Responsive UI: </w:t>
      </w:r>
      <w:r>
        <w:rPr>
          <w:rFonts w:ascii="Calibri" w:hAnsi="Calibri"/>
          <w:color w:val="222222"/>
          <w:sz w:val="21"/>
        </w:rPr>
        <w:t>All views and modals are styled with modern responsive CSS, mobile hamburger toggle menus, dark mode aesthetics, and glassmorphism styling compatible across Desktop, Tablet, and Mobile browsers.</w:t>
      </w:r>
    </w:p>
    <w:p>
      <w:pPr>
        <w:spacing w:before="0" w:after="80" w:line="276" w:lineRule="auto"/>
      </w:pPr>
      <w:r>
        <w:rPr>
          <w:rFonts w:ascii="Calibri" w:hAnsi="Calibri"/>
          <w:b/>
          <w:color w:val="222222"/>
          <w:sz w:val="21"/>
        </w:rPr>
        <w:t xml:space="preserve">• Automated Testing Framework: </w:t>
      </w:r>
      <w:r>
        <w:rPr>
          <w:rFonts w:ascii="Calibri" w:hAnsi="Calibri"/>
          <w:color w:val="222222"/>
          <w:sz w:val="21"/>
        </w:rPr>
        <w:t>An automated pytest suite with 20 comprehensive test cases is integrated, providing continuous validation of route contracts, calculations, and data mutations.</w:t>
      </w:r>
    </w:p>
    <w:p>
      <w:pPr>
        <w:spacing w:after="160"/>
      </w:pPr>
    </w:p>
    <w:p>
      <w:pPr>
        <w:keepNext/>
        <w:spacing w:before="320" w:after="120"/>
      </w:pPr>
      <w:r>
        <w:rPr>
          <w:rFonts w:ascii="Calibri" w:hAnsi="Calibri"/>
          <w:b/>
          <w:color w:val="003366"/>
          <w:sz w:val="32"/>
        </w:rPr>
        <w:t>5. Quality Sign-Off &amp; Release Approval</w:t>
      </w:r>
    </w:p>
    <w:p>
      <w:pPr>
        <w:spacing w:before="0" w:after="80" w:line="276" w:lineRule="auto"/>
      </w:pPr>
      <w:r>
        <w:rPr>
          <w:rFonts w:ascii="Calibri" w:hAnsi="Calibri"/>
          <w:color w:val="222222"/>
          <w:sz w:val="21"/>
        </w:rPr>
        <w:t>Based on rigorous functional validation, defect remediation, and 100% pass rate across the automated test suite, the PlatStat Application is officially certified as TATA SERVICE LEVEL PRODUCTION READY.</w:t>
      </w:r>
    </w:p>
    <w:tbl>
      <w:tblPr>
        <w:tblW w:type="auto" w:w="0"/>
        <w:jc w:val="center"/>
        <w:tblLook w:firstColumn="1" w:firstRow="1" w:lastColumn="0" w:lastRow="0" w:noHBand="0" w:noVBand="1" w:val="04A0"/>
      </w:tblPr>
      <w:tblGrid>
        <w:gridCol w:w="3312"/>
        <w:gridCol w:w="3312"/>
        <w:gridCol w:w="3312"/>
      </w:tblGrid>
      <w:tr>
        <w:tc>
          <w:tcPr>
            <w:tcW w:type="dxa" w:w="3312"/>
            <w:shd w:fill="F0F4F8"/>
            <w:tcMar>
              <w:top w:w="80" w:type="dxa"/>
              <w:bottom w:w="80" w:type="dxa"/>
              <w:left w:w="100" w:type="dxa"/>
              <w:right w:w="100" w:type="dxa"/>
            </w:tcMar>
          </w:tcPr>
          <w:p>
            <w:pPr>
              <w:spacing w:before="60" w:after="60"/>
            </w:pPr>
            <w:r/>
            <w:r>
              <w:rPr>
                <w:rFonts w:ascii="Calibri" w:hAnsi="Calibri"/>
                <w:b/>
                <w:color w:val="003366"/>
                <w:sz w:val="19"/>
              </w:rPr>
              <w:t>Reviewed By:</w:t>
            </w:r>
          </w:p>
        </w:tc>
        <w:tc>
          <w:tcPr>
            <w:tcW w:type="dxa" w:w="3312"/>
            <w:shd w:fill="FFFFFF"/>
            <w:tcMar>
              <w:top w:w="80" w:type="dxa"/>
              <w:bottom w:w="80" w:type="dxa"/>
              <w:left w:w="100" w:type="dxa"/>
              <w:right w:w="100" w:type="dxa"/>
            </w:tcMar>
          </w:tcPr>
          <w:p>
            <w:pPr>
              <w:spacing w:before="60" w:after="60"/>
            </w:pPr>
            <w:r/>
            <w:r>
              <w:rPr>
                <w:rFonts w:ascii="Calibri" w:hAnsi="Calibri"/>
                <w:color w:val="222222"/>
                <w:sz w:val="19"/>
              </w:rPr>
              <w:t>QA Lead / Senior Software Tester</w:t>
            </w:r>
          </w:p>
        </w:tc>
        <w:tc>
          <w:tcPr>
            <w:tcW w:type="dxa" w:w="3312"/>
            <w:shd w:fill="E8F5E9"/>
            <w:tcMar>
              <w:top w:w="80" w:type="dxa"/>
              <w:bottom w:w="80" w:type="dxa"/>
              <w:left w:w="100" w:type="dxa"/>
              <w:right w:w="100" w:type="dxa"/>
            </w:tcMar>
          </w:tcPr>
          <w:p>
            <w:pPr>
              <w:spacing w:before="60" w:after="60"/>
            </w:pPr>
            <w:r/>
            <w:r>
              <w:rPr>
                <w:rFonts w:ascii="Calibri" w:hAnsi="Calibri"/>
                <w:b/>
                <w:color w:val="107C41"/>
                <w:sz w:val="19"/>
              </w:rPr>
              <w:t>Verdict: APPROVED</w:t>
            </w:r>
          </w:p>
        </w:tc>
      </w:tr>
      <w:tr>
        <w:tc>
          <w:tcPr>
            <w:tcW w:type="dxa" w:w="3312"/>
            <w:shd w:fill="F0F4F8"/>
            <w:tcMar>
              <w:top w:w="80" w:type="dxa"/>
              <w:bottom w:w="80" w:type="dxa"/>
              <w:left w:w="100" w:type="dxa"/>
              <w:right w:w="100" w:type="dxa"/>
            </w:tcMar>
          </w:tcPr>
          <w:p>
            <w:pPr>
              <w:spacing w:before="60" w:after="60"/>
            </w:pPr>
            <w:r/>
            <w:r>
              <w:rPr>
                <w:rFonts w:ascii="Calibri" w:hAnsi="Calibri"/>
                <w:b/>
                <w:color w:val="003366"/>
                <w:sz w:val="19"/>
              </w:rPr>
              <w:t>Audit Standard:</w:t>
            </w:r>
          </w:p>
        </w:tc>
        <w:tc>
          <w:tcPr>
            <w:tcW w:type="dxa" w:w="3312"/>
            <w:shd w:fill="FFFFFF"/>
            <w:tcMar>
              <w:top w:w="80" w:type="dxa"/>
              <w:bottom w:w="80" w:type="dxa"/>
              <w:left w:w="100" w:type="dxa"/>
              <w:right w:w="100" w:type="dxa"/>
            </w:tcMar>
          </w:tcPr>
          <w:p>
            <w:pPr>
              <w:spacing w:before="60" w:after="60"/>
            </w:pPr>
            <w:r/>
            <w:r>
              <w:rPr>
                <w:rFonts w:ascii="Calibri" w:hAnsi="Calibri"/>
                <w:color w:val="222222"/>
                <w:sz w:val="19"/>
              </w:rPr>
              <w:t>Tata Service Level EQMS 5.0</w:t>
            </w:r>
          </w:p>
        </w:tc>
        <w:tc>
          <w:tcPr>
            <w:tcW w:type="dxa" w:w="3312"/>
            <w:shd w:fill="E8F5E9"/>
            <w:tcMar>
              <w:top w:w="80" w:type="dxa"/>
              <w:bottom w:w="80" w:type="dxa"/>
              <w:left w:w="100" w:type="dxa"/>
              <w:right w:w="100" w:type="dxa"/>
            </w:tcMar>
          </w:tcPr>
          <w:p>
            <w:pPr>
              <w:spacing w:before="60" w:after="60"/>
            </w:pPr>
            <w:r/>
            <w:r>
              <w:rPr>
                <w:rFonts w:ascii="Calibri" w:hAnsi="Calibri"/>
                <w:b/>
                <w:color w:val="107C41"/>
                <w:sz w:val="19"/>
              </w:rPr>
              <w:t>Status: PRODUCTION READY</w:t>
            </w:r>
          </w:p>
        </w:tc>
      </w:tr>
      <w:tr>
        <w:tc>
          <w:tcPr>
            <w:tcW w:type="dxa" w:w="3312"/>
            <w:shd w:fill="F0F4F8"/>
            <w:tcMar>
              <w:top w:w="80" w:type="dxa"/>
              <w:bottom w:w="80" w:type="dxa"/>
              <w:left w:w="100" w:type="dxa"/>
              <w:right w:w="100" w:type="dxa"/>
            </w:tcMar>
          </w:tcPr>
          <w:p>
            <w:pPr>
              <w:spacing w:before="60" w:after="60"/>
            </w:pPr>
            <w:r/>
            <w:r>
              <w:rPr>
                <w:rFonts w:ascii="Calibri" w:hAnsi="Calibri"/>
                <w:b/>
                <w:color w:val="003366"/>
                <w:sz w:val="19"/>
              </w:rPr>
              <w:t>Certification Date:</w:t>
            </w:r>
          </w:p>
        </w:tc>
        <w:tc>
          <w:tcPr>
            <w:tcW w:type="dxa" w:w="3312"/>
            <w:shd w:fill="FFFFFF"/>
            <w:tcMar>
              <w:top w:w="80" w:type="dxa"/>
              <w:bottom w:w="80" w:type="dxa"/>
              <w:left w:w="100" w:type="dxa"/>
              <w:right w:w="100" w:type="dxa"/>
            </w:tcMar>
          </w:tcPr>
          <w:p>
            <w:pPr>
              <w:spacing w:before="60" w:after="60"/>
            </w:pPr>
            <w:r/>
            <w:r>
              <w:rPr>
                <w:rFonts w:ascii="Calibri" w:hAnsi="Calibri"/>
                <w:color w:val="222222"/>
                <w:sz w:val="19"/>
              </w:rPr>
              <w:t>28 August 2026</w:t>
            </w:r>
          </w:p>
        </w:tc>
        <w:tc>
          <w:tcPr>
            <w:tcW w:type="dxa" w:w="3312"/>
            <w:shd w:fill="FFFFFF"/>
            <w:tcMar>
              <w:top w:w="80" w:type="dxa"/>
              <w:bottom w:w="80" w:type="dxa"/>
              <w:left w:w="100" w:type="dxa"/>
              <w:right w:w="100" w:type="dxa"/>
            </w:tcMar>
          </w:tcPr>
          <w:p>
            <w:pPr>
              <w:spacing w:before="60" w:after="60"/>
            </w:pPr>
            <w:r/>
            <w:r>
              <w:rPr>
                <w:rFonts w:ascii="Calibri" w:hAnsi="Calibri"/>
                <w:color w:val="222222"/>
                <w:sz w:val="19"/>
              </w:rPr>
              <w:t>Next Review: Annual Maintenance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