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2563EB"/>
          <w:sz w:val="22"/>
        </w:rPr>
        <w:t>ENTERPRISE TALENT INTELLIGENCE SPECIFICATION</w:t>
      </w:r>
    </w:p>
    <w:p>
      <w:pPr>
        <w:spacing w:after="240"/>
        <w:jc w:val="center"/>
      </w:pPr>
      <w:r>
        <w:rPr>
          <w:rFonts w:ascii="Arial" w:hAnsi="Arial"/>
          <w:b/>
          <w:color w:val="1E3A8A"/>
          <w:sz w:val="52"/>
        </w:rPr>
        <w:t>RoleFlow — Multi-Threaded Agentic AI</w:t>
        <w:br/>
        <w:t>HR Roles Management Platform</w:t>
      </w:r>
    </w:p>
    <w:p>
      <w:pPr>
        <w:spacing w:after="480"/>
        <w:jc w:val="center"/>
      </w:pPr>
      <w:r>
        <w:rPr>
          <w:rFonts w:ascii="Calibri" w:hAnsi="Calibri"/>
          <w:i/>
          <w:color w:val="1F2937"/>
          <w:sz w:val="26"/>
        </w:rPr>
        <w:t>Production-Grade Concurrent Multi-Agent Engine with Multi-Threaded Knowledge Crawlers,</w:t>
        <w:br/>
        <w:t>Decoupled Independent API Architecture, and Deterministic Scoring Governance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4680"/>
        <w:gridCol w:w="4680"/>
      </w:tblGrid>
      <w:tr>
        <w:tc>
          <w:tcPr>
            <w:tcW w:type="dxa" w:w="3168"/>
            <w:shd w:fill="1E3A8A"/>
            <w:tcMar>
              <w:top w:w="140" w:type="dxa"/>
              <w:bottom w:w="140" w:type="dxa"/>
              <w:left w:w="150" w:type="dxa"/>
              <w:right w:w="150" w:type="dxa"/>
            </w:tcMar>
          </w:tcPr>
          <w:p>
            <w:pPr>
              <w:jc w:val="left"/>
            </w:pPr>
            <w:r>
              <w:rPr>
                <w:rFonts w:ascii="Arial" w:hAnsi="Arial"/>
                <w:b/>
                <w:color w:val="FFFFFF"/>
                <w:sz w:val="20"/>
              </w:rPr>
              <w:t>Document Attribute</w:t>
            </w:r>
          </w:p>
        </w:tc>
        <w:tc>
          <w:tcPr>
            <w:tcW w:type="dxa" w:w="6192"/>
            <w:shd w:fill="1E3A8A"/>
            <w:tcMar>
              <w:top w:w="140" w:type="dxa"/>
              <w:bottom w:w="140" w:type="dxa"/>
              <w:left w:w="150" w:type="dxa"/>
              <w:right w:w="150" w:type="dxa"/>
            </w:tcMar>
          </w:tcPr>
          <w:p>
            <w:pPr>
              <w:jc w:val="left"/>
            </w:pPr>
            <w:r>
              <w:rPr>
                <w:rFonts w:ascii="Arial" w:hAnsi="Arial"/>
                <w:b/>
                <w:color w:val="FFFFFF"/>
                <w:sz w:val="20"/>
              </w:rPr>
              <w:t>Project Details</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Platform Name</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RoleFlow — Agentic Internal Talent Mobility Platform</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Architecture Pattern</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Decoupled Independent API Architecture + Multi-Threaded Crawlers</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Concurrency Engine</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ThreadPoolExecutor Worker Pools (Match, Crawl, Explain) + Celery Task Queue</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Release Version</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1.1.0 (Production-Ready Distributed Release)</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Deployment Model</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Single Native Entrypoint (backend/app.py) + Zero Docker Constraint</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Agentic Engine</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LangGraph Orchestrated 6-Agent State Machine</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Database Persistence</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PostgreSQL + pgvector (with resilient SQLite fallback), MongoDB, Redis</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Verification Status</w:t>
            </w:r>
          </w:p>
        </w:tc>
        <w:tc>
          <w:tcPr>
            <w:tcW w:type="dxa" w:w="6192"/>
            <w:shd w:fill="F1F5F9"/>
            <w:tcMar>
              <w:top w:w="100" w:type="dxa"/>
              <w:bottom w:w="100" w:type="dxa"/>
              <w:left w:w="150" w:type="dxa"/>
              <w:right w:w="150" w:type="dxa"/>
            </w:tcMar>
          </w:tcPr>
          <w:p>
            <w:pPr>
              <w:spacing w:line="276" w:lineRule="auto"/>
            </w:pPr>
            <w:r>
              <w:rPr>
                <w:rFonts w:ascii="Calibri" w:hAnsi="Calibri"/>
                <w:color w:val="1F2937"/>
                <w:sz w:val="19"/>
              </w:rPr>
              <w:t>42/42 Smoke Tests Passed | 21/21 Jury Demo Steps + Crawl Verified</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Publication Date</w:t>
            </w:r>
          </w:p>
        </w:tc>
        <w:tc>
          <w:tcPr>
            <w:tcW w:type="dxa" w:w="6192"/>
            <w:shd w:fill="FFFFFF"/>
            <w:tcMar>
              <w:top w:w="100" w:type="dxa"/>
              <w:bottom w:w="100" w:type="dxa"/>
              <w:left w:w="150" w:type="dxa"/>
              <w:right w:w="150" w:type="dxa"/>
            </w:tcMar>
          </w:tcPr>
          <w:p>
            <w:pPr>
              <w:spacing w:line="276" w:lineRule="auto"/>
            </w:pPr>
            <w:r>
              <w:rPr>
                <w:rFonts w:ascii="Calibri" w:hAnsi="Calibri"/>
                <w:color w:val="1F2937"/>
                <w:sz w:val="19"/>
              </w:rPr>
              <w:t>September 19, 2026</w:t>
            </w:r>
          </w:p>
        </w:tc>
      </w:tr>
    </w:tbl>
    <w:p>
      <w:r>
        <w:br w:type="page"/>
      </w:r>
    </w:p>
    <w:p>
      <w:pPr>
        <w:pStyle w:val="Heading1"/>
        <w:keepNext/>
        <w:spacing w:before="280" w:after="120"/>
      </w:pPr>
      <w:r>
        <w:rPr>
          <w:rFonts w:ascii="Arial" w:hAnsi="Arial"/>
          <w:b/>
          <w:color w:val="1E3A8A"/>
          <w:sz w:val="34"/>
        </w:rPr>
        <w:t>1. Executive Summary &amp; Problem Space</w:t>
      </w:r>
    </w:p>
    <w:p>
      <w:pPr>
        <w:spacing w:after="120" w:line="276" w:lineRule="auto"/>
      </w:pPr>
      <w:r>
        <w:rPr>
          <w:rFonts w:ascii="Calibri" w:hAnsi="Calibri"/>
          <w:b/>
          <w:color w:val="1F2937"/>
          <w:sz w:val="22"/>
        </w:rPr>
        <w:t xml:space="preserve">The Internal Mobility Dilemma: </w:t>
      </w:r>
      <w:r>
        <w:rPr>
          <w:rFonts w:ascii="Calibri" w:hAnsi="Calibri"/>
          <w:i w:val="0"/>
          <w:color w:val="1F2937"/>
          <w:sz w:val="22"/>
        </w:rPr>
        <w:t>Modern enterprises face a critical talent paradox: while organizations spend millions recruiting external candidates for specialized technical and managerial roles, thousands of capable internal employees remain underutilized, trapped in career silos, and susceptible to attrition. Internal talent mobility has historically been crippled by three core challenges:</w:t>
      </w:r>
    </w:p>
    <w:p>
      <w:pPr>
        <w:pStyle w:val="ListBullet"/>
        <w:spacing w:after="80" w:line="276" w:lineRule="auto"/>
      </w:pPr>
      <w:r>
        <w:rPr>
          <w:rFonts w:ascii="Calibri" w:hAnsi="Calibri"/>
          <w:b/>
          <w:color w:val="1F2937"/>
          <w:sz w:val="22"/>
        </w:rPr>
        <w:t xml:space="preserve">Managerial Information Silos: </w:t>
      </w:r>
      <w:r>
        <w:rPr>
          <w:rFonts w:ascii="Calibri" w:hAnsi="Calibri"/>
          <w:color w:val="1F2937"/>
          <w:sz w:val="22"/>
        </w:rPr>
        <w:t>Managers maintain insular visibility over their direct reports, often hoarding high performers while lacking visibility into cross-department talent pools.</w:t>
      </w:r>
    </w:p>
    <w:p>
      <w:pPr>
        <w:pStyle w:val="ListBullet"/>
        <w:spacing w:after="80" w:line="276" w:lineRule="auto"/>
      </w:pPr>
      <w:r>
        <w:rPr>
          <w:rFonts w:ascii="Calibri" w:hAnsi="Calibri"/>
          <w:b/>
          <w:color w:val="1F2937"/>
          <w:sz w:val="22"/>
        </w:rPr>
        <w:t xml:space="preserve">Vocabulary Mismatches &amp; Latent Skills: </w:t>
      </w:r>
      <w:r>
        <w:rPr>
          <w:rFonts w:ascii="Calibri" w:hAnsi="Calibri"/>
          <w:color w:val="1F2937"/>
          <w:sz w:val="22"/>
        </w:rPr>
        <w:t>Resumes and job descriptions use disparate vocabularies. A candidate skilled in Python backend workflows with NumPy data wrangling may not be flagged for an ML role despite having 80%+ transferable capability.</w:t>
      </w:r>
    </w:p>
    <w:p>
      <w:pPr>
        <w:pStyle w:val="ListBullet"/>
        <w:spacing w:after="80" w:line="276" w:lineRule="auto"/>
      </w:pPr>
      <w:r>
        <w:rPr>
          <w:rFonts w:ascii="Calibri" w:hAnsi="Calibri"/>
          <w:b/>
          <w:color w:val="1F2937"/>
          <w:sz w:val="22"/>
        </w:rPr>
        <w:t xml:space="preserve">Black-Box AI Trust Deficit: </w:t>
      </w:r>
      <w:r>
        <w:rPr>
          <w:rFonts w:ascii="Calibri" w:hAnsi="Calibri"/>
          <w:color w:val="1F2937"/>
          <w:sz w:val="22"/>
        </w:rPr>
        <w:t>Traditional AI applicant screening tools act as black boxes with unexplainable rejections and frequent hallucinations, leading to compliance risks and employee distrust.</w:t>
      </w:r>
    </w:p>
    <w:p>
      <w:pPr>
        <w:spacing w:after="120" w:line="276" w:lineRule="auto"/>
      </w:pPr>
      <w:r>
        <w:rPr>
          <w:rFonts w:ascii="Calibri" w:hAnsi="Calibri"/>
          <w:b/>
          <w:color w:val="1F2937"/>
          <w:sz w:val="22"/>
        </w:rPr>
        <w:t xml:space="preserve">The RoleFlow Solution: </w:t>
      </w:r>
      <w:r>
        <w:rPr>
          <w:rFonts w:ascii="Calibri" w:hAnsi="Calibri"/>
          <w:i w:val="0"/>
          <w:color w:val="1F2937"/>
          <w:sz w:val="22"/>
        </w:rPr>
        <w:t>RoleFlow is an agentic AI-powered internal talent mobility platform that fundamentally solves these challenges. Rather than relying on static resume indexing or opaque LLM judgments, RoleFlow deploys a coordinated pipeline of six autonomous logical agents. It combines multi-dimensional vector embeddings, a domain-bridging skills ontology, a mathematically deterministic scoring engine, and human-in-the-loop governance to deliver transparent, trusted internal career progression.</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after="60"/>
            </w:pPr>
            <w:r>
              <w:rPr>
                <w:rFonts w:ascii="Arial" w:hAnsi="Arial"/>
                <w:b/>
                <w:color w:val="1E3A8A"/>
                <w:sz w:val="21"/>
              </w:rPr>
              <w:t>Core Value Proposition &amp; Concurrency Guarantee</w:t>
              <w:br/>
            </w:r>
            <w:r>
              <w:rPr>
                <w:rFonts w:ascii="Calibri" w:hAnsi="Calibri"/>
                <w:color w:val="1F2937"/>
                <w:sz w:val="20"/>
              </w:rPr>
              <w:t>RoleFlow operates without monolithic single API calls. The platform is engineered with decoupled, independent REST endpoints, concurrent background thread pools for candidate matching, and multi-threaded web crawlers that harvest real-world course catalogs and market skill benchmarks in real time.</w:t>
            </w:r>
          </w:p>
        </w:tc>
      </w:tr>
    </w:tbl>
    <w:p>
      <w:pPr>
        <w:spacing w:after="120"/>
      </w:pPr>
    </w:p>
    <w:p>
      <w:pPr>
        <w:pStyle w:val="Heading1"/>
        <w:keepNext/>
        <w:spacing w:before="280" w:after="120"/>
      </w:pPr>
      <w:r>
        <w:rPr>
          <w:rFonts w:ascii="Arial" w:hAnsi="Arial"/>
          <w:b/>
          <w:color w:val="1E3A8A"/>
          <w:sz w:val="34"/>
        </w:rPr>
        <w:t>2. System Architecture &amp; Independent API Design</w:t>
      </w:r>
    </w:p>
    <w:p>
      <w:pPr>
        <w:spacing w:after="120" w:line="276" w:lineRule="auto"/>
      </w:pPr>
      <w:r>
        <w:rPr>
          <w:rFonts w:ascii="Calibri" w:hAnsi="Calibri"/>
          <w:b/>
          <w:color w:val="1F2937"/>
          <w:sz w:val="22"/>
        </w:rPr>
        <w:t xml:space="preserve">Decoupled Micro-Workflow Philosophy: </w:t>
      </w:r>
      <w:r>
        <w:rPr>
          <w:rFonts w:ascii="Calibri" w:hAnsi="Calibri"/>
          <w:i w:val="0"/>
          <w:color w:val="1F2937"/>
          <w:sz w:val="22"/>
        </w:rPr>
        <w:t>A critical architectural requirement of RoleFlow is that the platform must NOT function via a single monolithic API call. Monolithic single-call endpoints are anti-patterns in production enterprise architectures: they suffer from client-side HTTP gateway timeouts, lack progressive visibility into long-running processes, and prevent granular error isolation. RoleFlow decomposes all talent operations into independent, asynchronous, and modular REST services.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Architecture Layer</w:t>
            </w:r>
          </w:p>
        </w:tc>
        <w:tc>
          <w:tcPr>
            <w:tcW w:type="dxa" w:w="2592"/>
            <w:shd w:fill="1E3A8A"/>
            <w:tcMar>
              <w:top w:w="140" w:type="dxa"/>
              <w:bottom w:w="140" w:type="dxa"/>
              <w:left w:w="150" w:type="dxa"/>
              <w:right w:w="150" w:type="dxa"/>
            </w:tcMar>
          </w:tcPr>
          <w:p>
            <w:pPr>
              <w:jc w:val="left"/>
            </w:pPr>
            <w:r>
              <w:rPr>
                <w:rFonts w:ascii="Arial" w:hAnsi="Arial"/>
                <w:b/>
                <w:color w:val="FFFFFF"/>
                <w:sz w:val="20"/>
              </w:rPr>
              <w:t>Primary Technology</w:t>
            </w:r>
          </w:p>
        </w:tc>
        <w:tc>
          <w:tcPr>
            <w:tcW w:type="dxa" w:w="4176"/>
            <w:shd w:fill="1E3A8A"/>
            <w:tcMar>
              <w:top w:w="140" w:type="dxa"/>
              <w:bottom w:w="140" w:type="dxa"/>
              <w:left w:w="150" w:type="dxa"/>
              <w:right w:w="150" w:type="dxa"/>
            </w:tcMar>
          </w:tcPr>
          <w:p>
            <w:pPr>
              <w:jc w:val="left"/>
            </w:pPr>
            <w:r>
              <w:rPr>
                <w:rFonts w:ascii="Arial" w:hAnsi="Arial"/>
                <w:b/>
                <w:color w:val="FFFFFF"/>
                <w:sz w:val="20"/>
              </w:rPr>
              <w:t>Operational Capability</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Presentation Layer</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React 19 + Vite + Tailwind CSS v4</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High-performance responsive UI, Lucide icons, multi-persona routing (Manager, Employee, HR), interactive candidate drawer, 7-step wizard, live crawler status.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API &amp; Gateway Layer</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Python 3.11 + Flask 3.x + JWT Extended</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Single entrypoint backend/app.py, modular Flask blueprints (/auth, /manager, /me, /hr, /crawler, /ai, /health), RBAC security, independent REST endpoints.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Concurrency &amp; Worker Pool</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ThreadPoolExecutor + Celery 5.x</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Multi-threaded worker pools for parallel candidate evaluation, concurrent LLM explanations, and multi-provider web crawlers.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Multi-Model Storage</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PostgreSQL 16 + pgvector / SQLite Fallback</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Relational persistence for workforce records, embeddings, job definitions, transfers, and course catalog. Seamless SQLite fallback ensures 100% offline uptime.</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Document &amp; Audit Store</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MongoDB / MongoMock</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Unstructured audit logging, raw JD document preservation, and compliance decision history.</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AI &amp; Agent Orchestration</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LangGraph + LangChain + BGE-base / SBERT</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6-agent state machine coordinating role ingestion, profile analysis, transferable bridges, scoring, gap discovery, and learning generation.</w:t>
            </w:r>
          </w:p>
        </w:tc>
      </w:tr>
    </w:tbl>
    <w:p>
      <w:pPr>
        <w:pStyle w:val="Heading2"/>
        <w:keepNext/>
        <w:spacing w:before="280" w:after="120"/>
      </w:pPr>
      <w:r>
        <w:rPr>
          <w:rFonts w:ascii="Arial" w:hAnsi="Arial"/>
          <w:b/>
          <w:color w:val="2563EB"/>
          <w:sz w:val="27"/>
        </w:rPr>
        <w:t>2.1 Independent REST API Call Matrix</w:t>
      </w:r>
    </w:p>
    <w:p>
      <w:pPr>
        <w:spacing w:after="120" w:line="276" w:lineRule="auto"/>
      </w:pPr>
      <w:r>
        <w:rPr>
          <w:rFonts w:ascii="Calibri" w:hAnsi="Calibri"/>
          <w:b/>
          <w:color w:val="1F2937"/>
          <w:sz w:val="22"/>
        </w:rPr>
        <w:t xml:space="preserve">Modular Call Topology: </w:t>
      </w:r>
      <w:r>
        <w:rPr>
          <w:rFonts w:ascii="Calibri" w:hAnsi="Calibri"/>
          <w:i w:val="0"/>
          <w:color w:val="1F2937"/>
          <w:sz w:val="22"/>
        </w:rPr>
        <w:t>Every interaction in RoleFlow triggers distinct, decoupled API calls, allowing fine-grained caching, progress tracking, and resilient error boundaries: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c>
          <w:tcPr>
            <w:tcW w:type="dxa" w:w="3024"/>
            <w:shd w:fill="1E3A8A"/>
            <w:tcMar>
              <w:top w:w="140" w:type="dxa"/>
              <w:bottom w:w="140" w:type="dxa"/>
              <w:left w:w="150" w:type="dxa"/>
              <w:right w:w="150" w:type="dxa"/>
            </w:tcMar>
          </w:tcPr>
          <w:p>
            <w:pPr>
              <w:jc w:val="left"/>
            </w:pPr>
            <w:r>
              <w:rPr>
                <w:rFonts w:ascii="Arial" w:hAnsi="Arial"/>
                <w:b/>
                <w:color w:val="FFFFFF"/>
                <w:sz w:val="20"/>
              </w:rPr>
              <w:t>API Endpoint</w:t>
            </w:r>
          </w:p>
        </w:tc>
        <w:tc>
          <w:tcPr>
            <w:tcW w:type="dxa" w:w="1152"/>
            <w:shd w:fill="1E3A8A"/>
            <w:tcMar>
              <w:top w:w="140" w:type="dxa"/>
              <w:bottom w:w="140" w:type="dxa"/>
              <w:left w:w="150" w:type="dxa"/>
              <w:right w:w="150" w:type="dxa"/>
            </w:tcMar>
          </w:tcPr>
          <w:p>
            <w:pPr>
              <w:jc w:val="left"/>
            </w:pPr>
            <w:r>
              <w:rPr>
                <w:rFonts w:ascii="Arial" w:hAnsi="Arial"/>
                <w:b/>
                <w:color w:val="FFFFFF"/>
                <w:sz w:val="20"/>
              </w:rPr>
              <w:t>Method</w:t>
            </w:r>
          </w:p>
        </w:tc>
        <w:tc>
          <w:tcPr>
            <w:tcW w:type="dxa" w:w="2016"/>
            <w:shd w:fill="1E3A8A"/>
            <w:tcMar>
              <w:top w:w="140" w:type="dxa"/>
              <w:bottom w:w="140" w:type="dxa"/>
              <w:left w:w="150" w:type="dxa"/>
              <w:right w:w="150" w:type="dxa"/>
            </w:tcMar>
          </w:tcPr>
          <w:p>
            <w:pPr>
              <w:jc w:val="left"/>
            </w:pPr>
            <w:r>
              <w:rPr>
                <w:rFonts w:ascii="Arial" w:hAnsi="Arial"/>
                <w:b/>
                <w:color w:val="FFFFFF"/>
                <w:sz w:val="20"/>
              </w:rPr>
              <w:t>Primary Stakeholder</w:t>
            </w:r>
          </w:p>
        </w:tc>
        <w:tc>
          <w:tcPr>
            <w:tcW w:type="dxa" w:w="3168"/>
            <w:shd w:fill="1E3A8A"/>
            <w:tcMar>
              <w:top w:w="140" w:type="dxa"/>
              <w:bottom w:w="140" w:type="dxa"/>
              <w:left w:w="150" w:type="dxa"/>
              <w:right w:w="150" w:type="dxa"/>
            </w:tcMar>
          </w:tcPr>
          <w:p>
            <w:pPr>
              <w:jc w:val="left"/>
            </w:pPr>
            <w:r>
              <w:rPr>
                <w:rFonts w:ascii="Arial" w:hAnsi="Arial"/>
                <w:b/>
                <w:color w:val="FFFFFF"/>
                <w:sz w:val="20"/>
              </w:rPr>
              <w:t>Independent Responsibility</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/api/v1/auth/login</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All Personas</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Authenticates user identity and issues JWT access token with role claims.</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/api/v1/ai/roles/parse-jd</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Independent role intelligence call parsing unstructured JD text.</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/api/v1/crawler/market-skills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Multi-threaded crawl harvesting real-time industry benchmark skills.</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/api/v1/manager/roles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Creates role entity and queues asynchronous candidate discovery.</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/api/v1/match-runs/&lt;id&gt;/status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Independent polling endpoint providing progressive stage metrics (10-100%).</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/api/v1/manager/roles/&lt;id&gt;/candidates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Fetches discovered candidate pool with dual-axis sliders.</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/api/v1/ai/roles/&lt;r_id&gt;/gap-report/&lt;e_id&gt;</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Manager / 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Independent skill gap evaluation (Strong, Developing, Missing).</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/api/v1/ai/roles/&lt;r_id&gt;/learning-plan/&lt;e_id&gt;</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Manager / Employee</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Generates custom 3-phase upskilling roadmap.</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/api/v1/crawler/courses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Manager / 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Multi-threaded crawl harvesting live courses across Coursera, edX, MIT OCW, GitHub.</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/api/v1/manager/roles/&lt;r_id&gt;/candidates/&lt;e_id&gt;/shortlist</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Hiring Manager</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Moves transfer state to 'pending_employee' for employee agency review.</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/api/v1/me/opportunities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Fetches employee opportunities strictly enforcing hidden role isolation.</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/api/v1/me/role-preferences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PUT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Resolves multiple role conflicts via 1st &amp; 2nd preference rankings.</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/api/v1/me/opportunities/&lt;id&gt;/accept</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Employee accepts opportunity; moves status to 'pending_hr'.</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/api/v1/me/opportunities/&lt;id&gt;/decline</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Employee declines opportunity; leaves role vacant.</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/api/v1/me/learning/&lt;id&gt;/complete</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Continuous learning loop: marks course complete and awards skill badge.</w:t>
            </w:r>
          </w:p>
        </w:tc>
      </w:tr>
      <w:tr>
        <w:tc>
          <w:tcPr>
            <w:tcW w:type="dxa" w:w="3024"/>
            <w:shd w:fill="F1F5F9"/>
            <w:tcMar>
              <w:top w:w="100" w:type="dxa"/>
              <w:bottom w:w="100" w:type="dxa"/>
              <w:left w:w="150" w:type="dxa"/>
              <w:right w:w="150" w:type="dxa"/>
            </w:tcMar>
          </w:tcPr>
          <w:p>
            <w:pPr>
              <w:spacing w:line="276" w:lineRule="auto"/>
            </w:pPr>
            <w:r>
              <w:rPr>
                <w:rFonts w:ascii="Calibri" w:hAnsi="Calibri"/>
                <w:color w:val="1F2937"/>
                <w:sz w:val="19"/>
              </w:rPr>
              <w:t>/api/v1/hr/transfers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GET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HR Admin</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Fetches pending transfers for governance audit.</w:t>
            </w:r>
          </w:p>
        </w:tc>
      </w:tr>
      <w:tr>
        <w:tc>
          <w:tcPr>
            <w:tcW w:type="dxa" w:w="3024"/>
            <w:shd w:fill="FFFFFF"/>
            <w:tcMar>
              <w:top w:w="100" w:type="dxa"/>
              <w:bottom w:w="100" w:type="dxa"/>
              <w:left w:w="150" w:type="dxa"/>
              <w:right w:w="150" w:type="dxa"/>
            </w:tcMar>
          </w:tcPr>
          <w:p>
            <w:pPr>
              <w:spacing w:line="276" w:lineRule="auto"/>
            </w:pPr>
            <w:r>
              <w:rPr>
                <w:rFonts w:ascii="Calibri" w:hAnsi="Calibri"/>
                <w:color w:val="1F2937"/>
                <w:sz w:val="19"/>
              </w:rPr>
              <w:t>/api/v1/hr/transfers/&lt;id&gt;/approve</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POST</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HR Admin</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Final approval: commits organizational mobility transfer.</w:t>
            </w:r>
          </w:p>
        </w:tc>
      </w:tr>
    </w:tbl>
    <w:p>
      <w:r>
        <w:br w:type="page"/>
      </w:r>
    </w:p>
    <w:p>
      <w:pPr>
        <w:pStyle w:val="Heading1"/>
        <w:keepNext/>
        <w:spacing w:before="280" w:after="120"/>
      </w:pPr>
      <w:r>
        <w:rPr>
          <w:rFonts w:ascii="Arial" w:hAnsi="Arial"/>
          <w:b/>
          <w:color w:val="1E3A8A"/>
          <w:sz w:val="34"/>
        </w:rPr>
        <w:t>3. Multi-Threaded Concurrency Model &amp; Web Crawlers</w:t>
      </w:r>
    </w:p>
    <w:p>
      <w:pPr>
        <w:spacing w:after="120" w:line="276" w:lineRule="auto"/>
      </w:pPr>
      <w:r>
        <w:rPr>
          <w:rFonts w:ascii="Calibri" w:hAnsi="Calibri"/>
          <w:b/>
          <w:color w:val="1F2937"/>
          <w:sz w:val="22"/>
        </w:rPr>
        <w:t xml:space="preserve">Concurrency Architecture: </w:t>
      </w:r>
      <w:r>
        <w:rPr>
          <w:rFonts w:ascii="Calibri" w:hAnsi="Calibri"/>
          <w:i w:val="0"/>
          <w:color w:val="1F2937"/>
          <w:sz w:val="22"/>
        </w:rPr>
        <w:t>To achieve production-grade performance and real-time responsiveness, RoleFlow employs Python's ThreadPoolExecutor across three distinct concurrency domains: parallel candidate scoring, multi-provider course catalog crawling, and live market trend harvesting.</w:t>
      </w:r>
    </w:p>
    <w:p>
      <w:pPr>
        <w:pStyle w:val="Heading2"/>
        <w:keepNext/>
        <w:spacing w:before="280" w:after="120"/>
      </w:pPr>
      <w:r>
        <w:rPr>
          <w:rFonts w:ascii="Arial" w:hAnsi="Arial"/>
          <w:b/>
          <w:color w:val="2563EB"/>
          <w:sz w:val="27"/>
        </w:rPr>
        <w:t>3.1 Multi-Threaded Parallel Candidate Matching</w:t>
      </w:r>
    </w:p>
    <w:p>
      <w:pPr>
        <w:spacing w:after="120" w:line="276" w:lineRule="auto"/>
      </w:pPr>
      <w:r>
        <w:rPr>
          <w:rFonts w:ascii="Calibri" w:hAnsi="Calibri"/>
          <w:b/>
          <w:color w:val="1F2937"/>
          <w:sz w:val="22"/>
        </w:rPr>
        <w:t xml:space="preserve">Parallel Evaluation Pipeline: </w:t>
      </w:r>
      <w:r>
        <w:rPr>
          <w:rFonts w:ascii="Calibri" w:hAnsi="Calibri"/>
          <w:i w:val="0"/>
          <w:color w:val="1F2937"/>
          <w:sz w:val="22"/>
        </w:rPr>
        <w:t>In traditional platforms, iterating through hundreds or thousands of candidate records sequentially creates severe latency. RoleFlow partitions candidate pool evaluation across 6 worker threads (RoleFlowMatchWorker). Each worker thread operates within an isolated application context, independently executing:</w:t>
      </w:r>
    </w:p>
    <w:p>
      <w:pPr>
        <w:pStyle w:val="ListBullet"/>
        <w:spacing w:after="80" w:line="276" w:lineRule="auto"/>
      </w:pPr>
      <w:r>
        <w:rPr>
          <w:rFonts w:ascii="Calibri" w:hAnsi="Calibri"/>
          <w:b/>
          <w:color w:val="1F2937"/>
          <w:sz w:val="22"/>
        </w:rPr>
        <w:t xml:space="preserve">Profile Extraction: </w:t>
      </w:r>
      <w:r>
        <w:rPr>
          <w:rFonts w:ascii="Calibri" w:hAnsi="Calibri"/>
          <w:color w:val="1F2937"/>
          <w:sz w:val="22"/>
        </w:rPr>
        <w:t>Thread-local database querying for employee profiles, project track records, and certifications.</w:t>
      </w:r>
    </w:p>
    <w:p>
      <w:pPr>
        <w:pStyle w:val="ListBullet"/>
        <w:spacing w:after="80" w:line="276" w:lineRule="auto"/>
      </w:pPr>
      <w:r>
        <w:rPr>
          <w:rFonts w:ascii="Calibri" w:hAnsi="Calibri"/>
          <w:b/>
          <w:color w:val="1F2937"/>
          <w:sz w:val="22"/>
        </w:rPr>
        <w:t xml:space="preserve">Semantic Vector Retrieval: </w:t>
      </w:r>
      <w:r>
        <w:rPr>
          <w:rFonts w:ascii="Calibri" w:hAnsi="Calibri"/>
          <w:color w:val="1F2937"/>
          <w:sz w:val="22"/>
        </w:rPr>
        <w:t>Cosine similarity computation against the target role embedding vector.</w:t>
      </w:r>
    </w:p>
    <w:p>
      <w:pPr>
        <w:pStyle w:val="ListBullet"/>
        <w:spacing w:after="80" w:line="276" w:lineRule="auto"/>
      </w:pPr>
      <w:r>
        <w:rPr>
          <w:rFonts w:ascii="Calibri" w:hAnsi="Calibri"/>
          <w:b/>
          <w:color w:val="1F2937"/>
          <w:sz w:val="22"/>
        </w:rPr>
        <w:t xml:space="preserve">Ontology Reasoning: </w:t>
      </w:r>
      <w:r>
        <w:rPr>
          <w:rFonts w:ascii="Calibri" w:hAnsi="Calibri"/>
          <w:color w:val="1F2937"/>
          <w:sz w:val="22"/>
        </w:rPr>
        <w:t>Directed graph traversal over the skills ontology to deduce transferable capability bridges.</w:t>
      </w:r>
    </w:p>
    <w:p>
      <w:pPr>
        <w:pStyle w:val="ListBullet"/>
        <w:spacing w:after="80" w:line="276" w:lineRule="auto"/>
      </w:pPr>
      <w:r>
        <w:rPr>
          <w:rFonts w:ascii="Calibri" w:hAnsi="Calibri"/>
          <w:b/>
          <w:color w:val="1F2937"/>
          <w:sz w:val="22"/>
        </w:rPr>
        <w:t xml:space="preserve">Mathematical Scoring: </w:t>
      </w:r>
      <w:r>
        <w:rPr>
          <w:rFonts w:ascii="Calibri" w:hAnsi="Calibri"/>
          <w:color w:val="1F2937"/>
          <w:sz w:val="22"/>
        </w:rPr>
        <w:t>Deterministic computation of 6-factor Fit scores and deduction-based Readiness scores.</w:t>
      </w:r>
    </w:p>
    <w:p>
      <w:pPr>
        <w:pStyle w:val="ListBullet"/>
        <w:spacing w:after="80" w:line="276" w:lineRule="auto"/>
      </w:pPr>
      <w:r>
        <w:rPr>
          <w:rFonts w:ascii="Calibri" w:hAnsi="Calibri"/>
          <w:b/>
          <w:color w:val="1F2937"/>
          <w:sz w:val="22"/>
        </w:rPr>
        <w:t xml:space="preserve">Parallel LLM Explanations: </w:t>
      </w:r>
      <w:r>
        <w:rPr>
          <w:rFonts w:ascii="Calibri" w:hAnsi="Calibri"/>
          <w:color w:val="1F2937"/>
          <w:sz w:val="22"/>
        </w:rPr>
        <w:t>Concurrent LLM explanation generation across 3 worker threads (RoleFlowExplainWorker) for top-ranked candidates.</w:t>
      </w:r>
    </w:p>
    <w:p>
      <w:pPr>
        <w:pStyle w:val="Heading2"/>
        <w:keepNext/>
        <w:spacing w:before="280" w:after="120"/>
      </w:pPr>
      <w:r>
        <w:rPr>
          <w:rFonts w:ascii="Arial" w:hAnsi="Arial"/>
          <w:b/>
          <w:color w:val="2563EB"/>
          <w:sz w:val="27"/>
        </w:rPr>
        <w:t>3.2 Multi-Threaded Web &amp; Knowledge Crawler (RoleFlowCrawler)</w:t>
      </w:r>
    </w:p>
    <w:p>
      <w:pPr>
        <w:spacing w:after="120" w:line="276" w:lineRule="auto"/>
      </w:pPr>
      <w:r>
        <w:rPr>
          <w:rFonts w:ascii="Calibri" w:hAnsi="Calibri"/>
          <w:b/>
          <w:color w:val="1F2937"/>
          <w:sz w:val="22"/>
        </w:rPr>
        <w:t xml:space="preserve">Distributed Harvester: </w:t>
      </w:r>
      <w:r>
        <w:rPr>
          <w:rFonts w:ascii="Calibri" w:hAnsi="Calibri"/>
          <w:i w:val="0"/>
          <w:color w:val="1F2937"/>
          <w:sz w:val="22"/>
        </w:rPr>
        <w:t>RoleFlow incorporates a dedicated multi-threaded crawler service (backend/core/services/crawler.py) that continuously harvests and indexes learning resources across educational repositories. When triggered, the crawler dispatches worker threads across 5 distinct knowledge providers: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Target Provider</w:t>
            </w:r>
          </w:p>
        </w:tc>
        <w:tc>
          <w:tcPr>
            <w:tcW w:type="dxa" w:w="2592"/>
            <w:shd w:fill="1E3A8A"/>
            <w:tcMar>
              <w:top w:w="140" w:type="dxa"/>
              <w:bottom w:w="140" w:type="dxa"/>
              <w:left w:w="150" w:type="dxa"/>
              <w:right w:w="150" w:type="dxa"/>
            </w:tcMar>
          </w:tcPr>
          <w:p>
            <w:pPr>
              <w:jc w:val="left"/>
            </w:pPr>
            <w:r>
              <w:rPr>
                <w:rFonts w:ascii="Arial" w:hAnsi="Arial"/>
                <w:b/>
                <w:color w:val="FFFFFF"/>
                <w:sz w:val="20"/>
              </w:rPr>
              <w:t>Worker Thread ID</w:t>
            </w:r>
          </w:p>
        </w:tc>
        <w:tc>
          <w:tcPr>
            <w:tcW w:type="dxa" w:w="4176"/>
            <w:shd w:fill="1E3A8A"/>
            <w:tcMar>
              <w:top w:w="140" w:type="dxa"/>
              <w:bottom w:w="140" w:type="dxa"/>
              <w:left w:w="150" w:type="dxa"/>
              <w:right w:w="150" w:type="dxa"/>
            </w:tcMar>
          </w:tcPr>
          <w:p>
            <w:pPr>
              <w:jc w:val="left"/>
            </w:pPr>
            <w:r>
              <w:rPr>
                <w:rFonts w:ascii="Arial" w:hAnsi="Arial"/>
                <w:b/>
                <w:color w:val="FFFFFF"/>
                <w:sz w:val="20"/>
              </w:rPr>
              <w:t>Crawl Target &amp; Focus Area</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Coursera Knowledge Base</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RoleFlowCrawler-Worker-1</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DeepLearning.AI, Stanford, and Google Cloud professional certifications.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edX Knowledge Base</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RoleFlowCrawler-Worker-2</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MITx, HarvardX, and Linux Foundation distributed systems and cloud courses.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MIT OpenCourseWare</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RoleFlowCrawler-Worker-3</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MIT 6.036 (ML), MIT 6.824 (Distributed Systems), and advanced algorithms.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GitHub Curriculums</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RoleFlowCrawler-Worker-4</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Open-source production ML systems, LangChain/LangGraph patterns, and high-performance concurrency.</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 Internal Academy</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RoleFlowCrawler-Worker-5</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Proprietary enterprise microservice resilience, compliance, and AI ethics tracks.</w:t>
            </w:r>
          </w:p>
        </w:tc>
      </w:tr>
    </w:tbl>
    <w:p>
      <w:pPr>
        <w:spacing w:after="120" w:line="276" w:lineRule="auto"/>
      </w:pPr>
      <w:r>
        <w:rPr>
          <w:rFonts w:ascii="Calibri" w:hAnsi="Calibri"/>
          <w:b/>
          <w:color w:val="1F2937"/>
          <w:sz w:val="22"/>
        </w:rPr>
        <w:t xml:space="preserve">Crawler Benchmark: </w:t>
      </w:r>
      <w:r>
        <w:rPr>
          <w:rFonts w:ascii="Calibri" w:hAnsi="Calibri"/>
          <w:i w:val="0"/>
          <w:color w:val="1F2937"/>
          <w:sz w:val="22"/>
        </w:rPr>
        <w:t>In production benchmarks, dispatching 5 parallel worker threads harvested 11 highly relevant courses matching a candidate's exact skill gaps in only 144.8 milliseconds. Crawled courses are automatically merged into the relational Course catalog.</w:t>
      </w:r>
    </w:p>
    <w:p>
      <w:pPr>
        <w:pStyle w:val="Heading2"/>
        <w:keepNext/>
        <w:spacing w:before="280" w:after="120"/>
      </w:pPr>
      <w:r>
        <w:rPr>
          <w:rFonts w:ascii="Arial" w:hAnsi="Arial"/>
          <w:b/>
          <w:color w:val="2563EB"/>
          <w:sz w:val="27"/>
        </w:rPr>
        <w:t>3.3 Multi-Threaded Market Benchmark Harvester (TrendHarvester)</w:t>
      </w:r>
    </w:p>
    <w:p>
      <w:pPr>
        <w:spacing w:after="120" w:line="276" w:lineRule="auto"/>
      </w:pPr>
      <w:r>
        <w:rPr>
          <w:rFonts w:ascii="Calibri" w:hAnsi="Calibri"/>
          <w:b/>
          <w:color w:val="1F2937"/>
          <w:sz w:val="22"/>
        </w:rPr>
        <w:t xml:space="preserve">Market Skill Intelligence: </w:t>
      </w:r>
      <w:r>
        <w:rPr>
          <w:rFonts w:ascii="Calibri" w:hAnsi="Calibri"/>
          <w:i w:val="0"/>
          <w:color w:val="1F2937"/>
          <w:sz w:val="22"/>
        </w:rPr>
        <w:t>Hiring managers need access to real-time market standards. The TrendHarvester crawler spawns parallel worker threads to partition domain trend indexes, extracting demand indices, YoY growth rates, and framework prerequisites (e.g., MLOps +46% YoY, Model Deployment +38% YoY, Vector Search +52% YoY). This intelligence dynamically enriches role definitions before matching commences.</w:t>
      </w:r>
    </w:p>
    <w:p>
      <w:r>
        <w:br w:type="page"/>
      </w:r>
    </w:p>
    <w:p>
      <w:pPr>
        <w:pStyle w:val="Heading1"/>
        <w:keepNext/>
        <w:spacing w:before="280" w:after="120"/>
      </w:pPr>
      <w:r>
        <w:rPr>
          <w:rFonts w:ascii="Arial" w:hAnsi="Arial"/>
          <w:b/>
          <w:color w:val="1E3A8A"/>
          <w:sz w:val="34"/>
        </w:rPr>
        <w:t>4. The Six Autonomous Logical AI Agents</w:t>
      </w:r>
    </w:p>
    <w:p>
      <w:pPr>
        <w:spacing w:after="120" w:line="276" w:lineRule="auto"/>
      </w:pPr>
      <w:r>
        <w:rPr>
          <w:rFonts w:ascii="Calibri" w:hAnsi="Calibri"/>
          <w:b/>
          <w:color w:val="1F2937"/>
          <w:sz w:val="22"/>
        </w:rPr>
        <w:t xml:space="preserve">Multi-Agent Pipeline: </w:t>
      </w:r>
      <w:r>
        <w:rPr>
          <w:rFonts w:ascii="Calibri" w:hAnsi="Calibri"/>
          <w:i w:val="0"/>
          <w:color w:val="1F2937"/>
          <w:sz w:val="22"/>
        </w:rPr>
        <w:t>The intellectual core of RoleFlow is orchestrated as a collaborative state graph comprising six distinct, specialized agents. Each agent possesses bounded responsibilities, well-defined input schemas, and deterministic evaluation criteria.</w:t>
      </w:r>
    </w:p>
    <w:p>
      <w:pPr>
        <w:pStyle w:val="Heading2"/>
        <w:keepNext/>
        <w:spacing w:before="280" w:after="120"/>
      </w:pPr>
      <w:r>
        <w:rPr>
          <w:rFonts w:ascii="Arial" w:hAnsi="Arial"/>
          <w:b/>
          <w:color w:val="2563EB"/>
          <w:sz w:val="27"/>
        </w:rPr>
        <w:t>Agent 1: Role Intelligence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backend/core/agents/role_intelligence.py</w:t>
      </w:r>
    </w:p>
    <w:p>
      <w:pPr>
        <w:spacing w:after="160" w:line="276" w:lineRule="auto"/>
      </w:pPr>
      <w:r>
        <w:rPr>
          <w:rFonts w:ascii="Calibri" w:hAnsi="Calibri"/>
          <w:i w:val="0"/>
          <w:color w:val="1F2937"/>
          <w:sz w:val="22"/>
        </w:rPr>
        <w:t>Parses raw, unstructured job description text, normalizes job titles, extracts explicit mandatory vs preferred skill requirements, detects domain classification, and establishes minimum experience thresholds.</w:t>
      </w:r>
    </w:p>
    <w:p>
      <w:pPr>
        <w:pStyle w:val="Heading2"/>
        <w:keepNext/>
        <w:spacing w:before="280" w:after="120"/>
      </w:pPr>
      <w:r>
        <w:rPr>
          <w:rFonts w:ascii="Arial" w:hAnsi="Arial"/>
          <w:b/>
          <w:color w:val="2563EB"/>
          <w:sz w:val="27"/>
        </w:rPr>
        <w:t>Agent 2: Employee Intelligence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backend/core/agents/employee_intelligence.py</w:t>
      </w:r>
    </w:p>
    <w:p>
      <w:pPr>
        <w:spacing w:after="160" w:line="276" w:lineRule="auto"/>
      </w:pPr>
      <w:r>
        <w:rPr>
          <w:rFonts w:ascii="Calibri" w:hAnsi="Calibri"/>
          <w:i w:val="0"/>
          <w:color w:val="1F2937"/>
          <w:sz w:val="22"/>
        </w:rPr>
        <w:t>Aggregates employee profiles, verified vs inferred skills, project delivery histories, completion percentages, active project end dates, availability windows, and career aspiration vectors.</w:t>
      </w:r>
    </w:p>
    <w:p>
      <w:pPr>
        <w:pStyle w:val="Heading2"/>
        <w:keepNext/>
        <w:spacing w:before="280" w:after="120"/>
      </w:pPr>
      <w:r>
        <w:rPr>
          <w:rFonts w:ascii="Arial" w:hAnsi="Arial"/>
          <w:b/>
          <w:color w:val="2563EB"/>
          <w:sz w:val="27"/>
        </w:rPr>
        <w:t>Agent 3: Transferable Skill Discovery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backend/core/agents/transferable_skills.py</w:t>
      </w:r>
    </w:p>
    <w:p>
      <w:pPr>
        <w:spacing w:after="160" w:line="276" w:lineRule="auto"/>
      </w:pPr>
      <w:r>
        <w:rPr>
          <w:rFonts w:ascii="Calibri" w:hAnsi="Calibri"/>
          <w:i w:val="0"/>
          <w:color w:val="1F2937"/>
          <w:sz w:val="22"/>
        </w:rPr>
        <w:t>Traverses the skills ontology graph to identify latent and adjacent capabilities. Maps source skills to target skills via directed relationship strengths (e.g., Python → Data Engineering [0.90], React → Full Stack [0.88]).</w:t>
      </w:r>
    </w:p>
    <w:p>
      <w:pPr>
        <w:pStyle w:val="Heading2"/>
        <w:keepNext/>
        <w:spacing w:before="280" w:after="120"/>
      </w:pPr>
      <w:r>
        <w:rPr>
          <w:rFonts w:ascii="Arial" w:hAnsi="Arial"/>
          <w:b/>
          <w:color w:val="2563EB"/>
          <w:sz w:val="27"/>
        </w:rPr>
        <w:t>Agent 4: Internal Role Matching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backend/core/agents/matching.py</w:t>
      </w:r>
    </w:p>
    <w:p>
      <w:pPr>
        <w:spacing w:after="160" w:line="276" w:lineRule="auto"/>
      </w:pPr>
      <w:r>
        <w:rPr>
          <w:rFonts w:ascii="Calibri" w:hAnsi="Calibri"/>
          <w:i w:val="0"/>
          <w:color w:val="1F2937"/>
          <w:sz w:val="22"/>
        </w:rPr>
        <w:t>Applies SQL pre-screening, calculates cosine embedding similarity, computes deterministic 6-factor Fit scores and separate Readiness scores, and drafts strictly grounded LLM explanations.</w:t>
      </w:r>
    </w:p>
    <w:p>
      <w:pPr>
        <w:pStyle w:val="Heading2"/>
        <w:keepNext/>
        <w:spacing w:before="280" w:after="120"/>
      </w:pPr>
      <w:r>
        <w:rPr>
          <w:rFonts w:ascii="Arial" w:hAnsi="Arial"/>
          <w:b/>
          <w:color w:val="2563EB"/>
          <w:sz w:val="27"/>
        </w:rPr>
        <w:t>Agent 5: Skill Gap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backend/core/agents/skill_gap.py</w:t>
      </w:r>
    </w:p>
    <w:p>
      <w:pPr>
        <w:spacing w:after="160" w:line="276" w:lineRule="auto"/>
      </w:pPr>
      <w:r>
        <w:rPr>
          <w:rFonts w:ascii="Calibri" w:hAnsi="Calibri"/>
          <w:i w:val="0"/>
          <w:color w:val="1F2937"/>
          <w:sz w:val="22"/>
        </w:rPr>
        <w:t>Performs requirement-by-requirement gap analysis. Classifies candidate capabilities into Strong (✓), Developing (△), and Missing (○), assigning granular severity ratings and action rationale.</w:t>
      </w:r>
    </w:p>
    <w:p>
      <w:pPr>
        <w:pStyle w:val="Heading2"/>
        <w:keepNext/>
        <w:spacing w:before="280" w:after="120"/>
      </w:pPr>
      <w:r>
        <w:rPr>
          <w:rFonts w:ascii="Arial" w:hAnsi="Arial"/>
          <w:b/>
          <w:color w:val="2563EB"/>
          <w:sz w:val="27"/>
        </w:rPr>
        <w:t>Agent 6: Learning &amp; Career Agent</w:t>
      </w:r>
    </w:p>
    <w:p>
      <w:pPr>
        <w:spacing w:after="60" w:line="276" w:lineRule="auto"/>
      </w:pPr>
      <w:r>
        <w:rPr>
          <w:rFonts w:ascii="Calibri" w:hAnsi="Calibri"/>
          <w:b/>
          <w:color w:val="1F2937"/>
          <w:sz w:val="22"/>
        </w:rPr>
        <w:t xml:space="preserve">Implementation Source: </w:t>
      </w:r>
      <w:r>
        <w:rPr>
          <w:rFonts w:ascii="Calibri" w:hAnsi="Calibri"/>
          <w:i/>
          <w:color w:val="1F2937"/>
          <w:sz w:val="22"/>
        </w:rPr>
        <w:t>backend/core/agents/learning.py</w:t>
      </w:r>
    </w:p>
    <w:p>
      <w:pPr>
        <w:spacing w:after="160" w:line="276" w:lineRule="auto"/>
      </w:pPr>
      <w:r>
        <w:rPr>
          <w:rFonts w:ascii="Calibri" w:hAnsi="Calibri"/>
          <w:i w:val="0"/>
          <w:color w:val="1F2937"/>
          <w:sz w:val="22"/>
        </w:rPr>
        <w:t>Synthesizes personalized 3-phase learning roadmaps (Immediate Foundations, Core Practical Depth, Production Mastery) linked directly to curated multi-provider course catalog items.</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after="60"/>
            </w:pPr>
            <w:r>
              <w:rPr>
                <w:rFonts w:ascii="Arial" w:hAnsi="Arial"/>
                <w:b/>
                <w:color w:val="1E3A8A"/>
                <w:sz w:val="21"/>
              </w:rPr>
              <w:t>LangGraph State Machine Flow</w:t>
              <w:br/>
            </w:r>
            <w:r>
              <w:rPr>
                <w:rFonts w:ascii="Calibri" w:hAnsi="Calibri"/>
                <w:color w:val="1F2937"/>
                <w:sz w:val="20"/>
              </w:rPr>
              <w:t>Role Intelligence ➔ Employee Intelligence ➔ Transferable Skills ➔ Role Matching (Fit + Readiness) ➔ Skill Gap Analysis ➔ Learning Roadmap Synthesis. Every state transition is recorded in the MatchRun audit ledger.</w:t>
            </w:r>
          </w:p>
        </w:tc>
      </w:tr>
    </w:tbl>
    <w:p>
      <w:pPr>
        <w:spacing w:after="120"/>
      </w:pPr>
    </w:p>
    <w:p>
      <w:r>
        <w:br w:type="page"/>
      </w:r>
    </w:p>
    <w:p>
      <w:pPr>
        <w:pStyle w:val="Heading1"/>
        <w:keepNext/>
        <w:spacing w:before="280" w:after="120"/>
      </w:pPr>
      <w:r>
        <w:rPr>
          <w:rFonts w:ascii="Arial" w:hAnsi="Arial"/>
          <w:b/>
          <w:color w:val="1E3A8A"/>
          <w:sz w:val="34"/>
        </w:rPr>
        <w:t>5. Mathematical Scoring Engine &amp; Grounded Explanations</w:t>
      </w:r>
    </w:p>
    <w:p>
      <w:pPr>
        <w:spacing w:after="120" w:line="276" w:lineRule="auto"/>
      </w:pPr>
      <w:r>
        <w:rPr>
          <w:rFonts w:ascii="Calibri" w:hAnsi="Calibri"/>
          <w:b/>
          <w:color w:val="1F2937"/>
          <w:sz w:val="22"/>
        </w:rPr>
        <w:t xml:space="preserve">The Safety Mandate: </w:t>
      </w:r>
      <w:r>
        <w:rPr>
          <w:rFonts w:ascii="Calibri" w:hAnsi="Calibri"/>
          <w:i w:val="0"/>
          <w:color w:val="1F2937"/>
          <w:sz w:val="22"/>
        </w:rPr>
        <w:t>A foundational tenet of RoleFlow is that Large Language Models MUST NEVER calculate or tamper with candidate scores. LLMs are non-deterministic, susceptible to cognitive biases, and prone to mathematical hallucinations. RoleFlow solves this by executing 100% of candidate evaluation inside a deterministic Python scoring engine.</w:t>
      </w:r>
    </w:p>
    <w:p>
      <w:pPr>
        <w:pStyle w:val="Heading2"/>
        <w:keepNext/>
        <w:spacing w:before="280" w:after="120"/>
      </w:pPr>
      <w:r>
        <w:rPr>
          <w:rFonts w:ascii="Arial" w:hAnsi="Arial"/>
          <w:b/>
          <w:color w:val="2563EB"/>
          <w:sz w:val="27"/>
        </w:rPr>
        <w:t>5.1 Deterministic Fit Score Formulation</w:t>
      </w:r>
    </w:p>
    <w:p>
      <w:pPr>
        <w:spacing w:after="120" w:line="276" w:lineRule="auto"/>
      </w:pPr>
      <w:r>
        <w:rPr>
          <w:rFonts w:ascii="Calibri" w:hAnsi="Calibri"/>
          <w:b/>
          <w:color w:val="1F2937"/>
          <w:sz w:val="22"/>
        </w:rPr>
        <w:t xml:space="preserve">Mathematical Definition: </w:t>
      </w:r>
      <w:r>
        <w:rPr>
          <w:rFonts w:ascii="Calibri" w:hAnsi="Calibri"/>
          <w:i w:val="0"/>
          <w:color w:val="1F2937"/>
          <w:sz w:val="22"/>
        </w:rPr>
        <w:t>The Fit Score measures a candidate's technical capability and domain suitability for a specific role on a scale of 0% to 100%. It is computed across six distinct weighted components: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c>
          <w:tcPr>
            <w:tcW w:type="dxa" w:w="2592"/>
            <w:shd w:fill="1E3A8A"/>
            <w:tcMar>
              <w:top w:w="140" w:type="dxa"/>
              <w:bottom w:w="140" w:type="dxa"/>
              <w:left w:w="150" w:type="dxa"/>
              <w:right w:w="150" w:type="dxa"/>
            </w:tcMar>
          </w:tcPr>
          <w:p>
            <w:pPr>
              <w:jc w:val="left"/>
            </w:pPr>
            <w:r>
              <w:rPr>
                <w:rFonts w:ascii="Arial" w:hAnsi="Arial"/>
                <w:b/>
                <w:color w:val="FFFFFF"/>
                <w:sz w:val="20"/>
              </w:rPr>
              <w:t>Component</w:t>
            </w:r>
          </w:p>
        </w:tc>
        <w:tc>
          <w:tcPr>
            <w:tcW w:type="dxa" w:w="1152"/>
            <w:shd w:fill="1E3A8A"/>
            <w:tcMar>
              <w:top w:w="140" w:type="dxa"/>
              <w:bottom w:w="140" w:type="dxa"/>
              <w:left w:w="150" w:type="dxa"/>
              <w:right w:w="150" w:type="dxa"/>
            </w:tcMar>
          </w:tcPr>
          <w:p>
            <w:pPr>
              <w:jc w:val="left"/>
            </w:pPr>
            <w:r>
              <w:rPr>
                <w:rFonts w:ascii="Arial" w:hAnsi="Arial"/>
                <w:b/>
                <w:color w:val="FFFFFF"/>
                <w:sz w:val="20"/>
              </w:rPr>
              <w:t>Weight</w:t>
            </w:r>
          </w:p>
        </w:tc>
        <w:tc>
          <w:tcPr>
            <w:tcW w:type="dxa" w:w="2304"/>
            <w:shd w:fill="1E3A8A"/>
            <w:tcMar>
              <w:top w:w="140" w:type="dxa"/>
              <w:bottom w:w="140" w:type="dxa"/>
              <w:left w:w="150" w:type="dxa"/>
              <w:right w:w="150" w:type="dxa"/>
            </w:tcMar>
          </w:tcPr>
          <w:p>
            <w:pPr>
              <w:jc w:val="left"/>
            </w:pPr>
            <w:r>
              <w:rPr>
                <w:rFonts w:ascii="Arial" w:hAnsi="Arial"/>
                <w:b/>
                <w:color w:val="FFFFFF"/>
                <w:sz w:val="20"/>
              </w:rPr>
              <w:t>Scoring Basis</w:t>
            </w:r>
          </w:p>
        </w:tc>
        <w:tc>
          <w:tcPr>
            <w:tcW w:type="dxa" w:w="3312"/>
            <w:shd w:fill="1E3A8A"/>
            <w:tcMar>
              <w:top w:w="140" w:type="dxa"/>
              <w:bottom w:w="140" w:type="dxa"/>
              <w:left w:w="150" w:type="dxa"/>
              <w:right w:w="150" w:type="dxa"/>
            </w:tcMar>
          </w:tcPr>
          <w:p>
            <w:pPr>
              <w:jc w:val="left"/>
            </w:pPr>
            <w:r>
              <w:rPr>
                <w:rFonts w:ascii="Arial" w:hAnsi="Arial"/>
                <w:b/>
                <w:color w:val="FFFFFF"/>
                <w:sz w:val="20"/>
              </w:rPr>
              <w:t>Algorithmic Rules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Direct Skills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30%</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Mandatory vs Preferred Skills</w:t>
            </w:r>
          </w:p>
        </w:tc>
        <w:tc>
          <w:tcPr>
            <w:tcW w:type="dxa" w:w="3312"/>
            <w:shd w:fill="FFFFFF"/>
            <w:tcMar>
              <w:top w:w="100" w:type="dxa"/>
              <w:bottom w:w="100" w:type="dxa"/>
              <w:left w:w="150" w:type="dxa"/>
              <w:right w:w="150" w:type="dxa"/>
            </w:tcMar>
          </w:tcPr>
          <w:p>
            <w:pPr>
              <w:spacing w:line="276" w:lineRule="auto"/>
            </w:pPr>
            <w:r>
              <w:rPr>
                <w:rFonts w:ascii="Calibri" w:hAnsi="Calibri"/>
                <w:color w:val="1F2937"/>
                <w:sz w:val="19"/>
              </w:rPr>
              <w:t>Mandatory match ratio (70% weight) + Preferred match ratio (30% weight), scaled by verified proficiency levels (1-5).</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Experience Tenure</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25%</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Years of Domain Experience</w:t>
            </w:r>
          </w:p>
        </w:tc>
        <w:tc>
          <w:tcPr>
            <w:tcW w:type="dxa" w:w="3312"/>
            <w:shd w:fill="F1F5F9"/>
            <w:tcMar>
              <w:top w:w="100" w:type="dxa"/>
              <w:bottom w:w="100" w:type="dxa"/>
              <w:left w:w="150" w:type="dxa"/>
              <w:right w:w="150" w:type="dxa"/>
            </w:tcMar>
          </w:tcPr>
          <w:p>
            <w:pPr>
              <w:spacing w:line="276" w:lineRule="auto"/>
            </w:pPr>
            <w:r>
              <w:rPr>
                <w:rFonts w:ascii="Calibri" w:hAnsi="Calibri"/>
                <w:color w:val="1F2937"/>
                <w:sz w:val="19"/>
              </w:rPr>
              <w:t>100% credit if actual &gt;= required experience; linear deduction if below requirement down to 0% at 0 years.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Project Evidence</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15%</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Verified Project Delivery</w:t>
            </w:r>
          </w:p>
        </w:tc>
        <w:tc>
          <w:tcPr>
            <w:tcW w:type="dxa" w:w="3312"/>
            <w:shd w:fill="FFFFFF"/>
            <w:tcMar>
              <w:top w:w="100" w:type="dxa"/>
              <w:bottom w:w="100" w:type="dxa"/>
              <w:left w:w="150" w:type="dxa"/>
              <w:right w:w="150" w:type="dxa"/>
            </w:tcMar>
          </w:tcPr>
          <w:p>
            <w:pPr>
              <w:spacing w:line="276" w:lineRule="auto"/>
            </w:pPr>
            <w:r>
              <w:rPr>
                <w:rFonts w:ascii="Calibri" w:hAnsi="Calibri"/>
                <w:color w:val="1F2937"/>
                <w:sz w:val="19"/>
              </w:rPr>
              <w:t>Evaluates project relevance, skills demonstrated in production, and project completion status.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Certifications</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10%</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Accredited Vendor Credentials</w:t>
            </w:r>
          </w:p>
        </w:tc>
        <w:tc>
          <w:tcPr>
            <w:tcW w:type="dxa" w:w="3312"/>
            <w:shd w:fill="F1F5F9"/>
            <w:tcMar>
              <w:top w:w="100" w:type="dxa"/>
              <w:bottom w:w="100" w:type="dxa"/>
              <w:left w:w="150" w:type="dxa"/>
              <w:right w:w="150" w:type="dxa"/>
            </w:tcMar>
          </w:tcPr>
          <w:p>
            <w:pPr>
              <w:spacing w:line="276" w:lineRule="auto"/>
            </w:pPr>
            <w:r>
              <w:rPr>
                <w:rFonts w:ascii="Calibri" w:hAnsi="Calibri"/>
                <w:color w:val="1F2937"/>
                <w:sz w:val="19"/>
              </w:rPr>
              <w:t>Matches candidate certifications against target domain requirements (AWS, GCP, IBM, DeepLearning.AI).</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Transferable Skills</w:t>
            </w:r>
          </w:p>
        </w:tc>
        <w:tc>
          <w:tcPr>
            <w:tcW w:type="dxa" w:w="1152"/>
            <w:shd w:fill="FFFFFF"/>
            <w:tcMar>
              <w:top w:w="100" w:type="dxa"/>
              <w:bottom w:w="100" w:type="dxa"/>
              <w:left w:w="150" w:type="dxa"/>
              <w:right w:w="150" w:type="dxa"/>
            </w:tcMar>
          </w:tcPr>
          <w:p>
            <w:pPr>
              <w:spacing w:line="276" w:lineRule="auto"/>
            </w:pPr>
            <w:r>
              <w:rPr>
                <w:rFonts w:ascii="Calibri" w:hAnsi="Calibri"/>
                <w:color w:val="1F2937"/>
                <w:sz w:val="19"/>
              </w:rPr>
              <w:t>10%</w:t>
            </w:r>
          </w:p>
        </w:tc>
        <w:tc>
          <w:tcPr>
            <w:tcW w:type="dxa" w:w="2304"/>
            <w:shd w:fill="FFFFFF"/>
            <w:tcMar>
              <w:top w:w="100" w:type="dxa"/>
              <w:bottom w:w="100" w:type="dxa"/>
              <w:left w:w="150" w:type="dxa"/>
              <w:right w:w="150" w:type="dxa"/>
            </w:tcMar>
          </w:tcPr>
          <w:p>
            <w:pPr>
              <w:spacing w:line="276" w:lineRule="auto"/>
            </w:pPr>
            <w:r>
              <w:rPr>
                <w:rFonts w:ascii="Calibri" w:hAnsi="Calibri"/>
                <w:color w:val="1F2937"/>
                <w:sz w:val="19"/>
              </w:rPr>
              <w:t>Ontological Bridge Capabilities</w:t>
            </w:r>
          </w:p>
        </w:tc>
        <w:tc>
          <w:tcPr>
            <w:tcW w:type="dxa" w:w="3312"/>
            <w:shd w:fill="FFFFFF"/>
            <w:tcMar>
              <w:top w:w="100" w:type="dxa"/>
              <w:bottom w:w="100" w:type="dxa"/>
              <w:left w:w="150" w:type="dxa"/>
              <w:right w:w="150" w:type="dxa"/>
            </w:tcMar>
          </w:tcPr>
          <w:p>
            <w:pPr>
              <w:spacing w:line="276" w:lineRule="auto"/>
            </w:pPr>
            <w:r>
              <w:rPr>
                <w:rFonts w:ascii="Calibri" w:hAnsi="Calibri"/>
                <w:color w:val="1F2937"/>
                <w:sz w:val="19"/>
              </w:rPr>
              <w:t>Credits adjacent skills based on graph relationship strength multipliers (0.75 - 0.95).</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Domain Alignment</w:t>
            </w:r>
          </w:p>
        </w:tc>
        <w:tc>
          <w:tcPr>
            <w:tcW w:type="dxa" w:w="1152"/>
            <w:shd w:fill="F1F5F9"/>
            <w:tcMar>
              <w:top w:w="100" w:type="dxa"/>
              <w:bottom w:w="100" w:type="dxa"/>
              <w:left w:w="150" w:type="dxa"/>
              <w:right w:w="150" w:type="dxa"/>
            </w:tcMar>
          </w:tcPr>
          <w:p>
            <w:pPr>
              <w:spacing w:line="276" w:lineRule="auto"/>
            </w:pPr>
            <w:r>
              <w:rPr>
                <w:rFonts w:ascii="Calibri" w:hAnsi="Calibri"/>
                <w:color w:val="1F2937"/>
                <w:sz w:val="19"/>
              </w:rPr>
              <w:t>10%</w:t>
            </w:r>
          </w:p>
        </w:tc>
        <w:tc>
          <w:tcPr>
            <w:tcW w:type="dxa" w:w="2304"/>
            <w:shd w:fill="F1F5F9"/>
            <w:tcMar>
              <w:top w:w="100" w:type="dxa"/>
              <w:bottom w:w="100" w:type="dxa"/>
              <w:left w:w="150" w:type="dxa"/>
              <w:right w:w="150" w:type="dxa"/>
            </w:tcMar>
          </w:tcPr>
          <w:p>
            <w:pPr>
              <w:spacing w:line="276" w:lineRule="auto"/>
            </w:pPr>
            <w:r>
              <w:rPr>
                <w:rFonts w:ascii="Calibri" w:hAnsi="Calibri"/>
                <w:color w:val="1F2937"/>
                <w:sz w:val="19"/>
              </w:rPr>
              <w:t>Department &amp; Business Adjacency</w:t>
            </w:r>
          </w:p>
        </w:tc>
        <w:tc>
          <w:tcPr>
            <w:tcW w:type="dxa" w:w="3312"/>
            <w:shd w:fill="F1F5F9"/>
            <w:tcMar>
              <w:top w:w="100" w:type="dxa"/>
              <w:bottom w:w="100" w:type="dxa"/>
              <w:left w:w="150" w:type="dxa"/>
              <w:right w:w="150" w:type="dxa"/>
            </w:tcMar>
          </w:tcPr>
          <w:p>
            <w:pPr>
              <w:spacing w:line="276" w:lineRule="auto"/>
            </w:pPr>
            <w:r>
              <w:rPr>
                <w:rFonts w:ascii="Calibri" w:hAnsi="Calibri"/>
                <w:color w:val="1F2937"/>
                <w:sz w:val="19"/>
              </w:rPr>
              <w:t>100% for same department; 70% for adjacent technical departments; 40% for cross-functional domains.</w:t>
            </w:r>
          </w:p>
        </w:tc>
      </w:tr>
    </w:tbl>
    <w:p>
      <w:pPr>
        <w:pStyle w:val="Heading2"/>
        <w:keepNext/>
        <w:spacing w:before="280" w:after="120"/>
      </w:pPr>
      <w:r>
        <w:rPr>
          <w:rFonts w:ascii="Arial" w:hAnsi="Arial"/>
          <w:b/>
          <w:color w:val="2563EB"/>
          <w:sz w:val="27"/>
        </w:rPr>
        <w:t>5.2 Separate Readiness Score Formulation</w:t>
      </w:r>
    </w:p>
    <w:p>
      <w:pPr>
        <w:spacing w:after="120" w:line="276" w:lineRule="auto"/>
      </w:pPr>
      <w:r>
        <w:rPr>
          <w:rFonts w:ascii="Calibri" w:hAnsi="Calibri"/>
          <w:b/>
          <w:color w:val="1F2937"/>
          <w:sz w:val="22"/>
        </w:rPr>
        <w:t xml:space="preserve">Operational Availability: </w:t>
      </w:r>
      <w:r>
        <w:rPr>
          <w:rFonts w:ascii="Calibri" w:hAnsi="Calibri"/>
          <w:i w:val="0"/>
          <w:color w:val="1F2937"/>
          <w:sz w:val="22"/>
        </w:rPr>
        <w:t>Readiness is decoupled from Fit. An employee may possess 95% technical Fit but have 0% Readiness if they are committed to a mission-critical project for the next 6 months. Readiness begins at 100% and applies mathematical deductions:</w:t>
      </w:r>
    </w:p>
    <w:p>
      <w:pPr>
        <w:pStyle w:val="ListBullet"/>
        <w:spacing w:after="80" w:line="276" w:lineRule="auto"/>
      </w:pPr>
      <w:r>
        <w:rPr>
          <w:rFonts w:ascii="Calibri" w:hAnsi="Calibri"/>
          <w:b/>
          <w:color w:val="1F2937"/>
          <w:sz w:val="22"/>
        </w:rPr>
        <w:t xml:space="preserve">Long-Term Commitment: </w:t>
      </w:r>
      <w:r>
        <w:rPr>
          <w:rFonts w:ascii="Calibri" w:hAnsi="Calibri"/>
          <w:color w:val="1F2937"/>
          <w:sz w:val="22"/>
        </w:rPr>
        <w:t>If current project has &gt; 8 weeks remaining: -30% deduction.</w:t>
      </w:r>
    </w:p>
    <w:p>
      <w:pPr>
        <w:pStyle w:val="ListBullet"/>
        <w:spacing w:after="80" w:line="276" w:lineRule="auto"/>
      </w:pPr>
      <w:r>
        <w:rPr>
          <w:rFonts w:ascii="Calibri" w:hAnsi="Calibri"/>
          <w:b/>
          <w:color w:val="1F2937"/>
          <w:sz w:val="22"/>
        </w:rPr>
        <w:t xml:space="preserve">Medium-Term Commitment: </w:t>
      </w:r>
      <w:r>
        <w:rPr>
          <w:rFonts w:ascii="Calibri" w:hAnsi="Calibri"/>
          <w:color w:val="1F2937"/>
          <w:sz w:val="22"/>
        </w:rPr>
        <w:t>If current project has 4 to 8 weeks remaining: -15% deduction.</w:t>
      </w:r>
    </w:p>
    <w:p>
      <w:pPr>
        <w:pStyle w:val="ListBullet"/>
        <w:spacing w:after="80" w:line="276" w:lineRule="auto"/>
      </w:pPr>
      <w:r>
        <w:rPr>
          <w:rFonts w:ascii="Calibri" w:hAnsi="Calibri"/>
          <w:b/>
          <w:color w:val="1F2937"/>
          <w:sz w:val="22"/>
        </w:rPr>
        <w:t xml:space="preserve">Imminent Availability: </w:t>
      </w:r>
      <w:r>
        <w:rPr>
          <w:rFonts w:ascii="Calibri" w:hAnsi="Calibri"/>
          <w:color w:val="1F2937"/>
          <w:sz w:val="22"/>
        </w:rPr>
        <w:t>If current project has &lt; 4 weeks remaining: 0% deduction (Full Readiness).</w:t>
      </w:r>
    </w:p>
    <w:p>
      <w:pPr>
        <w:pStyle w:val="ListBullet"/>
        <w:spacing w:after="80" w:line="276" w:lineRule="auto"/>
      </w:pPr>
      <w:r>
        <w:rPr>
          <w:rFonts w:ascii="Calibri" w:hAnsi="Calibri"/>
          <w:b/>
          <w:color w:val="1F2937"/>
          <w:sz w:val="22"/>
        </w:rPr>
        <w:t xml:space="preserve">Transition Window: </w:t>
      </w:r>
      <w:r>
        <w:rPr>
          <w:rFonts w:ascii="Calibri" w:hAnsi="Calibri"/>
          <w:color w:val="1F2937"/>
          <w:sz w:val="22"/>
        </w:rPr>
        <w:t>If availability notice period is &gt; 30 days: -10% deduction.</w:t>
      </w:r>
    </w:p>
    <w:p>
      <w:pPr>
        <w:pStyle w:val="ListBullet"/>
        <w:spacing w:after="80" w:line="276" w:lineRule="auto"/>
      </w:pPr>
      <w:r>
        <w:rPr>
          <w:rFonts w:ascii="Calibri" w:hAnsi="Calibri"/>
          <w:b/>
          <w:color w:val="1F2937"/>
          <w:sz w:val="22"/>
        </w:rPr>
        <w:t xml:space="preserve">Transfer Preference: </w:t>
      </w:r>
      <w:r>
        <w:rPr>
          <w:rFonts w:ascii="Calibri" w:hAnsi="Calibri"/>
          <w:color w:val="1F2937"/>
          <w:sz w:val="22"/>
        </w:rPr>
        <w:t>If employee has set open_to_transfer = False: Maximum score capped at 20%.</w:t>
      </w:r>
    </w:p>
    <w:p>
      <w:pPr>
        <w:pStyle w:val="Heading2"/>
        <w:keepNext/>
        <w:spacing w:before="280" w:after="120"/>
      </w:pPr>
      <w:r>
        <w:rPr>
          <w:rFonts w:ascii="Arial" w:hAnsi="Arial"/>
          <w:b/>
          <w:color w:val="2563EB"/>
          <w:sz w:val="27"/>
        </w:rPr>
        <w:t>5.3 Grounded LLM Match Explanations</w:t>
      </w:r>
    </w:p>
    <w:p>
      <w:pPr>
        <w:spacing w:after="120" w:line="276" w:lineRule="auto"/>
      </w:pPr>
      <w:r>
        <w:rPr>
          <w:rFonts w:ascii="Calibri" w:hAnsi="Calibri"/>
          <w:b/>
          <w:color w:val="1F2937"/>
          <w:sz w:val="22"/>
        </w:rPr>
        <w:t xml:space="preserve">Zero-Hallucination Grounding: </w:t>
      </w:r>
      <w:r>
        <w:rPr>
          <w:rFonts w:ascii="Calibri" w:hAnsi="Calibri"/>
          <w:i w:val="0"/>
          <w:color w:val="1F2937"/>
          <w:sz w:val="22"/>
        </w:rPr>
        <w:t>To provide actionable context to hiring managers, RoleFlow utilizes GPT-OSS-120B to draft a concise, two-paragraph explanation for top candidates. However, to prevent hallucination, the prompt is strictly injected with verified database facts: candidate project names, verified skills, and exact readiness deductions. The prompt enforces a strict rule: 'Cite only the actual projects, skills, and certifications provided below. Do not invent any facts.' If the LLM is unreachable, an algorithmic fallback explanation is generated deterministically.</w:t>
      </w:r>
    </w:p>
    <w:p>
      <w:r>
        <w:br w:type="page"/>
      </w:r>
    </w:p>
    <w:p>
      <w:pPr>
        <w:pStyle w:val="Heading1"/>
        <w:keepNext/>
        <w:spacing w:before="280" w:after="120"/>
      </w:pPr>
      <w:r>
        <w:rPr>
          <w:rFonts w:ascii="Arial" w:hAnsi="Arial"/>
          <w:b/>
          <w:color w:val="1E3A8A"/>
          <w:sz w:val="34"/>
        </w:rPr>
        <w:t>6. Data Model &amp; Workforce Benchmarking</w:t>
      </w:r>
    </w:p>
    <w:p>
      <w:pPr>
        <w:spacing w:after="120" w:line="276" w:lineRule="auto"/>
      </w:pPr>
      <w:r>
        <w:rPr>
          <w:rFonts w:ascii="Calibri" w:hAnsi="Calibri"/>
          <w:b/>
          <w:color w:val="1F2937"/>
          <w:sz w:val="22"/>
        </w:rPr>
        <w:t xml:space="preserve">Enterprise Schema: </w:t>
      </w:r>
      <w:r>
        <w:rPr>
          <w:rFonts w:ascii="Calibri" w:hAnsi="Calibri"/>
          <w:i w:val="0"/>
          <w:color w:val="1F2937"/>
          <w:sz w:val="22"/>
        </w:rPr>
        <w:t>RoleFlow incorporates a resilient, multi-model schema spanning relational tables, JSON capability profiles, and curated course catalog records.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Model Name</w:t>
            </w:r>
          </w:p>
        </w:tc>
        <w:tc>
          <w:tcPr>
            <w:tcW w:type="dxa" w:w="2016"/>
            <w:shd w:fill="1E3A8A"/>
            <w:tcMar>
              <w:top w:w="140" w:type="dxa"/>
              <w:bottom w:w="140" w:type="dxa"/>
              <w:left w:w="150" w:type="dxa"/>
              <w:right w:w="150" w:type="dxa"/>
            </w:tcMar>
          </w:tcPr>
          <w:p>
            <w:pPr>
              <w:jc w:val="left"/>
            </w:pPr>
            <w:r>
              <w:rPr>
                <w:rFonts w:ascii="Arial" w:hAnsi="Arial"/>
                <w:b/>
                <w:color w:val="FFFFFF"/>
                <w:sz w:val="20"/>
              </w:rPr>
              <w:t>Storage Table</w:t>
            </w:r>
          </w:p>
        </w:tc>
        <w:tc>
          <w:tcPr>
            <w:tcW w:type="dxa" w:w="4752"/>
            <w:shd w:fill="1E3A8A"/>
            <w:tcMar>
              <w:top w:w="140" w:type="dxa"/>
              <w:bottom w:w="140" w:type="dxa"/>
              <w:left w:w="150" w:type="dxa"/>
              <w:right w:w="150" w:type="dxa"/>
            </w:tcMar>
          </w:tcPr>
          <w:p>
            <w:pPr>
              <w:jc w:val="left"/>
            </w:pPr>
            <w:r>
              <w:rPr>
                <w:rFonts w:ascii="Arial" w:hAnsi="Arial"/>
                <w:b/>
                <w:color w:val="FFFFFF"/>
                <w:sz w:val="20"/>
              </w:rPr>
              <w:t>Key Attributes &amp; Purpose</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User</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users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email, password_hash, role (manager, employee, hr, admin), employee_id. Enforces RBAC authentication.</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employees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(EMP-XXXX), full_name, email, current_role, department, experience_years, bio, open_to_transfer, availability_days, embedding.</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Skill</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skills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name, domain, description. Master catalog of organizational competencies.</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SkillRelationship</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skill_relationships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source_skill, target_skill, relationship_type (transferable_to, specialization_of), strength (0.0-1.0).</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EmployeeSkill</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employee_skills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employee_id, skill_name, proficiency (1-5), status (verified, inferred, explicit), evidence_id, evidence_text.</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Project</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projects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employee_id, name, role, skills_used, status, completion_percentage, remaining_weeks, start_date, expected_end_date.</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Certification</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certifications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employee_id, name, issuer, issue_date, skills_covered.</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Role</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roles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title, department, domain, description, mandatory_skills, preferred_skills, minimum_experience, headcount, visibility, status.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RoleCandidate</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role_candidates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role_id, employee_id, fit_score, readiness_score, fit_breakdown, readiness_breakdown, top_skills, ai_explanation.</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Transfer</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transfers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id, role_id, employee_id, candidate_id, status (pending_employee, pending_hr, approved, employee_declined), manager_id.</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Course</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courses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title, provider (Coursera, Udemy, edX, LinkedIn, Internal), description, target_skills, duration_hours, level.</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LearningPlanRecord</w:t>
            </w:r>
          </w:p>
        </w:tc>
        <w:tc>
          <w:tcPr>
            <w:tcW w:type="dxa" w:w="2016"/>
            <w:shd w:fill="F1F5F9"/>
            <w:tcMar>
              <w:top w:w="100" w:type="dxa"/>
              <w:bottom w:w="100" w:type="dxa"/>
              <w:left w:w="150" w:type="dxa"/>
              <w:right w:w="150" w:type="dxa"/>
            </w:tcMar>
          </w:tcPr>
          <w:p>
            <w:pPr>
              <w:spacing w:line="276" w:lineRule="auto"/>
            </w:pPr>
            <w:r>
              <w:rPr>
                <w:rFonts w:ascii="Calibri" w:hAnsi="Calibri"/>
                <w:color w:val="1F2937"/>
                <w:sz w:val="19"/>
              </w:rPr>
              <w:t>learning_plans</w:t>
            </w:r>
          </w:p>
        </w:tc>
        <w:tc>
          <w:tcPr>
            <w:tcW w:type="dxa" w:w="4752"/>
            <w:shd w:fill="F1F5F9"/>
            <w:tcMar>
              <w:top w:w="100" w:type="dxa"/>
              <w:bottom w:w="100" w:type="dxa"/>
              <w:left w:w="150" w:type="dxa"/>
              <w:right w:w="150" w:type="dxa"/>
            </w:tcMar>
          </w:tcPr>
          <w:p>
            <w:pPr>
              <w:spacing w:line="276" w:lineRule="auto"/>
            </w:pPr>
            <w:r>
              <w:rPr>
                <w:rFonts w:ascii="Calibri" w:hAnsi="Calibri"/>
                <w:color w:val="1F2937"/>
                <w:sz w:val="19"/>
              </w:rPr>
              <w:t>employee_id, role_id, phase_1, phase_2, phase_3, progress_percentage, status.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MatchRun</w:t>
            </w:r>
          </w:p>
        </w:tc>
        <w:tc>
          <w:tcPr>
            <w:tcW w:type="dxa" w:w="2016"/>
            <w:shd w:fill="FFFFFF"/>
            <w:tcMar>
              <w:top w:w="100" w:type="dxa"/>
              <w:bottom w:w="100" w:type="dxa"/>
              <w:left w:w="150" w:type="dxa"/>
              <w:right w:w="150" w:type="dxa"/>
            </w:tcMar>
          </w:tcPr>
          <w:p>
            <w:pPr>
              <w:spacing w:line="276" w:lineRule="auto"/>
            </w:pPr>
            <w:r>
              <w:rPr>
                <w:rFonts w:ascii="Calibri" w:hAnsi="Calibri"/>
                <w:color w:val="1F2937"/>
                <w:sz w:val="19"/>
              </w:rPr>
              <w:t>match_runs</w:t>
            </w:r>
          </w:p>
        </w:tc>
        <w:tc>
          <w:tcPr>
            <w:tcW w:type="dxa" w:w="4752"/>
            <w:shd w:fill="FFFFFF"/>
            <w:tcMar>
              <w:top w:w="100" w:type="dxa"/>
              <w:bottom w:w="100" w:type="dxa"/>
              <w:left w:w="150" w:type="dxa"/>
              <w:right w:w="150" w:type="dxa"/>
            </w:tcMar>
          </w:tcPr>
          <w:p>
            <w:pPr>
              <w:spacing w:line="276" w:lineRule="auto"/>
            </w:pPr>
            <w:r>
              <w:rPr>
                <w:rFonts w:ascii="Calibri" w:hAnsi="Calibri"/>
                <w:color w:val="1F2937"/>
                <w:sz w:val="19"/>
              </w:rPr>
              <w:t>id, role_id, status, current_stage, progress (0-100), candidates_count, initiated_by, completed_at.</w:t>
            </w:r>
          </w:p>
        </w:tc>
      </w:tr>
    </w:tbl>
    <w:p>
      <w:pPr>
        <w:pStyle w:val="Heading2"/>
        <w:keepNext/>
        <w:spacing w:before="280" w:after="120"/>
      </w:pPr>
      <w:r>
        <w:rPr>
          <w:rFonts w:ascii="Arial" w:hAnsi="Arial"/>
          <w:b/>
          <w:color w:val="2563EB"/>
          <w:sz w:val="27"/>
        </w:rPr>
        <w:t>6.1 Synthetic Dataset: 10,000 Workforce Benchmark</w:t>
      </w:r>
    </w:p>
    <w:p>
      <w:pPr>
        <w:spacing w:after="120" w:line="276" w:lineRule="auto"/>
      </w:pPr>
      <w:r>
        <w:rPr>
          <w:rFonts w:ascii="Calibri" w:hAnsi="Calibri"/>
          <w:b/>
          <w:color w:val="1F2937"/>
          <w:sz w:val="22"/>
        </w:rPr>
        <w:t xml:space="preserve">Workforce Scale: </w:t>
      </w:r>
      <w:r>
        <w:rPr>
          <w:rFonts w:ascii="Calibri" w:hAnsi="Calibri"/>
          <w:i w:val="0"/>
          <w:color w:val="1F2937"/>
          <w:sz w:val="22"/>
        </w:rPr>
        <w:t>To validate scalability and real-time response times under enterprise conditions, the database seed script (backend/seed.py) generates a workforce of 10,000 synthetic employees across Engineering, Data &amp; AI, Product, Design, Quality, and Operations. Furthermore, 30 rich benchmark profiles are established with full relational depth, verified projects, and multi-year track records: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Benchmark Employee</w:t>
            </w:r>
          </w:p>
        </w:tc>
        <w:tc>
          <w:tcPr>
            <w:tcW w:type="dxa" w:w="2592"/>
            <w:shd w:fill="1E3A8A"/>
            <w:tcMar>
              <w:top w:w="140" w:type="dxa"/>
              <w:bottom w:w="140" w:type="dxa"/>
              <w:left w:w="150" w:type="dxa"/>
              <w:right w:w="150" w:type="dxa"/>
            </w:tcMar>
          </w:tcPr>
          <w:p>
            <w:pPr>
              <w:jc w:val="left"/>
            </w:pPr>
            <w:r>
              <w:rPr>
                <w:rFonts w:ascii="Arial" w:hAnsi="Arial"/>
                <w:b/>
                <w:color w:val="FFFFFF"/>
                <w:sz w:val="20"/>
              </w:rPr>
              <w:t>Current Role &amp; Dept</w:t>
            </w:r>
          </w:p>
        </w:tc>
        <w:tc>
          <w:tcPr>
            <w:tcW w:type="dxa" w:w="4176"/>
            <w:shd w:fill="1E3A8A"/>
            <w:tcMar>
              <w:top w:w="140" w:type="dxa"/>
              <w:bottom w:w="140" w:type="dxa"/>
              <w:left w:w="150" w:type="dxa"/>
              <w:right w:w="150" w:type="dxa"/>
            </w:tcMar>
          </w:tcPr>
          <w:p>
            <w:pPr>
              <w:jc w:val="left"/>
            </w:pPr>
            <w:r>
              <w:rPr>
                <w:rFonts w:ascii="Arial" w:hAnsi="Arial"/>
                <w:b/>
                <w:color w:val="FFFFFF"/>
                <w:sz w:val="20"/>
              </w:rPr>
              <w:t>Profile Highlights &amp; Verified Skills</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Arjun Mehta (EMP-1024)</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Data Analyst (Data &amp; AI)</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4.5 yrs exp. Python (4/5), SQL (5/5), Statistics (4/5), Machine Learning (3/5). Customer Analytics Platform project (75% complete, 3 wks left).</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Kavita Raman (EMP-1025)</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Software Engineer (Eng)</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3.5 yrs exp. Python (4/5), React (4/5), APIs (4/5), Database (3/5). Internal Developer Portal project (100% complete, 0 wks left).</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Rohan Verma (EMP-1026)</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QA Engineer (Quality Eng)</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4.0 yrs exp. Automation (4/5), Python (3/5), Testing (5/5), CI/CD (3/5). Continuous Automated Test Suite project (100% complete).</w:t>
            </w:r>
          </w:p>
        </w:tc>
      </w:tr>
    </w:tbl>
    <w:p>
      <w:r>
        <w:br w:type="page"/>
      </w:r>
    </w:p>
    <w:p>
      <w:pPr>
        <w:pStyle w:val="Heading1"/>
        <w:keepNext/>
        <w:spacing w:before="280" w:after="120"/>
      </w:pPr>
      <w:r>
        <w:rPr>
          <w:rFonts w:ascii="Arial" w:hAnsi="Arial"/>
          <w:b/>
          <w:color w:val="1E3A8A"/>
          <w:sz w:val="34"/>
        </w:rPr>
        <w:t>7. Quality Assurance, Test Suite &amp; Benchmarks</w:t>
      </w:r>
    </w:p>
    <w:p>
      <w:pPr>
        <w:spacing w:after="120" w:line="276" w:lineRule="auto"/>
      </w:pPr>
      <w:r>
        <w:rPr>
          <w:rFonts w:ascii="Calibri" w:hAnsi="Calibri"/>
          <w:b/>
          <w:color w:val="1F2937"/>
          <w:sz w:val="22"/>
        </w:rPr>
        <w:t xml:space="preserve">Verification Framework: </w:t>
      </w:r>
      <w:r>
        <w:rPr>
          <w:rFonts w:ascii="Calibri" w:hAnsi="Calibri"/>
          <w:i w:val="0"/>
          <w:color w:val="1F2937"/>
          <w:sz w:val="22"/>
        </w:rPr>
        <w:t>The RoleFlow codebase has undergone rigorous automated testing covering all API endpoints, data models, multi-threaded worker pools, crawlers, and edge cases.</w:t>
      </w:r>
    </w:p>
    <w:p>
      <w:pPr>
        <w:pStyle w:val="Heading2"/>
        <w:keepNext/>
        <w:spacing w:before="280" w:after="120"/>
      </w:pPr>
      <w:r>
        <w:rPr>
          <w:rFonts w:ascii="Arial" w:hAnsi="Arial"/>
          <w:b/>
          <w:color w:val="2563EB"/>
          <w:sz w:val="27"/>
        </w:rPr>
        <w:t>7.1 Smoke Test Suite (backend/test_smoke.py)</w:t>
      </w:r>
    </w:p>
    <w:p>
      <w:pPr>
        <w:spacing w:after="120" w:line="276" w:lineRule="auto"/>
      </w:pPr>
      <w:r>
        <w:rPr>
          <w:rFonts w:ascii="Calibri" w:hAnsi="Calibri"/>
          <w:b/>
          <w:color w:val="1F2937"/>
          <w:sz w:val="22"/>
        </w:rPr>
        <w:t xml:space="preserve">Results: </w:t>
      </w:r>
      <w:r>
        <w:rPr>
          <w:rFonts w:ascii="Calibri" w:hAnsi="Calibri"/>
          <w:i w:val="0"/>
          <w:color w:val="1F2937"/>
          <w:sz w:val="22"/>
        </w:rPr>
        <w:t>The smoke test suite validates 42 critical system assertions across 10 categories. Test execution achieved a 100% pass rate: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3168"/>
            <w:shd w:fill="1E3A8A"/>
            <w:tcMar>
              <w:top w:w="140" w:type="dxa"/>
              <w:bottom w:w="140" w:type="dxa"/>
              <w:left w:w="150" w:type="dxa"/>
              <w:right w:w="150" w:type="dxa"/>
            </w:tcMar>
          </w:tcPr>
          <w:p>
            <w:pPr>
              <w:jc w:val="left"/>
            </w:pPr>
            <w:r>
              <w:rPr>
                <w:rFonts w:ascii="Arial" w:hAnsi="Arial"/>
                <w:b/>
                <w:color w:val="FFFFFF"/>
                <w:sz w:val="20"/>
              </w:rPr>
              <w:t>Test Category</w:t>
            </w:r>
          </w:p>
        </w:tc>
        <w:tc>
          <w:tcPr>
            <w:tcW w:type="dxa" w:w="1728"/>
            <w:shd w:fill="1E3A8A"/>
            <w:tcMar>
              <w:top w:w="140" w:type="dxa"/>
              <w:bottom w:w="140" w:type="dxa"/>
              <w:left w:w="150" w:type="dxa"/>
              <w:right w:w="150" w:type="dxa"/>
            </w:tcMar>
          </w:tcPr>
          <w:p>
            <w:pPr>
              <w:jc w:val="left"/>
            </w:pPr>
            <w:r>
              <w:rPr>
                <w:rFonts w:ascii="Arial" w:hAnsi="Arial"/>
                <w:b/>
                <w:color w:val="FFFFFF"/>
                <w:sz w:val="20"/>
              </w:rPr>
              <w:t>Status</w:t>
            </w:r>
          </w:p>
        </w:tc>
        <w:tc>
          <w:tcPr>
            <w:tcW w:type="dxa" w:w="4464"/>
            <w:shd w:fill="1E3A8A"/>
            <w:tcMar>
              <w:top w:w="140" w:type="dxa"/>
              <w:bottom w:w="140" w:type="dxa"/>
              <w:left w:w="150" w:type="dxa"/>
              <w:right w:w="150" w:type="dxa"/>
            </w:tcMar>
          </w:tcPr>
          <w:p>
            <w:pPr>
              <w:jc w:val="left"/>
            </w:pPr>
            <w:r>
              <w:rPr>
                <w:rFonts w:ascii="Arial" w:hAnsi="Arial"/>
                <w:b/>
                <w:color w:val="FFFFFF"/>
                <w:sz w:val="20"/>
              </w:rPr>
              <w:t>Verified Assertions</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1. Health &amp; Resilience</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Status 200, DB/Redis/LLM reporting, zero Docker text in response.</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2. JWT Authentication</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(6/6)</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Login for Manager, Employee, HR; token extraction and validation.</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3. Role Intelligence</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JD parsing 200, mandatory skills extraction, title normalization.</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4. Manager &amp; Candidates</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(6/6)</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Candidate listing, Arjun Mehta discovered, Fit 50-99%, Readiness separate, 6-component breakdown.</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5. Manager Shortlist</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(2/2)</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Shortlist 200, creates pending_employee transfer record.</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6. Employee Portal &amp; Security</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Opportunities 200, opportunity visible, hidden role strictly excluded.</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7. Employee Decision Flow</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(3/3)</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Employee accept 200, advances to pending_hr, role preference ranking.</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8. Continuous Learning Loop</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(2/2)</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Learning roadmap 200, mark course complete 200 with skill credentialing.</w:t>
            </w:r>
          </w:p>
        </w:tc>
      </w:tr>
      <w:tr>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9. HR Governance Flow</w:t>
            </w:r>
          </w:p>
        </w:tc>
        <w:tc>
          <w:tcPr>
            <w:tcW w:type="dxa" w:w="1728"/>
            <w:shd w:fill="FFFFFF"/>
            <w:tcMar>
              <w:top w:w="100" w:type="dxa"/>
              <w:bottom w:w="100" w:type="dxa"/>
              <w:left w:w="150" w:type="dxa"/>
              <w:right w:w="150" w:type="dxa"/>
            </w:tcMar>
          </w:tcPr>
          <w:p>
            <w:pPr>
              <w:spacing w:line="276" w:lineRule="auto"/>
            </w:pPr>
            <w:r>
              <w:rPr>
                <w:rFonts w:ascii="Calibri" w:hAnsi="Calibri"/>
                <w:color w:val="1F2937"/>
                <w:sz w:val="19"/>
              </w:rPr>
              <w:t>PASSED (4/4)</w:t>
            </w:r>
          </w:p>
        </w:tc>
        <w:tc>
          <w:tcPr>
            <w:tcW w:type="dxa" w:w="4464"/>
            <w:shd w:fill="FFFFFF"/>
            <w:tcMar>
              <w:top w:w="100" w:type="dxa"/>
              <w:bottom w:w="100" w:type="dxa"/>
              <w:left w:w="150" w:type="dxa"/>
              <w:right w:w="150" w:type="dxa"/>
            </w:tcMar>
          </w:tcPr>
          <w:p>
            <w:pPr>
              <w:spacing w:line="276" w:lineRule="auto"/>
            </w:pPr>
            <w:r>
              <w:rPr>
                <w:rFonts w:ascii="Calibri" w:hAnsi="Calibri"/>
                <w:color w:val="1F2937"/>
                <w:sz w:val="19"/>
              </w:rPr>
              <w:t>Transfers list 200, pending_hr transfer found, HR approve 200, status approved.</w:t>
            </w:r>
          </w:p>
        </w:tc>
      </w:tr>
      <w:tr>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10. Multi-Threaded Crawlers</w:t>
            </w:r>
          </w:p>
        </w:tc>
        <w:tc>
          <w:tcPr>
            <w:tcW w:type="dxa" w:w="1728"/>
            <w:shd w:fill="F1F5F9"/>
            <w:tcMar>
              <w:top w:w="100" w:type="dxa"/>
              <w:bottom w:w="100" w:type="dxa"/>
              <w:left w:w="150" w:type="dxa"/>
              <w:right w:w="150" w:type="dxa"/>
            </w:tcMar>
          </w:tcPr>
          <w:p>
            <w:pPr>
              <w:spacing w:line="276" w:lineRule="auto"/>
            </w:pPr>
            <w:r>
              <w:rPr>
                <w:rFonts w:ascii="Calibri" w:hAnsi="Calibri"/>
                <w:color w:val="1F2937"/>
                <w:sz w:val="19"/>
              </w:rPr>
              <w:t>PASSED (8/8)</w:t>
            </w:r>
          </w:p>
        </w:tc>
        <w:tc>
          <w:tcPr>
            <w:tcW w:type="dxa" w:w="4464"/>
            <w:shd w:fill="F1F5F9"/>
            <w:tcMar>
              <w:top w:w="100" w:type="dxa"/>
              <w:bottom w:w="100" w:type="dxa"/>
              <w:left w:w="150" w:type="dxa"/>
              <w:right w:w="150" w:type="dxa"/>
            </w:tcMar>
          </w:tcPr>
          <w:p>
            <w:pPr>
              <w:spacing w:line="276" w:lineRule="auto"/>
            </w:pPr>
            <w:r>
              <w:rPr>
                <w:rFonts w:ascii="Calibri" w:hAnsi="Calibri"/>
                <w:color w:val="1F2937"/>
                <w:sz w:val="19"/>
              </w:rPr>
              <w:t>Concurrent course crawl 200, worker threads dispatched (&gt;=3), multi-provider harvesting, market skills crawl across parallel threads (&gt;=2), live gap crawl.</w:t>
            </w:r>
          </w:p>
        </w:tc>
      </w:tr>
    </w:tbl>
    <w:p>
      <w:pPr>
        <w:pStyle w:val="Heading2"/>
        <w:keepNext/>
        <w:spacing w:before="280" w:after="120"/>
      </w:pPr>
      <w:r>
        <w:rPr>
          <w:rFonts w:ascii="Arial" w:hAnsi="Arial"/>
          <w:b/>
          <w:color w:val="2563EB"/>
          <w:sz w:val="27"/>
        </w:rPr>
        <w:t>7.2 21-Step Jury Demo Verification (backend/test_demo_scenario.py)</w:t>
      </w:r>
    </w:p>
    <w:p>
      <w:pPr>
        <w:spacing w:after="120" w:line="276" w:lineRule="auto"/>
      </w:pPr>
      <w:r>
        <w:rPr>
          <w:rFonts w:ascii="Calibri" w:hAnsi="Calibri"/>
          <w:b/>
          <w:color w:val="1F2937"/>
          <w:sz w:val="22"/>
        </w:rPr>
        <w:t xml:space="preserve">Full Jury Scenario: </w:t>
      </w:r>
      <w:r>
        <w:rPr>
          <w:rFonts w:ascii="Calibri" w:hAnsi="Calibri"/>
          <w:i w:val="0"/>
          <w:color w:val="1F2937"/>
          <w:sz w:val="22"/>
        </w:rPr>
        <w:t>A dedicated end-to-end integration scenario simulates the complete 21-step live hackathon demonstration script including the new concurrent crawl step. All steps and edge cases completed successfully in &lt; 5 seconds:</w:t>
      </w:r>
    </w:p>
    <w:p>
      <w:pPr>
        <w:pStyle w:val="ListBullet"/>
        <w:spacing w:after="80" w:line="276" w:lineRule="auto"/>
      </w:pPr>
      <w:r>
        <w:rPr>
          <w:rFonts w:ascii="Calibri" w:hAnsi="Calibri"/>
          <w:color w:val="1F2937"/>
          <w:sz w:val="22"/>
        </w:rPr>
        <w:t>Step 1: Manager logs in (Priya Sharma).</w:t>
      </w:r>
    </w:p>
    <w:p>
      <w:pPr>
        <w:pStyle w:val="ListBullet"/>
        <w:spacing w:after="80" w:line="276" w:lineRule="auto"/>
      </w:pPr>
      <w:r>
        <w:rPr>
          <w:rFonts w:ascii="Calibri" w:hAnsi="Calibri"/>
          <w:color w:val="1F2937"/>
          <w:sz w:val="22"/>
        </w:rPr>
        <w:t>Steps 2-4: Pastes Machine Learning Engineer JD; Role Intelligence extracts 5 mandatory &amp; 4 preferred skills.</w:t>
      </w:r>
    </w:p>
    <w:p>
      <w:pPr>
        <w:pStyle w:val="ListBullet"/>
        <w:spacing w:after="80" w:line="276" w:lineRule="auto"/>
      </w:pPr>
      <w:r>
        <w:rPr>
          <w:rFonts w:ascii="Calibri" w:hAnsi="Calibri"/>
          <w:color w:val="1F2937"/>
          <w:sz w:val="22"/>
        </w:rPr>
        <w:t>Step 5: Manager reviews criteria and creates visible role.</w:t>
      </w:r>
    </w:p>
    <w:p>
      <w:pPr>
        <w:pStyle w:val="ListBullet"/>
        <w:spacing w:after="80" w:line="276" w:lineRule="auto"/>
      </w:pPr>
      <w:r>
        <w:rPr>
          <w:rFonts w:ascii="Calibri" w:hAnsi="Calibri"/>
          <w:color w:val="1F2937"/>
          <w:sz w:val="22"/>
        </w:rPr>
        <w:t>Steps 6-7: Discovery task queued; multi-threaded candidate matching completes in parallel across 6 worker threads.</w:t>
      </w:r>
    </w:p>
    <w:p>
      <w:pPr>
        <w:pStyle w:val="ListBullet"/>
        <w:spacing w:after="80" w:line="276" w:lineRule="auto"/>
      </w:pPr>
      <w:r>
        <w:rPr>
          <w:rFonts w:ascii="Calibri" w:hAnsi="Calibri"/>
          <w:color w:val="1F2937"/>
          <w:sz w:val="22"/>
        </w:rPr>
        <w:t>Step 8: Candidate pool loaded; 25 top internal candidates retrieved.</w:t>
      </w:r>
    </w:p>
    <w:p>
      <w:pPr>
        <w:pStyle w:val="ListBullet"/>
        <w:spacing w:after="80" w:line="276" w:lineRule="auto"/>
      </w:pPr>
      <w:r>
        <w:rPr>
          <w:rFonts w:ascii="Calibri" w:hAnsi="Calibri"/>
          <w:color w:val="1F2937"/>
          <w:sz w:val="22"/>
        </w:rPr>
        <w:t>Steps 9-14: Arjun Mehta inspected: 79% Fit, 83% Readiness, verified projects, and grounded AI explanation.</w:t>
      </w:r>
    </w:p>
    <w:p>
      <w:pPr>
        <w:pStyle w:val="ListBullet"/>
        <w:spacing w:after="80" w:line="276" w:lineRule="auto"/>
      </w:pPr>
      <w:r>
        <w:rPr>
          <w:rFonts w:ascii="Calibri" w:hAnsi="Calibri"/>
          <w:color w:val="1F2937"/>
          <w:sz w:val="22"/>
        </w:rPr>
        <w:t>Concurrent Crawl Step: Spawns 5 worker threads across Coursera, edX, MIT OCW &amp; GitHub; harvests 11 courses in 144.8ms.</w:t>
      </w:r>
    </w:p>
    <w:p>
      <w:pPr>
        <w:pStyle w:val="ListBullet"/>
        <w:spacing w:after="80" w:line="276" w:lineRule="auto"/>
      </w:pPr>
      <w:r>
        <w:rPr>
          <w:rFonts w:ascii="Calibri" w:hAnsi="Calibri"/>
          <w:color w:val="1F2937"/>
          <w:sz w:val="22"/>
        </w:rPr>
        <w:t>Step 15: Manager shortlists Arjun Mehta; transfer moved to 'pending_employee'.</w:t>
      </w:r>
    </w:p>
    <w:p>
      <w:pPr>
        <w:pStyle w:val="ListBullet"/>
        <w:spacing w:after="80" w:line="276" w:lineRule="auto"/>
      </w:pPr>
      <w:r>
        <w:rPr>
          <w:rFonts w:ascii="Calibri" w:hAnsi="Calibri"/>
          <w:color w:val="1F2937"/>
          <w:sz w:val="22"/>
        </w:rPr>
        <w:t>Steps 16-17: Arjun logs into Employee Portal; views matched opportunity.</w:t>
      </w:r>
    </w:p>
    <w:p>
      <w:pPr>
        <w:pStyle w:val="ListBullet"/>
        <w:spacing w:after="80" w:line="276" w:lineRule="auto"/>
      </w:pPr>
      <w:r>
        <w:rPr>
          <w:rFonts w:ascii="Calibri" w:hAnsi="Calibri"/>
          <w:color w:val="1F2937"/>
          <w:sz w:val="22"/>
        </w:rPr>
        <w:t>Step 18: Resolves multiple role preferences (1st &amp; 2nd rank recorded).</w:t>
      </w:r>
    </w:p>
    <w:p>
      <w:pPr>
        <w:pStyle w:val="ListBullet"/>
        <w:spacing w:after="80" w:line="276" w:lineRule="auto"/>
      </w:pPr>
      <w:r>
        <w:rPr>
          <w:rFonts w:ascii="Calibri" w:hAnsi="Calibri"/>
          <w:color w:val="1F2937"/>
          <w:sz w:val="22"/>
        </w:rPr>
        <w:t>Step 19: Arjun accepts opportunity; status advances to 'pending_hr'.</w:t>
      </w:r>
    </w:p>
    <w:p>
      <w:pPr>
        <w:pStyle w:val="ListBullet"/>
        <w:spacing w:after="80" w:line="276" w:lineRule="auto"/>
      </w:pPr>
      <w:r>
        <w:rPr>
          <w:rFonts w:ascii="Calibri" w:hAnsi="Calibri"/>
          <w:color w:val="1F2937"/>
          <w:sz w:val="22"/>
        </w:rPr>
        <w:t>Steps 20-21: HR Director logs in; reviews application and approves transfer.</w:t>
      </w:r>
    </w:p>
    <w:p>
      <w:pPr>
        <w:pStyle w:val="ListBullet"/>
        <w:spacing w:after="80" w:line="276" w:lineRule="auto"/>
      </w:pPr>
      <w:r>
        <w:rPr>
          <w:rFonts w:ascii="Calibri" w:hAnsi="Calibri"/>
          <w:color w:val="1F2937"/>
          <w:sz w:val="22"/>
        </w:rPr>
        <w:t>Extra Edge Case: Employee decline flow tested; role remains vacant.</w:t>
      </w:r>
    </w:p>
    <w:p>
      <w:r>
        <w:br w:type="page"/>
      </w:r>
    </w:p>
    <w:p>
      <w:pPr>
        <w:pStyle w:val="Heading1"/>
        <w:keepNext/>
        <w:spacing w:before="280" w:after="120"/>
      </w:pPr>
      <w:r>
        <w:rPr>
          <w:rFonts w:ascii="Arial" w:hAnsi="Arial"/>
          <w:b/>
          <w:color w:val="1E3A8A"/>
          <w:sz w:val="34"/>
        </w:rPr>
        <w:t>8. Production Readiness &amp; Operational Manual</w:t>
      </w:r>
    </w:p>
    <w:p>
      <w:pPr>
        <w:spacing w:after="120" w:line="276" w:lineRule="auto"/>
      </w:pPr>
      <w:r>
        <w:rPr>
          <w:rFonts w:ascii="Calibri" w:hAnsi="Calibri"/>
          <w:b/>
          <w:color w:val="1F2937"/>
          <w:sz w:val="22"/>
        </w:rPr>
        <w:t xml:space="preserve">Production Engineering: </w:t>
      </w:r>
      <w:r>
        <w:rPr>
          <w:rFonts w:ascii="Calibri" w:hAnsi="Calibri"/>
          <w:i w:val="0"/>
          <w:color w:val="1F2937"/>
          <w:sz w:val="22"/>
        </w:rPr>
        <w:t>RoleFlow is engineered for enterprise production deployments with high resilience, graceful fallbacks, and zero single-point-of-failure vulnerabilities.</w:t>
      </w:r>
    </w:p>
    <w:p>
      <w:pPr>
        <w:pStyle w:val="Heading2"/>
        <w:keepNext/>
        <w:spacing w:before="280" w:after="120"/>
      </w:pPr>
      <w:r>
        <w:rPr>
          <w:rFonts w:ascii="Arial" w:hAnsi="Arial"/>
          <w:b/>
          <w:color w:val="2563EB"/>
          <w:sz w:val="27"/>
        </w:rPr>
        <w:t>8.1 Production Resilience Matrix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120"/>
        <w:gridCol w:w="3120"/>
        <w:gridCol w:w="3120"/>
      </w:tblGrid>
      <w:tr>
        <w:tc>
          <w:tcPr>
            <w:tcW w:type="dxa" w:w="2592"/>
            <w:shd w:fill="1E3A8A"/>
            <w:tcMar>
              <w:top w:w="140" w:type="dxa"/>
              <w:bottom w:w="140" w:type="dxa"/>
              <w:left w:w="150" w:type="dxa"/>
              <w:right w:w="150" w:type="dxa"/>
            </w:tcMar>
          </w:tcPr>
          <w:p>
            <w:pPr>
              <w:jc w:val="left"/>
            </w:pPr>
            <w:r>
              <w:rPr>
                <w:rFonts w:ascii="Arial" w:hAnsi="Arial"/>
                <w:b/>
                <w:color w:val="FFFFFF"/>
                <w:sz w:val="20"/>
              </w:rPr>
              <w:t>Resilience Dimension</w:t>
            </w:r>
          </w:p>
        </w:tc>
        <w:tc>
          <w:tcPr>
            <w:tcW w:type="dxa" w:w="2592"/>
            <w:shd w:fill="1E3A8A"/>
            <w:tcMar>
              <w:top w:w="140" w:type="dxa"/>
              <w:bottom w:w="140" w:type="dxa"/>
              <w:left w:w="150" w:type="dxa"/>
              <w:right w:w="150" w:type="dxa"/>
            </w:tcMar>
          </w:tcPr>
          <w:p>
            <w:pPr>
              <w:jc w:val="left"/>
            </w:pPr>
            <w:r>
              <w:rPr>
                <w:rFonts w:ascii="Arial" w:hAnsi="Arial"/>
                <w:b/>
                <w:color w:val="FFFFFF"/>
                <w:sz w:val="20"/>
              </w:rPr>
              <w:t>Fault Condition</w:t>
            </w:r>
          </w:p>
        </w:tc>
        <w:tc>
          <w:tcPr>
            <w:tcW w:type="dxa" w:w="4176"/>
            <w:shd w:fill="1E3A8A"/>
            <w:tcMar>
              <w:top w:w="140" w:type="dxa"/>
              <w:bottom w:w="140" w:type="dxa"/>
              <w:left w:w="150" w:type="dxa"/>
              <w:right w:w="150" w:type="dxa"/>
            </w:tcMar>
          </w:tcPr>
          <w:p>
            <w:pPr>
              <w:jc w:val="left"/>
            </w:pPr>
            <w:r>
              <w:rPr>
                <w:rFonts w:ascii="Arial" w:hAnsi="Arial"/>
                <w:b/>
                <w:color w:val="FFFFFF"/>
                <w:sz w:val="20"/>
              </w:rPr>
              <w:t>Automatic Production Safeguard</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LLM Endpoint Availability</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Ollama / GPT-OSS offline or socket unreachable</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Pre-flight socket probe (0.25s timeout) triggers instant deterministic agentic fallback with zero user latency.</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Database Service Health</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PostgreSQL offline / unconfigured</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Automatic transparent fallback to local SQLite (roleflow.db) with foreign key and JSON support.</w:t>
            </w:r>
          </w:p>
        </w:tc>
      </w:tr>
      <w:tr>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Task Queue Broker</w:t>
            </w:r>
          </w:p>
        </w:tc>
        <w:tc>
          <w:tcPr>
            <w:tcW w:type="dxa" w:w="2592"/>
            <w:shd w:fill="FFFFFF"/>
            <w:tcMar>
              <w:top w:w="100" w:type="dxa"/>
              <w:bottom w:w="100" w:type="dxa"/>
              <w:left w:w="150" w:type="dxa"/>
              <w:right w:w="150" w:type="dxa"/>
            </w:tcMar>
          </w:tcPr>
          <w:p>
            <w:pPr>
              <w:spacing w:line="276" w:lineRule="auto"/>
            </w:pPr>
            <w:r>
              <w:rPr>
                <w:rFonts w:ascii="Calibri" w:hAnsi="Calibri"/>
                <w:color w:val="1F2937"/>
                <w:sz w:val="19"/>
              </w:rPr>
              <w:t>Redis server offline or network partitioned</w:t>
            </w:r>
          </w:p>
        </w:tc>
        <w:tc>
          <w:tcPr>
            <w:tcW w:type="dxa" w:w="4176"/>
            <w:shd w:fill="FFFFFF"/>
            <w:tcMar>
              <w:top w:w="100" w:type="dxa"/>
              <w:bottom w:w="100" w:type="dxa"/>
              <w:left w:w="150" w:type="dxa"/>
              <w:right w:w="150" w:type="dxa"/>
            </w:tcMar>
          </w:tcPr>
          <w:p>
            <w:pPr>
              <w:spacing w:line="276" w:lineRule="auto"/>
            </w:pPr>
            <w:r>
              <w:rPr>
                <w:rFonts w:ascii="Calibri" w:hAnsi="Calibri"/>
                <w:color w:val="1F2937"/>
                <w:sz w:val="19"/>
              </w:rPr>
              <w:t>Automatic in-process async worker thread fallback ensures discovery tasks complete reliably.</w:t>
            </w:r>
          </w:p>
        </w:tc>
      </w:tr>
      <w:tr>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Crawler Rate Limiting</w:t>
            </w:r>
          </w:p>
        </w:tc>
        <w:tc>
          <w:tcPr>
            <w:tcW w:type="dxa" w:w="2592"/>
            <w:shd w:fill="F1F5F9"/>
            <w:tcMar>
              <w:top w:w="100" w:type="dxa"/>
              <w:bottom w:w="100" w:type="dxa"/>
              <w:left w:w="150" w:type="dxa"/>
              <w:right w:w="150" w:type="dxa"/>
            </w:tcMar>
          </w:tcPr>
          <w:p>
            <w:pPr>
              <w:spacing w:line="276" w:lineRule="auto"/>
            </w:pPr>
            <w:r>
              <w:rPr>
                <w:rFonts w:ascii="Calibri" w:hAnsi="Calibri"/>
                <w:color w:val="1F2937"/>
                <w:sz w:val="19"/>
              </w:rPr>
              <w:t>External provider HTTP throttling</w:t>
            </w:r>
          </w:p>
        </w:tc>
        <w:tc>
          <w:tcPr>
            <w:tcW w:type="dxa" w:w="4176"/>
            <w:shd w:fill="F1F5F9"/>
            <w:tcMar>
              <w:top w:w="100" w:type="dxa"/>
              <w:bottom w:w="100" w:type="dxa"/>
              <w:left w:w="150" w:type="dxa"/>
              <w:right w:w="150" w:type="dxa"/>
            </w:tcMar>
          </w:tcPr>
          <w:p>
            <w:pPr>
              <w:spacing w:line="276" w:lineRule="auto"/>
            </w:pPr>
            <w:r>
              <w:rPr>
                <w:rFonts w:ascii="Calibri" w:hAnsi="Calibri"/>
                <w:color w:val="1F2937"/>
                <w:sz w:val="19"/>
              </w:rPr>
              <w:t>Worker thread isolation with timeout boundaries and cached educational knowledge bases.</w:t>
            </w:r>
          </w:p>
        </w:tc>
      </w:tr>
    </w:tbl>
    <w:p>
      <w:pPr>
        <w:pStyle w:val="Heading2"/>
        <w:keepNext/>
        <w:spacing w:before="280" w:after="120"/>
      </w:pPr>
      <w:r>
        <w:rPr>
          <w:rFonts w:ascii="Arial" w:hAnsi="Arial"/>
          <w:b/>
          <w:color w:val="2563EB"/>
          <w:sz w:val="27"/>
        </w:rPr>
        <w:t>8.2 Quick Start Commands</w:t>
      </w:r>
    </w:p>
    <w:p>
      <w:pPr>
        <w:spacing w:after="120" w:line="276" w:lineRule="auto"/>
      </w:pPr>
      <w:r>
        <w:rPr>
          <w:rFonts w:ascii="Calibri" w:hAnsi="Calibri"/>
          <w:i w:val="0"/>
          <w:color w:val="1F2937"/>
          <w:sz w:val="22"/>
        </w:rPr>
        <w:t>1. Install backend dependencies (from either root or backend/):</w:t>
      </w:r>
    </w:p>
    <w:p>
      <w:pPr>
        <w:spacing w:after="120" w:line="276" w:lineRule="auto"/>
      </w:pPr>
      <w:r>
        <w:rPr>
          <w:rFonts w:ascii="Calibri" w:hAnsi="Calibri"/>
          <w:i/>
          <w:color w:val="1F2937"/>
          <w:sz w:val="22"/>
        </w:rPr>
        <w:t>pip install -r requirements.txt</w:t>
      </w:r>
    </w:p>
    <w:p>
      <w:pPr>
        <w:spacing w:after="120" w:line="276" w:lineRule="auto"/>
      </w:pPr>
      <w:r>
        <w:rPr>
          <w:rFonts w:ascii="Calibri" w:hAnsi="Calibri"/>
          <w:i w:val="0"/>
          <w:color w:val="1F2937"/>
          <w:sz w:val="22"/>
        </w:rPr>
        <w:t>2. Reset and seed the 10,000-employee workforce database:</w:t>
      </w:r>
    </w:p>
    <w:p>
      <w:pPr>
        <w:spacing w:after="120" w:line="276" w:lineRule="auto"/>
      </w:pPr>
      <w:r>
        <w:rPr>
          <w:rFonts w:ascii="Calibri" w:hAnsi="Calibri"/>
          <w:i/>
          <w:color w:val="1F2937"/>
          <w:sz w:val="22"/>
        </w:rPr>
        <w:t>python backend/seed.py --reset</w:t>
      </w:r>
    </w:p>
    <w:p>
      <w:pPr>
        <w:spacing w:after="120" w:line="276" w:lineRule="auto"/>
      </w:pPr>
      <w:r>
        <w:rPr>
          <w:rFonts w:ascii="Calibri" w:hAnsi="Calibri"/>
          <w:i w:val="0"/>
          <w:color w:val="1F2937"/>
          <w:sz w:val="22"/>
        </w:rPr>
        <w:t>3. Launch the single entry point API server:</w:t>
      </w:r>
    </w:p>
    <w:p>
      <w:pPr>
        <w:spacing w:after="120" w:line="276" w:lineRule="auto"/>
      </w:pPr>
      <w:r>
        <w:rPr>
          <w:rFonts w:ascii="Calibri" w:hAnsi="Calibri"/>
          <w:i/>
          <w:color w:val="1F2937"/>
          <w:sz w:val="22"/>
        </w:rPr>
        <w:t>python backend/app.py</w:t>
      </w:r>
    </w:p>
    <w:p>
      <w:pPr>
        <w:spacing w:after="120" w:line="276" w:lineRule="auto"/>
      </w:pPr>
      <w:r>
        <w:rPr>
          <w:rFonts w:ascii="Calibri" w:hAnsi="Calibri"/>
          <w:i w:val="0"/>
          <w:color w:val="1F2937"/>
          <w:sz w:val="22"/>
        </w:rPr>
        <w:t>4. Launch the frontend development server:</w:t>
      </w:r>
    </w:p>
    <w:p>
      <w:pPr>
        <w:spacing w:after="120" w:line="276" w:lineRule="auto"/>
      </w:pPr>
      <w:r>
        <w:rPr>
          <w:rFonts w:ascii="Calibri" w:hAnsi="Calibri"/>
          <w:i/>
          <w:color w:val="1F2937"/>
          <w:sz w:val="22"/>
        </w:rPr>
        <w:t>cd frontend</w:t>
        <w:br/>
        <w:t>npm run dev</w:t>
      </w:r>
    </w:p>
    <w:p>
      <w:pPr>
        <w:pStyle w:val="Heading2"/>
        <w:keepNext/>
        <w:spacing w:before="280" w:after="120"/>
      </w:pPr>
      <w:r>
        <w:rPr>
          <w:rFonts w:ascii="Arial" w:hAnsi="Arial"/>
          <w:b/>
          <w:color w:val="2563EB"/>
          <w:sz w:val="27"/>
        </w:rPr>
        <w:t>8.3 Demo Persona Accounts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c>
          <w:tcPr>
            <w:tcW w:type="dxa" w:w="1872"/>
            <w:shd w:fill="1E3A8A"/>
            <w:tcMar>
              <w:top w:w="140" w:type="dxa"/>
              <w:bottom w:w="140" w:type="dxa"/>
              <w:left w:w="150" w:type="dxa"/>
              <w:right w:w="150" w:type="dxa"/>
            </w:tcMar>
          </w:tcPr>
          <w:p>
            <w:pPr>
              <w:jc w:val="left"/>
            </w:pPr>
            <w:r>
              <w:rPr>
                <w:rFonts w:ascii="Arial" w:hAnsi="Arial"/>
                <w:b/>
                <w:color w:val="FFFFFF"/>
                <w:sz w:val="20"/>
              </w:rPr>
              <w:t>Persona</w:t>
            </w:r>
          </w:p>
        </w:tc>
        <w:tc>
          <w:tcPr>
            <w:tcW w:type="dxa" w:w="2736"/>
            <w:shd w:fill="1E3A8A"/>
            <w:tcMar>
              <w:top w:w="140" w:type="dxa"/>
              <w:bottom w:w="140" w:type="dxa"/>
              <w:left w:w="150" w:type="dxa"/>
              <w:right w:w="150" w:type="dxa"/>
            </w:tcMar>
          </w:tcPr>
          <w:p>
            <w:pPr>
              <w:jc w:val="left"/>
            </w:pPr>
            <w:r>
              <w:rPr>
                <w:rFonts w:ascii="Arial" w:hAnsi="Arial"/>
                <w:b/>
                <w:color w:val="FFFFFF"/>
                <w:sz w:val="20"/>
              </w:rPr>
              <w:t>Email Address</w:t>
            </w:r>
          </w:p>
        </w:tc>
        <w:tc>
          <w:tcPr>
            <w:tcW w:type="dxa" w:w="1584"/>
            <w:shd w:fill="1E3A8A"/>
            <w:tcMar>
              <w:top w:w="140" w:type="dxa"/>
              <w:bottom w:w="140" w:type="dxa"/>
              <w:left w:w="150" w:type="dxa"/>
              <w:right w:w="150" w:type="dxa"/>
            </w:tcMar>
          </w:tcPr>
          <w:p>
            <w:pPr>
              <w:jc w:val="left"/>
            </w:pPr>
            <w:r>
              <w:rPr>
                <w:rFonts w:ascii="Arial" w:hAnsi="Arial"/>
                <w:b/>
                <w:color w:val="FFFFFF"/>
                <w:sz w:val="20"/>
              </w:rPr>
              <w:t>Password</w:t>
            </w:r>
          </w:p>
        </w:tc>
        <w:tc>
          <w:tcPr>
            <w:tcW w:type="dxa" w:w="3168"/>
            <w:shd w:fill="1E3A8A"/>
            <w:tcMar>
              <w:top w:w="140" w:type="dxa"/>
              <w:bottom w:w="140" w:type="dxa"/>
              <w:left w:w="150" w:type="dxa"/>
              <w:right w:w="150" w:type="dxa"/>
            </w:tcMar>
          </w:tcPr>
          <w:p>
            <w:pPr>
              <w:jc w:val="left"/>
            </w:pPr>
            <w:r>
              <w:rPr>
                <w:rFonts w:ascii="Arial" w:hAnsi="Arial"/>
                <w:b/>
                <w:color w:val="FFFFFF"/>
                <w:sz w:val="20"/>
              </w:rPr>
              <w:t>Primary Responsibilities</w:t>
            </w:r>
          </w:p>
        </w:tc>
      </w:tr>
      <w:tr>
        <w:tc>
          <w:tcPr>
            <w:tcW w:type="dxa" w:w="1872"/>
            <w:shd w:fill="FFFFFF"/>
            <w:tcMar>
              <w:top w:w="100" w:type="dxa"/>
              <w:bottom w:w="100" w:type="dxa"/>
              <w:left w:w="150" w:type="dxa"/>
              <w:right w:w="150" w:type="dxa"/>
            </w:tcMar>
          </w:tcPr>
          <w:p>
            <w:pPr>
              <w:spacing w:line="276" w:lineRule="auto"/>
            </w:pPr>
            <w:r>
              <w:rPr>
                <w:rFonts w:ascii="Calibri" w:hAnsi="Calibri"/>
                <w:color w:val="1F2937"/>
                <w:sz w:val="19"/>
              </w:rPr>
              <w:t>Manager</w:t>
            </w:r>
          </w:p>
        </w:tc>
        <w:tc>
          <w:tcPr>
            <w:tcW w:type="dxa" w:w="2736"/>
            <w:shd w:fill="FFFFFF"/>
            <w:tcMar>
              <w:top w:w="100" w:type="dxa"/>
              <w:bottom w:w="100" w:type="dxa"/>
              <w:left w:w="150" w:type="dxa"/>
              <w:right w:w="150" w:type="dxa"/>
            </w:tcMar>
          </w:tcPr>
          <w:p>
            <w:pPr>
              <w:spacing w:line="276" w:lineRule="auto"/>
            </w:pPr>
            <w:r>
              <w:rPr>
                <w:rFonts w:ascii="Calibri" w:hAnsi="Calibri"/>
                <w:color w:val="1F2937"/>
                <w:sz w:val="19"/>
              </w:rPr>
              <w:t>manager@roleflow.io</w:t>
            </w:r>
          </w:p>
        </w:tc>
        <w:tc>
          <w:tcPr>
            <w:tcW w:type="dxa" w:w="1584"/>
            <w:shd w:fill="FFFFFF"/>
            <w:tcMar>
              <w:top w:w="100" w:type="dxa"/>
              <w:bottom w:w="100" w:type="dxa"/>
              <w:left w:w="150" w:type="dxa"/>
              <w:right w:w="150" w:type="dxa"/>
            </w:tcMar>
          </w:tcPr>
          <w:p>
            <w:pPr>
              <w:spacing w:line="276" w:lineRule="auto"/>
            </w:pPr>
            <w:r>
              <w:rPr>
                <w:rFonts w:ascii="Calibri" w:hAnsi="Calibri"/>
                <w:color w:val="1F2937"/>
                <w:sz w:val="19"/>
              </w:rPr>
              <w:t>demo1234</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Role creation, JD parsing, candidate discovery, candidate shortlisting.</w:t>
            </w:r>
          </w:p>
        </w:tc>
      </w:tr>
      <w:tr>
        <w:tc>
          <w:tcPr>
            <w:tcW w:type="dxa" w:w="1872"/>
            <w:shd w:fill="F1F5F9"/>
            <w:tcMar>
              <w:top w:w="100" w:type="dxa"/>
              <w:bottom w:w="100" w:type="dxa"/>
              <w:left w:w="150" w:type="dxa"/>
              <w:right w:w="150" w:type="dxa"/>
            </w:tcMar>
          </w:tcPr>
          <w:p>
            <w:pPr>
              <w:spacing w:line="276" w:lineRule="auto"/>
            </w:pPr>
            <w:r>
              <w:rPr>
                <w:rFonts w:ascii="Calibri" w:hAnsi="Calibri"/>
                <w:color w:val="1F2937"/>
                <w:sz w:val="19"/>
              </w:rPr>
              <w:t>Employee</w:t>
            </w:r>
          </w:p>
        </w:tc>
        <w:tc>
          <w:tcPr>
            <w:tcW w:type="dxa" w:w="2736"/>
            <w:shd w:fill="F1F5F9"/>
            <w:tcMar>
              <w:top w:w="100" w:type="dxa"/>
              <w:bottom w:w="100" w:type="dxa"/>
              <w:left w:w="150" w:type="dxa"/>
              <w:right w:w="150" w:type="dxa"/>
            </w:tcMar>
          </w:tcPr>
          <w:p>
            <w:pPr>
              <w:spacing w:line="276" w:lineRule="auto"/>
            </w:pPr>
            <w:r>
              <w:rPr>
                <w:rFonts w:ascii="Calibri" w:hAnsi="Calibri"/>
                <w:color w:val="1F2937"/>
                <w:sz w:val="19"/>
              </w:rPr>
              <w:t>employee@roleflow.io</w:t>
            </w:r>
          </w:p>
        </w:tc>
        <w:tc>
          <w:tcPr>
            <w:tcW w:type="dxa" w:w="1584"/>
            <w:shd w:fill="F1F5F9"/>
            <w:tcMar>
              <w:top w:w="100" w:type="dxa"/>
              <w:bottom w:w="100" w:type="dxa"/>
              <w:left w:w="150" w:type="dxa"/>
              <w:right w:w="150" w:type="dxa"/>
            </w:tcMar>
          </w:tcPr>
          <w:p>
            <w:pPr>
              <w:spacing w:line="276" w:lineRule="auto"/>
            </w:pPr>
            <w:r>
              <w:rPr>
                <w:rFonts w:ascii="Calibri" w:hAnsi="Calibri"/>
                <w:color w:val="1F2937"/>
                <w:sz w:val="19"/>
              </w:rPr>
              <w:t>demo1234</w:t>
            </w:r>
          </w:p>
        </w:tc>
        <w:tc>
          <w:tcPr>
            <w:tcW w:type="dxa" w:w="3168"/>
            <w:shd w:fill="F1F5F9"/>
            <w:tcMar>
              <w:top w:w="100" w:type="dxa"/>
              <w:bottom w:w="100" w:type="dxa"/>
              <w:left w:w="150" w:type="dxa"/>
              <w:right w:w="150" w:type="dxa"/>
            </w:tcMar>
          </w:tcPr>
          <w:p>
            <w:pPr>
              <w:spacing w:line="276" w:lineRule="auto"/>
            </w:pPr>
            <w:r>
              <w:rPr>
                <w:rFonts w:ascii="Calibri" w:hAnsi="Calibri"/>
                <w:color w:val="1F2937"/>
                <w:sz w:val="19"/>
              </w:rPr>
              <w:t>Opportunity feed, preference ranking, accept/decline, course completion.</w:t>
            </w:r>
          </w:p>
        </w:tc>
      </w:tr>
      <w:tr>
        <w:tc>
          <w:tcPr>
            <w:tcW w:type="dxa" w:w="1872"/>
            <w:shd w:fill="FFFFFF"/>
            <w:tcMar>
              <w:top w:w="100" w:type="dxa"/>
              <w:bottom w:w="100" w:type="dxa"/>
              <w:left w:w="150" w:type="dxa"/>
              <w:right w:w="150" w:type="dxa"/>
            </w:tcMar>
          </w:tcPr>
          <w:p>
            <w:pPr>
              <w:spacing w:line="276" w:lineRule="auto"/>
            </w:pPr>
            <w:r>
              <w:rPr>
                <w:rFonts w:ascii="Calibri" w:hAnsi="Calibri"/>
                <w:color w:val="1F2937"/>
                <w:sz w:val="19"/>
              </w:rPr>
              <w:t>HR Admin</w:t>
            </w:r>
          </w:p>
        </w:tc>
        <w:tc>
          <w:tcPr>
            <w:tcW w:type="dxa" w:w="2736"/>
            <w:shd w:fill="FFFFFF"/>
            <w:tcMar>
              <w:top w:w="100" w:type="dxa"/>
              <w:bottom w:w="100" w:type="dxa"/>
              <w:left w:w="150" w:type="dxa"/>
              <w:right w:w="150" w:type="dxa"/>
            </w:tcMar>
          </w:tcPr>
          <w:p>
            <w:pPr>
              <w:spacing w:line="276" w:lineRule="auto"/>
            </w:pPr>
            <w:r>
              <w:rPr>
                <w:rFonts w:ascii="Calibri" w:hAnsi="Calibri"/>
                <w:color w:val="1F2937"/>
                <w:sz w:val="19"/>
              </w:rPr>
              <w:t>hr@roleflow.io</w:t>
            </w:r>
          </w:p>
        </w:tc>
        <w:tc>
          <w:tcPr>
            <w:tcW w:type="dxa" w:w="1584"/>
            <w:shd w:fill="FFFFFF"/>
            <w:tcMar>
              <w:top w:w="100" w:type="dxa"/>
              <w:bottom w:w="100" w:type="dxa"/>
              <w:left w:w="150" w:type="dxa"/>
              <w:right w:w="150" w:type="dxa"/>
            </w:tcMar>
          </w:tcPr>
          <w:p>
            <w:pPr>
              <w:spacing w:line="276" w:lineRule="auto"/>
            </w:pPr>
            <w:r>
              <w:rPr>
                <w:rFonts w:ascii="Calibri" w:hAnsi="Calibri"/>
                <w:color w:val="1F2937"/>
                <w:sz w:val="19"/>
              </w:rPr>
              <w:t>demo1234</w:t>
            </w:r>
          </w:p>
        </w:tc>
        <w:tc>
          <w:tcPr>
            <w:tcW w:type="dxa" w:w="3168"/>
            <w:shd w:fill="FFFFFF"/>
            <w:tcMar>
              <w:top w:w="100" w:type="dxa"/>
              <w:bottom w:w="100" w:type="dxa"/>
              <w:left w:w="150" w:type="dxa"/>
              <w:right w:w="150" w:type="dxa"/>
            </w:tcMar>
          </w:tcPr>
          <w:p>
            <w:pPr>
              <w:spacing w:line="276" w:lineRule="auto"/>
            </w:pPr>
            <w:r>
              <w:rPr>
                <w:rFonts w:ascii="Calibri" w:hAnsi="Calibri"/>
                <w:color w:val="1F2937"/>
                <w:sz w:val="19"/>
              </w:rPr>
              <w:t>Transfer governance, mobility metrics audit, 1-click transfer approvals.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8"/>
      </w:rPr>
      <w:t>RoleFlow — Multi-Threaded Agentic Internal Talent Mobility Platform | Technical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