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Business Insights &amp; Recommendations Report</w:t>
      </w:r>
    </w:p>
    <w:p>
      <w:pPr>
        <w:pStyle w:val="Heading1"/>
      </w:pPr>
      <w:r>
        <w:t>1. Sales Performance Insights</w:t>
      </w:r>
    </w:p>
    <w:p>
      <w:pPr>
        <w:pStyle w:val="Heading2"/>
      </w:pPr>
      <w:r>
        <w:t>Top-Performing Product Categories</w:t>
      </w:r>
    </w:p>
    <w:p>
      <w:r>
        <w:br/>
        <w:t>Insight:</w:t>
        <w:br/>
        <w:t>- The category contributing the highest revenue is "Accessories".</w:t>
        <w:br/>
        <w:t>- The top 10 SKUs alone account for a significant share of overall sales.</w:t>
        <w:br/>
        <w:br/>
        <w:t>Action:</w:t>
        <w:br/>
        <w:t>- Prioritize inventory and promotions for high-performing products in the Accessories category.</w:t>
        <w:br/>
        <w:t>- Focus marketing efforts on these high-margin, high-conversion SKUs.</w:t>
        <w:br/>
      </w:r>
    </w:p>
    <w:p>
      <w:pPr>
        <w:pStyle w:val="Heading2"/>
      </w:pPr>
      <w:r>
        <w:t>Underperforming Products</w:t>
      </w:r>
    </w:p>
    <w:p>
      <w:r>
        <w:br/>
        <w:t>Insight:</w:t>
        <w:br/>
        <w:t>- More than 20 products contribute less than 5% of total revenue.</w:t>
        <w:br/>
        <w:br/>
        <w:t>Action:</w:t>
        <w:br/>
        <w:t>- Review and potentially discontinue underperforming SKUs.</w:t>
        <w:br/>
        <w:t>- Consider bundling them with high-performing products to increase visibility.</w:t>
        <w:br/>
      </w:r>
    </w:p>
    <w:p>
      <w:pPr>
        <w:pStyle w:val="Heading2"/>
      </w:pPr>
      <w:r>
        <w:t>Store-Level Sales Variance</w:t>
      </w:r>
    </w:p>
    <w:p>
      <w:r>
        <w:br/>
        <w:t>Insight:</w:t>
        <w:br/>
        <w:t>- Store S003 had the lowest conversion rate (revenue per footfall).</w:t>
        <w:br/>
        <w:br/>
        <w:t>Action:</w:t>
        <w:br/>
        <w:t>- Investigate store performance issues such as staff training or inventory mismatch.</w:t>
        <w:br/>
        <w:t>- Consider optimizing the product mix at this location.</w:t>
        <w:br/>
      </w:r>
    </w:p>
    <w:p>
      <w:pPr>
        <w:pStyle w:val="Heading1"/>
      </w:pPr>
      <w:r>
        <w:t>2. Marketing ROI Insights</w:t>
      </w:r>
    </w:p>
    <w:p>
      <w:pPr>
        <w:pStyle w:val="Heading2"/>
      </w:pPr>
      <w:r>
        <w:t>Channel Effectiveness</w:t>
      </w:r>
    </w:p>
    <w:p>
      <w:r>
        <w:br/>
        <w:t>Insight:</w:t>
        <w:br/>
        <w:t>- Online campaigns showed the highest marketing ROI.</w:t>
        <w:br/>
        <w:t>- TV spend had the weakest correlation with actual revenue generation.</w:t>
        <w:br/>
        <w:br/>
        <w:t>Action:</w:t>
        <w:br/>
        <w:t>- Reduce TV spend in regions with low ROI and increase Online advertising, especially in high-performing regions.</w:t>
        <w:br/>
      </w:r>
    </w:p>
    <w:p>
      <w:pPr>
        <w:pStyle w:val="Heading2"/>
      </w:pPr>
      <w:r>
        <w:t>Regional Spend Efficiency</w:t>
      </w:r>
    </w:p>
    <w:p>
      <w:r>
        <w:br/>
        <w:t>Insight:</w:t>
        <w:br/>
        <w:t>- The South region delivered the highest marketing efficiency.</w:t>
        <w:br/>
        <w:t>- The West region had the lowest return on marketing investment.</w:t>
        <w:br/>
        <w:br/>
        <w:t>Action:</w:t>
        <w:br/>
        <w:t>- Reallocate marketing budget from West to South and East regions.</w:t>
        <w:br/>
      </w:r>
    </w:p>
    <w:p>
      <w:pPr>
        <w:pStyle w:val="Heading1"/>
      </w:pPr>
      <w:r>
        <w:t>3. Seasonal Trends &amp; Campaign Performance</w:t>
      </w:r>
    </w:p>
    <w:p>
      <w:pPr>
        <w:pStyle w:val="Heading2"/>
      </w:pPr>
      <w:r>
        <w:t>Monthly Trends</w:t>
      </w:r>
    </w:p>
    <w:p>
      <w:r>
        <w:br/>
        <w:t>Insight:</w:t>
        <w:br/>
        <w:t>- Revenue spikes significantly in November–December due to festive season.</w:t>
        <w:br/>
        <w:br/>
        <w:t>Action:</w:t>
        <w:br/>
        <w:t>- Scale up stock and staff by 30% during Q4 to capitalize on peak demand.</w:t>
        <w:br/>
      </w:r>
    </w:p>
    <w:p>
      <w:pPr>
        <w:pStyle w:val="Heading2"/>
      </w:pPr>
      <w:r>
        <w:t>Weekly Marketing Patterns</w:t>
      </w:r>
    </w:p>
    <w:p>
      <w:r>
        <w:br/>
        <w:t>Insight:</w:t>
        <w:br/>
        <w:t>- Weeks 22–25 showed high marketing spend without a corresponding revenue spike.</w:t>
        <w:br/>
        <w:br/>
        <w:t>Action:</w:t>
        <w:br/>
        <w:t>- Evaluate the effectiveness of marketing campaigns during these weeks.</w:t>
        <w:br/>
        <w:t>- Conduct A/B testing before scaling future campaigns.</w:t>
        <w:br/>
      </w:r>
    </w:p>
    <w:p>
      <w:pPr>
        <w:pStyle w:val="Heading1"/>
      </w:pPr>
      <w:r>
        <w:t>Summary of Key Insights and Actions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Insight</w:t>
            </w:r>
          </w:p>
        </w:tc>
        <w:tc>
          <w:tcPr>
            <w:tcW w:type="dxa" w:w="4320"/>
          </w:tcPr>
          <w:p>
            <w:r>
              <w:t>Recommended Action</w:t>
            </w:r>
          </w:p>
        </w:tc>
      </w:tr>
      <w:tr>
        <w:tc>
          <w:tcPr>
            <w:tcW w:type="dxa" w:w="4320"/>
          </w:tcPr>
          <w:p>
            <w:r>
              <w:t>Top-performing category is Accessories</w:t>
            </w:r>
          </w:p>
        </w:tc>
        <w:tc>
          <w:tcPr>
            <w:tcW w:type="dxa" w:w="4320"/>
          </w:tcPr>
          <w:p>
            <w:r>
              <w:t>Promote and prioritize inventory of high-revenue SKUs</w:t>
            </w:r>
          </w:p>
        </w:tc>
      </w:tr>
      <w:tr>
        <w:tc>
          <w:tcPr>
            <w:tcW w:type="dxa" w:w="4320"/>
          </w:tcPr>
          <w:p>
            <w:r>
              <w:t>20+ SKUs underperform (&lt;5% revenue)</w:t>
            </w:r>
          </w:p>
        </w:tc>
        <w:tc>
          <w:tcPr>
            <w:tcW w:type="dxa" w:w="4320"/>
          </w:tcPr>
          <w:p>
            <w:r>
              <w:t>Discontinue or bundle slow-moving products</w:t>
            </w:r>
          </w:p>
        </w:tc>
      </w:tr>
      <w:tr>
        <w:tc>
          <w:tcPr>
            <w:tcW w:type="dxa" w:w="4320"/>
          </w:tcPr>
          <w:p>
            <w:r>
              <w:t>Store S003 has lowest conversion</w:t>
            </w:r>
          </w:p>
        </w:tc>
        <w:tc>
          <w:tcPr>
            <w:tcW w:type="dxa" w:w="4320"/>
          </w:tcPr>
          <w:p>
            <w:r>
              <w:t>Investigate staffing or product relevance issues</w:t>
            </w:r>
          </w:p>
        </w:tc>
      </w:tr>
      <w:tr>
        <w:tc>
          <w:tcPr>
            <w:tcW w:type="dxa" w:w="4320"/>
          </w:tcPr>
          <w:p>
            <w:r>
              <w:t>TV marketing has poor ROI</w:t>
            </w:r>
          </w:p>
        </w:tc>
        <w:tc>
          <w:tcPr>
            <w:tcW w:type="dxa" w:w="4320"/>
          </w:tcPr>
          <w:p>
            <w:r>
              <w:t>Reduce TV budget and invest more in Online channels</w:t>
            </w:r>
          </w:p>
        </w:tc>
      </w:tr>
      <w:tr>
        <w:tc>
          <w:tcPr>
            <w:tcW w:type="dxa" w:w="4320"/>
          </w:tcPr>
          <w:p>
            <w:r>
              <w:t>South region is most efficient</w:t>
            </w:r>
          </w:p>
        </w:tc>
        <w:tc>
          <w:tcPr>
            <w:tcW w:type="dxa" w:w="4320"/>
          </w:tcPr>
          <w:p>
            <w:r>
              <w:t>Shift marketing spend from West to South</w:t>
            </w:r>
          </w:p>
        </w:tc>
      </w:tr>
      <w:tr>
        <w:tc>
          <w:tcPr>
            <w:tcW w:type="dxa" w:w="4320"/>
          </w:tcPr>
          <w:p>
            <w:r>
              <w:t>Q4 is peak sales season</w:t>
            </w:r>
          </w:p>
        </w:tc>
        <w:tc>
          <w:tcPr>
            <w:tcW w:type="dxa" w:w="4320"/>
          </w:tcPr>
          <w:p>
            <w:r>
              <w:t>Prepare with inventory and staffing scale-up</w:t>
            </w:r>
          </w:p>
        </w:tc>
      </w:tr>
      <w:tr>
        <w:tc>
          <w:tcPr>
            <w:tcW w:type="dxa" w:w="4320"/>
          </w:tcPr>
          <w:p>
            <w:r>
              <w:t>Weeks 22–25 spent poorly</w:t>
            </w:r>
          </w:p>
        </w:tc>
        <w:tc>
          <w:tcPr>
            <w:tcW w:type="dxa" w:w="4320"/>
          </w:tcPr>
          <w:p>
            <w:r>
              <w:t>Audit campaigns and avoid repeating failed strategies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