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4B93" w14:textId="6374FE21" w:rsidR="00B868C3" w:rsidRDefault="00B868C3" w:rsidP="00E80254">
      <w:pPr>
        <w:jc w:val="center"/>
        <w:rPr>
          <w:b/>
          <w:bCs/>
          <w:sz w:val="28"/>
          <w:szCs w:val="28"/>
        </w:rPr>
      </w:pPr>
      <w:r>
        <w:rPr>
          <w:b/>
          <w:bCs/>
          <w:sz w:val="28"/>
          <w:szCs w:val="28"/>
        </w:rPr>
        <w:t>Report 2</w:t>
      </w:r>
    </w:p>
    <w:p w14:paraId="050879D5" w14:textId="64DA3A18" w:rsidR="00CD401C" w:rsidRPr="002964FD" w:rsidRDefault="002964FD" w:rsidP="002964FD">
      <w:pPr>
        <w:rPr>
          <w:b/>
          <w:bCs/>
        </w:rPr>
      </w:pPr>
      <w:r w:rsidRPr="002964FD">
        <w:rPr>
          <w:b/>
          <w:bCs/>
        </w:rPr>
        <w:t>Architecture Diagram:</w:t>
      </w:r>
    </w:p>
    <w:p w14:paraId="00AFFBB7" w14:textId="3E5C1BA4" w:rsidR="00E80254" w:rsidRPr="00556749" w:rsidRDefault="002964FD" w:rsidP="00E80254">
      <w:pPr>
        <w:jc w:val="center"/>
        <w:rPr>
          <w:b/>
          <w:bCs/>
          <w:sz w:val="28"/>
          <w:szCs w:val="28"/>
        </w:rPr>
      </w:pPr>
      <w:r w:rsidRPr="002964FD">
        <w:rPr>
          <w:b/>
          <w:bCs/>
          <w:sz w:val="28"/>
          <w:szCs w:val="28"/>
        </w:rPr>
        <w:drawing>
          <wp:inline distT="0" distB="0" distL="0" distR="0" wp14:anchorId="6E9D446F" wp14:editId="7A22CEB8">
            <wp:extent cx="3558363" cy="5130313"/>
            <wp:effectExtent l="0" t="0" r="0" b="635"/>
            <wp:docPr id="213944952" name="Picture 1"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4952" name="Picture 1" descr="A diagram of a process flow&#10;&#10;AI-generated content may be incorrect."/>
                    <pic:cNvPicPr/>
                  </pic:nvPicPr>
                  <pic:blipFill>
                    <a:blip r:embed="rId5"/>
                    <a:stretch>
                      <a:fillRect/>
                    </a:stretch>
                  </pic:blipFill>
                  <pic:spPr>
                    <a:xfrm>
                      <a:off x="0" y="0"/>
                      <a:ext cx="3599834" cy="5190105"/>
                    </a:xfrm>
                    <a:prstGeom prst="rect">
                      <a:avLst/>
                    </a:prstGeom>
                  </pic:spPr>
                </pic:pic>
              </a:graphicData>
            </a:graphic>
          </wp:inline>
        </w:drawing>
      </w:r>
    </w:p>
    <w:p w14:paraId="186C8F19" w14:textId="79B3FF98" w:rsidR="000B023E" w:rsidRDefault="000B023E" w:rsidP="00CD401C">
      <w:pPr>
        <w:jc w:val="center"/>
      </w:pPr>
    </w:p>
    <w:p w14:paraId="651EE151" w14:textId="77777777" w:rsidR="00CD401C" w:rsidRDefault="00CD401C"/>
    <w:p w14:paraId="3C1F9154" w14:textId="38D6F20C" w:rsidR="00CD401C" w:rsidRPr="0084672C" w:rsidRDefault="00CD401C">
      <w:pPr>
        <w:rPr>
          <w:b/>
          <w:bCs/>
          <w:sz w:val="28"/>
          <w:szCs w:val="28"/>
        </w:rPr>
      </w:pPr>
      <w:r w:rsidRPr="0084672C">
        <w:rPr>
          <w:b/>
          <w:bCs/>
          <w:sz w:val="28"/>
          <w:szCs w:val="28"/>
        </w:rPr>
        <w:t xml:space="preserve">Data </w:t>
      </w:r>
      <w:r w:rsidR="0084672C" w:rsidRPr="0084672C">
        <w:rPr>
          <w:b/>
          <w:bCs/>
          <w:sz w:val="28"/>
          <w:szCs w:val="28"/>
        </w:rPr>
        <w:t>Acquisition</w:t>
      </w:r>
      <w:r w:rsidRPr="0084672C">
        <w:rPr>
          <w:b/>
          <w:bCs/>
          <w:sz w:val="28"/>
          <w:szCs w:val="28"/>
        </w:rPr>
        <w:t xml:space="preserve"> : </w:t>
      </w:r>
    </w:p>
    <w:p w14:paraId="2E2EB724" w14:textId="4C69D7CB" w:rsidR="0084672C" w:rsidRDefault="0084672C">
      <w:pPr>
        <w:rPr>
          <w:b/>
          <w:bCs/>
        </w:rPr>
      </w:pPr>
      <w:r>
        <w:t>Public data sources are used to capture energy market behavior, policy and economic news, and broader macroeconomic trends. Each data source is collected independently to allow flexible integration in the modeling pipeline.</w:t>
      </w:r>
    </w:p>
    <w:p w14:paraId="403994DD" w14:textId="77777777" w:rsidR="0084672C" w:rsidRPr="0084672C" w:rsidRDefault="0084672C" w:rsidP="0084672C">
      <w:pPr>
        <w:rPr>
          <w:b/>
          <w:bCs/>
        </w:rPr>
      </w:pPr>
      <w:r w:rsidRPr="0084672C">
        <w:rPr>
          <w:b/>
          <w:bCs/>
        </w:rPr>
        <w:t>Energy Price Data (EIA)</w:t>
      </w:r>
    </w:p>
    <w:p w14:paraId="7C10C171" w14:textId="77777777" w:rsidR="0084672C" w:rsidRPr="0084672C" w:rsidRDefault="0084672C" w:rsidP="0084672C">
      <w:pPr>
        <w:numPr>
          <w:ilvl w:val="0"/>
          <w:numId w:val="1"/>
        </w:numPr>
      </w:pPr>
      <w:r w:rsidRPr="0084672C">
        <w:t>Crude oil (WTI) and natural gas (Henry Hub) prices</w:t>
      </w:r>
    </w:p>
    <w:p w14:paraId="29DA001E" w14:textId="77777777" w:rsidR="0084672C" w:rsidRPr="0084672C" w:rsidRDefault="0084672C" w:rsidP="0084672C">
      <w:pPr>
        <w:numPr>
          <w:ilvl w:val="0"/>
          <w:numId w:val="1"/>
        </w:numPr>
      </w:pPr>
      <w:r w:rsidRPr="0084672C">
        <w:lastRenderedPageBreak/>
        <w:t>Publicly available and directly downloadable from the U.S. Energy Information Administration</w:t>
      </w:r>
    </w:p>
    <w:p w14:paraId="208B0235" w14:textId="0ED36740" w:rsidR="0084672C" w:rsidRPr="0084672C" w:rsidRDefault="0084672C" w:rsidP="0084672C">
      <w:pPr>
        <w:rPr>
          <w:b/>
          <w:bCs/>
        </w:rPr>
      </w:pPr>
      <w:r w:rsidRPr="0084672C">
        <w:rPr>
          <w:b/>
          <w:bCs/>
        </w:rPr>
        <w:t>News Articles Data</w:t>
      </w:r>
    </w:p>
    <w:p w14:paraId="4E07067E" w14:textId="77777777" w:rsidR="0084672C" w:rsidRPr="0084672C" w:rsidRDefault="0084672C" w:rsidP="0084672C">
      <w:pPr>
        <w:numPr>
          <w:ilvl w:val="0"/>
          <w:numId w:val="2"/>
        </w:numPr>
      </w:pPr>
      <w:r w:rsidRPr="0084672C">
        <w:t>Policy and economic news related to energy and macroeconomics</w:t>
      </w:r>
    </w:p>
    <w:p w14:paraId="7E90E9E9" w14:textId="77777777" w:rsidR="0084672C" w:rsidRPr="0084672C" w:rsidRDefault="0084672C" w:rsidP="0084672C">
      <w:pPr>
        <w:numPr>
          <w:ilvl w:val="0"/>
          <w:numId w:val="2"/>
        </w:numPr>
      </w:pPr>
      <w:r w:rsidRPr="0084672C">
        <w:t>Collected from GDELT and official government press releases</w:t>
      </w:r>
    </w:p>
    <w:p w14:paraId="186A7D31" w14:textId="77777777" w:rsidR="0084672C" w:rsidRPr="0084672C" w:rsidRDefault="0084672C" w:rsidP="0084672C">
      <w:pPr>
        <w:rPr>
          <w:b/>
          <w:bCs/>
        </w:rPr>
      </w:pPr>
      <w:r w:rsidRPr="0084672C">
        <w:rPr>
          <w:b/>
          <w:bCs/>
        </w:rPr>
        <w:t>Macroeconomic Indicator Data (FRED)</w:t>
      </w:r>
    </w:p>
    <w:p w14:paraId="485189B5" w14:textId="588F1B6B" w:rsidR="0084672C" w:rsidRPr="0084672C" w:rsidRDefault="0084672C" w:rsidP="0084672C">
      <w:pPr>
        <w:numPr>
          <w:ilvl w:val="0"/>
          <w:numId w:val="3"/>
        </w:numPr>
      </w:pPr>
      <w:r w:rsidRPr="0084672C">
        <w:t xml:space="preserve">CPI, GDP, </w:t>
      </w:r>
      <w:r w:rsidR="00E42B6A">
        <w:t>dollar rate</w:t>
      </w:r>
      <w:r w:rsidRPr="0084672C">
        <w:t>, and related macro variables</w:t>
      </w:r>
    </w:p>
    <w:p w14:paraId="7B1CB479" w14:textId="77777777" w:rsidR="0084672C" w:rsidRPr="0084672C" w:rsidRDefault="0084672C" w:rsidP="0084672C">
      <w:pPr>
        <w:numPr>
          <w:ilvl w:val="0"/>
          <w:numId w:val="3"/>
        </w:numPr>
      </w:pPr>
      <w:r w:rsidRPr="0084672C">
        <w:t>Retrieved from the Federal Reserve Economic Data (FRED) using an API key</w:t>
      </w:r>
    </w:p>
    <w:p w14:paraId="0945E44F" w14:textId="77777777" w:rsidR="0084672C" w:rsidRPr="00CD401C" w:rsidRDefault="0084672C">
      <w:pPr>
        <w:rPr>
          <w:b/>
          <w:bCs/>
        </w:rPr>
      </w:pPr>
    </w:p>
    <w:sectPr w:rsidR="0084672C" w:rsidRPr="00CD40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84382"/>
    <w:multiLevelType w:val="multilevel"/>
    <w:tmpl w:val="46A4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F0B33"/>
    <w:multiLevelType w:val="multilevel"/>
    <w:tmpl w:val="AD44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0B6247"/>
    <w:multiLevelType w:val="multilevel"/>
    <w:tmpl w:val="0FA2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7299179">
    <w:abstractNumId w:val="2"/>
  </w:num>
  <w:num w:numId="2" w16cid:durableId="1733649665">
    <w:abstractNumId w:val="1"/>
  </w:num>
  <w:num w:numId="3" w16cid:durableId="113252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4AE"/>
    <w:rsid w:val="000B023E"/>
    <w:rsid w:val="002964FD"/>
    <w:rsid w:val="002A2C6B"/>
    <w:rsid w:val="002A555D"/>
    <w:rsid w:val="00556749"/>
    <w:rsid w:val="0065420A"/>
    <w:rsid w:val="0071166A"/>
    <w:rsid w:val="0084672C"/>
    <w:rsid w:val="008F1BA5"/>
    <w:rsid w:val="00B868C3"/>
    <w:rsid w:val="00C704C2"/>
    <w:rsid w:val="00CD401C"/>
    <w:rsid w:val="00E42B6A"/>
    <w:rsid w:val="00E80254"/>
    <w:rsid w:val="00E96F14"/>
    <w:rsid w:val="00F80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5FDF3F"/>
  <w15:chartTrackingRefBased/>
  <w15:docId w15:val="{C7BB7B4E-C16D-2D4C-8514-468F6C8D6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4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04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4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4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4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4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4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4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4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4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04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4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4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4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4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4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4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4AE"/>
    <w:rPr>
      <w:rFonts w:eastAsiaTheme="majorEastAsia" w:cstheme="majorBidi"/>
      <w:color w:val="272727" w:themeColor="text1" w:themeTint="D8"/>
    </w:rPr>
  </w:style>
  <w:style w:type="paragraph" w:styleId="Title">
    <w:name w:val="Title"/>
    <w:basedOn w:val="Normal"/>
    <w:next w:val="Normal"/>
    <w:link w:val="TitleChar"/>
    <w:uiPriority w:val="10"/>
    <w:qFormat/>
    <w:rsid w:val="00F804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4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4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4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4AE"/>
    <w:pPr>
      <w:spacing w:before="160"/>
      <w:jc w:val="center"/>
    </w:pPr>
    <w:rPr>
      <w:i/>
      <w:iCs/>
      <w:color w:val="404040" w:themeColor="text1" w:themeTint="BF"/>
    </w:rPr>
  </w:style>
  <w:style w:type="character" w:customStyle="1" w:styleId="QuoteChar">
    <w:name w:val="Quote Char"/>
    <w:basedOn w:val="DefaultParagraphFont"/>
    <w:link w:val="Quote"/>
    <w:uiPriority w:val="29"/>
    <w:rsid w:val="00F804AE"/>
    <w:rPr>
      <w:i/>
      <w:iCs/>
      <w:color w:val="404040" w:themeColor="text1" w:themeTint="BF"/>
    </w:rPr>
  </w:style>
  <w:style w:type="paragraph" w:styleId="ListParagraph">
    <w:name w:val="List Paragraph"/>
    <w:basedOn w:val="Normal"/>
    <w:uiPriority w:val="34"/>
    <w:qFormat/>
    <w:rsid w:val="00F804AE"/>
    <w:pPr>
      <w:ind w:left="720"/>
      <w:contextualSpacing/>
    </w:pPr>
  </w:style>
  <w:style w:type="character" w:styleId="IntenseEmphasis">
    <w:name w:val="Intense Emphasis"/>
    <w:basedOn w:val="DefaultParagraphFont"/>
    <w:uiPriority w:val="21"/>
    <w:qFormat/>
    <w:rsid w:val="00F804AE"/>
    <w:rPr>
      <w:i/>
      <w:iCs/>
      <w:color w:val="0F4761" w:themeColor="accent1" w:themeShade="BF"/>
    </w:rPr>
  </w:style>
  <w:style w:type="paragraph" w:styleId="IntenseQuote">
    <w:name w:val="Intense Quote"/>
    <w:basedOn w:val="Normal"/>
    <w:next w:val="Normal"/>
    <w:link w:val="IntenseQuoteChar"/>
    <w:uiPriority w:val="30"/>
    <w:qFormat/>
    <w:rsid w:val="00F804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4AE"/>
    <w:rPr>
      <w:i/>
      <w:iCs/>
      <w:color w:val="0F4761" w:themeColor="accent1" w:themeShade="BF"/>
    </w:rPr>
  </w:style>
  <w:style w:type="character" w:styleId="IntenseReference">
    <w:name w:val="Intense Reference"/>
    <w:basedOn w:val="DefaultParagraphFont"/>
    <w:uiPriority w:val="32"/>
    <w:qFormat/>
    <w:rsid w:val="00F804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Thippa Ramesh, Aswin Balaji</dc:creator>
  <cp:keywords/>
  <dc:description/>
  <cp:lastModifiedBy>Thippa Ramesh, Aswin Balaji</cp:lastModifiedBy>
  <cp:revision>18</cp:revision>
  <dcterms:created xsi:type="dcterms:W3CDTF">2026-02-03T22:24:00Z</dcterms:created>
  <dcterms:modified xsi:type="dcterms:W3CDTF">2026-02-10T23:14:00Z</dcterms:modified>
</cp:coreProperties>
</file>