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59" w:lineRule="auto"/>
        <w:jc w:val="center"/>
      </w:pPr>
      <w:r>
        <w:rPr>
          <w:rFonts w:ascii="Calibri" w:hAnsi="Calibri" w:eastAsia="Calibri"/>
          <w:b/>
          <w:i w:val="0"/>
          <w:color w:val="1A365D"/>
          <w:sz w:val="40"/>
        </w:rPr>
        <w:t>Abhin Binu Kumar</w:t>
      </w:r>
    </w:p>
    <w:p>
      <w:pPr>
        <w:spacing w:before="0" w:after="20" w:line="259" w:lineRule="auto"/>
        <w:jc w:val="center"/>
      </w:pPr>
      <w:r>
        <w:rPr>
          <w:rFonts w:ascii="Calibri" w:hAnsi="Calibri" w:eastAsia="Calibri"/>
          <w:b w:val="0"/>
          <w:i w:val="0"/>
          <w:sz w:val="21"/>
        </w:rPr>
        <w:t>Kerala, India  |  abhin.b11@gmail.com  |  linkedin.com/in/abhin-b-a1700121a</w:t>
      </w:r>
    </w:p>
    <w:p>
      <w:pPr>
        <w:spacing w:before="0" w:after="40" w:line="259" w:lineRule="auto"/>
        <w:jc w:val="center"/>
      </w:pPr>
      <w:r>
        <w:rPr>
          <w:rFonts w:ascii="Calibri" w:hAnsi="Calibri" w:eastAsia="Calibri"/>
          <w:b w:val="0"/>
          <w:i/>
          <w:color w:val="1A365D"/>
          <w:sz w:val="21"/>
        </w:rPr>
        <w:t>Quantitative Research  ·  Financial Modelling  ·  Sector Analysis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PROFESSIONAL SUMMARY</w:t>
      </w:r>
    </w:p>
    <w:p>
      <w:pPr>
        <w:spacing w:before="40" w:after="40" w:line="259" w:lineRule="auto"/>
        <w:jc w:val="both"/>
      </w:pPr>
      <w:r>
        <w:rPr>
          <w:rFonts w:ascii="Calibri" w:hAnsi="Calibri" w:eastAsia="Calibri"/>
          <w:b w:val="0"/>
          <w:i w:val="0"/>
          <w:sz w:val="21"/>
        </w:rPr>
        <w:t>Mathematics and Computing graduate of the Indian Institute of Technology (IIT) Goa (CGPA 8.24/10, academic rank 5) with experience in quantitative financial analysis, multi-year financial modelling, and large-scale data analysis. Prepares feasibility and investment analysis across hospitality, agriculture, healthcare, automotive, and renewable energy, using Python and Excel for scenario analysis, break-even analysis, and debt service coverage ratio (DSCR) sensitivity. Additional experience includes C++ optimisation for operational decision systems and statistical analysis of telecom datasets of more than 6 million customer records. Academic work covers derivatives pricing, Monte Carlo simulation, time-series models, and privacy-preserving synthetic data. Currently advancing expertise in mathematical finance, stochastic modelling, and derivatives pricing through graduate study.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CORE SKILLS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Financial analysis: </w:t>
      </w:r>
      <w:r>
        <w:rPr>
          <w:rFonts w:ascii="Calibri" w:hAnsi="Calibri" w:eastAsia="Calibri"/>
          <w:b w:val="0"/>
          <w:i w:val="0"/>
          <w:sz w:val="21"/>
        </w:rPr>
        <w:t>Financial modelling (modeling), cash-flow analysis, scenario analysis, break-even analysis, DSCR, feasibility analysis, profitability analysis, capital expenditure, investment decision support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Markets and pricing: </w:t>
      </w:r>
      <w:r>
        <w:rPr>
          <w:rFonts w:ascii="Calibri" w:hAnsi="Calibri" w:eastAsia="Calibri"/>
          <w:b w:val="0"/>
          <w:i w:val="0"/>
          <w:sz w:val="21"/>
        </w:rPr>
        <w:t>CAPM, systematic risk, Black–Scholes, option Greeks, geometric Brownian motion, Monte Carlo simulation, hedging sensitivity, volatility, risk management, backtesting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Data and statistics: </w:t>
      </w:r>
      <w:r>
        <w:rPr>
          <w:rFonts w:ascii="Calibri" w:hAnsi="Calibri" w:eastAsia="Calibri"/>
          <w:b w:val="0"/>
          <w:i w:val="0"/>
          <w:sz w:val="21"/>
        </w:rPr>
        <w:t>Statistical modelling, time-series analysis, exploratory data analysis, feature engineering, anomaly detection, churn analysis, forecasting, datasets of 6 million+ records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Optimisation: </w:t>
      </w:r>
      <w:r>
        <w:rPr>
          <w:rFonts w:ascii="Calibri" w:hAnsi="Calibri" w:eastAsia="Calibri"/>
          <w:b w:val="0"/>
          <w:i w:val="0"/>
          <w:sz w:val="21"/>
        </w:rPr>
        <w:t>Branch and Bound, mixed-integer linear programming (MILP), constrained optimisation (optimization), numerical methods, finite element methods, matrix methods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Computing: </w:t>
      </w:r>
      <w:r>
        <w:rPr>
          <w:rFonts w:ascii="Calibri" w:hAnsi="Calibri" w:eastAsia="Calibri"/>
          <w:b w:val="0"/>
          <w:i w:val="0"/>
          <w:sz w:val="21"/>
        </w:rPr>
        <w:t>Python, C++, Microsoft Excel, FreeFem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Machine learning: </w:t>
      </w:r>
      <w:r>
        <w:rPr>
          <w:rFonts w:ascii="Calibri" w:hAnsi="Calibri" w:eastAsia="Calibri"/>
          <w:b w:val="0"/>
          <w:i w:val="0"/>
          <w:sz w:val="21"/>
        </w:rPr>
        <w:t>LSTM sequence models, generative models, differential privacy, PATE, synthetic data</w:t>
      </w:r>
    </w:p>
    <w:p>
      <w:pPr>
        <w:spacing w:before="2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Sectors: </w:t>
      </w:r>
      <w:r>
        <w:rPr>
          <w:rFonts w:ascii="Calibri" w:hAnsi="Calibri" w:eastAsia="Calibri"/>
          <w:b w:val="0"/>
          <w:i w:val="0"/>
          <w:sz w:val="21"/>
        </w:rPr>
        <w:t>Hospitality, agriculture, healthcare, automotive, renewable energy, telecom, logistics and fleet operations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PROFESSIONAL EXPERIENCE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Quantitative Research Associate</w:t>
      </w:r>
      <w:r>
        <w:rPr>
          <w:rFonts w:ascii="Calibri" w:hAnsi="Calibri" w:eastAsia="Calibri"/>
          <w:b w:val="0"/>
          <w:i w:val="0"/>
          <w:sz w:val="21"/>
        </w:rPr>
        <w:t xml:space="preserve">  |  Sep 2025 – Present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Neel Corporation, India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Deliver quantitative financial analysis for live projects in hospitality, agriculture, healthcare, automotive, and renewable energy, and use it in feasibility studies and investment decisions.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Build multi-year financial models of revenue, operating costs, capital expenditure, profitability, and cash flow, with assumptions written so each case can be traced and rerun.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Run scenario analysis in Python and Excel on financing assumptions, including break-even points and debt service coverage ratio (DSCR) sensitivity.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Compare operating and financing cases on profitability and cash flow, and separate the cases that support an investment from the cases that do not.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Check revenue, cost, and cash-flow lines against each other inside each model before the figures are used in a feasibility discussion.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Research Engineer – Optimisation and Decision Modelling</w:t>
      </w:r>
      <w:r>
        <w:rPr>
          <w:rFonts w:ascii="Calibri" w:hAnsi="Calibri" w:eastAsia="Calibri"/>
          <w:b w:val="0"/>
          <w:i w:val="0"/>
          <w:sz w:val="21"/>
        </w:rPr>
        <w:t xml:space="preserve">  |  Sep 2024 – Sep 2025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Addverb Technologies, India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Worked on large-scale optimisation and constrained decision-making for fleet management systems.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Formulated fleet assignment as a constrained optimisation problem for allocation decisions across the fleet.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Designed an optimal assignment algorithm using Branch and Bound.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Built the cost function from distance, congestion, and fairness, so all three entered the same objective.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Implemented the optimisation pipeline in C++, from cost evaluation through the search to the chosen assignment.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Developed pruning strategies that discarded branches unable to improve the best feasible assignment.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Replaced the previous MILP-based solver with this pipeline and improved system throughput by 18%.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Analysed the optimality–efficiency trade-off between the Branch and Bound solver and the MILP solver.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Machine Learning Research Intern</w:t>
      </w:r>
      <w:r>
        <w:rPr>
          <w:rFonts w:ascii="Calibri" w:hAnsi="Calibri" w:eastAsia="Calibri"/>
          <w:b w:val="0"/>
          <w:i w:val="0"/>
          <w:sz w:val="21"/>
        </w:rPr>
        <w:t xml:space="preserve">  |  May 2023 – Dec 2023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India Urban Data Exchange (IUDX)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Designed a PATE-GAN pipeline that combines Private Aggregation of Teacher Ensembles with a generative model to produce synthetic datasets under a formal differential-privacy guarantee.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Measured the privacy–utility trade-off with statistical and distributional metrics on sensitive datasets, including finance-related data.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Worked with researchers on responsible use of the synthetic data, so later analysis could proceed without exposing the underlying records.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Presented the results at the Symposium on Data for Public Good, Indian Institute of Science (IISc) Bangalore.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Linear Algebra Tutor</w:t>
      </w:r>
      <w:r>
        <w:rPr>
          <w:rFonts w:ascii="Calibri" w:hAnsi="Calibri" w:eastAsia="Calibri"/>
          <w:b w:val="0"/>
          <w:i w:val="0"/>
          <w:sz w:val="21"/>
        </w:rPr>
        <w:t xml:space="preserve">  |  Jan 2023 – Feb 2023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Unacademy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Taught vector spaces, eigenvalues, eigenvectors, and matrix factorisation.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Worked through eigenstructure and matrix-decomposition problems so students could apply the methods, not only recall the definitions.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Data Analyst Intern</w:t>
      </w:r>
      <w:r>
        <w:rPr>
          <w:rFonts w:ascii="Calibri" w:hAnsi="Calibri" w:eastAsia="Calibri"/>
          <w:b w:val="0"/>
          <w:i w:val="0"/>
          <w:sz w:val="21"/>
        </w:rPr>
        <w:t xml:space="preserve">  |  Jul 2022 – Aug 2022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6D Technologies, India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Analysed churn across more than 6 million customer records using statistical modelling, exploratory data analysis, and time-series methods.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Built Python pipelines for feature analysis and anomaly detection on high-volume, noisy telecom data.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Separated unusual customer behaviour from noise in that telecom data so churn patterns could be reviewed across the full customer base.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SELECTED PROJECTS</w:t>
      </w:r>
    </w:p>
    <w:p>
      <w:pPr>
        <w:spacing w:before="12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Finite Element Methods (FEM) for Solving Partial Differential Equations</w:t>
      </w:r>
      <w:r>
        <w:rPr>
          <w:rFonts w:ascii="Calibri" w:hAnsi="Calibri" w:eastAsia="Calibri"/>
          <w:b w:val="0"/>
          <w:i w:val="0"/>
          <w:sz w:val="21"/>
        </w:rPr>
        <w:t xml:space="preserve">  |  Dec 2023 – May 2024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Academic Project, IIT Goa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Implemented Finite Element Method formulations in FreeFem to solve partial differential equations, modelling systems such as heat transfer and electrostatics.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Assembled and decomposed large linear systems, then ran stability, convergence, and error analysis on the numerical schemes.</w:t>
      </w:r>
    </w:p>
    <w:p>
      <w:pPr>
        <w:spacing w:before="12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Algorithmic Trading System with Machine Learning</w:t>
      </w:r>
      <w:r>
        <w:rPr>
          <w:rFonts w:ascii="Calibri" w:hAnsi="Calibri" w:eastAsia="Calibri"/>
          <w:b w:val="0"/>
          <w:i w:val="0"/>
          <w:sz w:val="21"/>
        </w:rPr>
        <w:t xml:space="preserve">  |  Dec 2023 – Apr 2024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IIT Goa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Designed an end-to-end algorithmic trading system covering data ingestion, feature engineering, signal generation, execution, and risk management.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Implemented LSTM-based sequence models for financial time series and integrated them with volatility-adjusted position sizing, stop-loss rules, and drawdown constraints.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Built a modular Python backtesting pipeline to evaluate strategies across different market conditions.</w:t>
      </w:r>
    </w:p>
    <w:p>
      <w:pPr>
        <w:spacing w:before="12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Mathematical Finance and Asset Pricing Models</w:t>
      </w:r>
      <w:r>
        <w:rPr>
          <w:rFonts w:ascii="Calibri" w:hAnsi="Calibri" w:eastAsia="Calibri"/>
          <w:b w:val="0"/>
          <w:i w:val="0"/>
          <w:sz w:val="21"/>
        </w:rPr>
        <w:t xml:space="preserve">  |  Feb 2023 – May 2023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Course project, Computational Finance: An Introduction to Option Pricing, IIT Goa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Studied the Capital Asset Pricing Model (CAPM) and risk–return trade-offs, including the role of systematic risk in expected asset returns.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Implemented Black–Scholes option pricing and derived analytical prices and Greeks under geometric Brownian motion.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Developed Monte Carlo simulations for derivative pricing, validated them against closed-form solutions, and analysed option sensitivity to volatility, interest rates, and time to maturity for hedging.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EDUCATION</w:t>
      </w:r>
    </w:p>
    <w:p>
      <w:pPr>
        <w:spacing w:before="80" w:after="0" w:line="252" w:lineRule="auto"/>
        <w:jc w:val="left"/>
      </w:pPr>
      <w:r>
        <w:rPr>
          <w:rFonts w:ascii="Calibri" w:hAnsi="Calibri" w:eastAsia="Calibri"/>
          <w:b/>
          <w:i w:val="0"/>
          <w:color w:val="1A365D"/>
          <w:sz w:val="22"/>
        </w:rPr>
        <w:t>Bachelor of Technology in Mathematics and Computing</w:t>
      </w:r>
      <w:r>
        <w:rPr>
          <w:rFonts w:ascii="Calibri" w:hAnsi="Calibri" w:eastAsia="Calibri"/>
          <w:b w:val="0"/>
          <w:i w:val="0"/>
          <w:sz w:val="21"/>
        </w:rPr>
        <w:t xml:space="preserve">  |  2020 – 2024</w:t>
      </w:r>
    </w:p>
    <w:p>
      <w:pPr>
        <w:spacing w:before="0" w:after="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Indian Institute of Technology (IIT) Goa, India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 w:val="0"/>
          <w:sz w:val="21"/>
        </w:rPr>
        <w:t>CGPA: 8.24 / 10  ·  Academic rank: 5th</w:t>
      </w:r>
    </w:p>
    <w:p>
      <w:pPr>
        <w:spacing w:before="20" w:after="2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 xml:space="preserve">Relevant coursework. </w:t>
      </w:r>
      <w:r>
        <w:rPr>
          <w:rFonts w:ascii="Calibri" w:hAnsi="Calibri" w:eastAsia="Calibri"/>
          <w:b w:val="0"/>
          <w:i w:val="0"/>
          <w:sz w:val="21"/>
        </w:rPr>
        <w:t>Mathematics and finance: Linear Algebra, Probability and Statistics, Calculus, Differential Equations, Numerical Analysis, Computational Finance (Brownian motion, Itô’s lemma, stochastic differential equations, Feynman–Kac, Black–Scholes), Complex Analysis, Discrete Mathematics. Computing and data: Algorithm Design, Data Structures and Algorithms, Econometric Data Science, Machine Learning, Theory of Computation, Introduction to Computing.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COURSES AND CERTIFICATIONS</w:t>
      </w:r>
    </w:p>
    <w:p>
      <w:pPr>
        <w:spacing w:before="60" w:after="20" w:line="259" w:lineRule="auto"/>
        <w:jc w:val="left"/>
      </w:pPr>
      <w:r>
        <w:rPr>
          <w:rFonts w:ascii="Calibri" w:hAnsi="Calibri" w:eastAsia="Calibri"/>
          <w:b w:val="0"/>
          <w:i/>
          <w:sz w:val="21"/>
        </w:rPr>
        <w:t>Udemy and Coursera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Introduction to Risk Management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Introduction to Time Series and Forecasting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Algorithmic Trading and Quantitative Analysis Using Python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Mathematics for Machine Learning and Data Science Specialization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CONFERENCE PRESENTATION</w:t>
      </w:r>
    </w:p>
    <w:p>
      <w:pPr>
        <w:spacing w:before="60" w:after="0" w:line="252" w:lineRule="auto"/>
        <w:jc w:val="left"/>
      </w:pPr>
      <w:r>
        <w:rPr>
          <w:rFonts w:ascii="Calibri" w:hAnsi="Calibri" w:eastAsia="Calibri"/>
          <w:b/>
          <w:i w:val="0"/>
          <w:sz w:val="21"/>
        </w:rPr>
        <w:t>Symposium on Data for Public Good, Indian Institute of Science (IISc) Bangalore</w:t>
      </w:r>
      <w:r>
        <w:rPr>
          <w:rFonts w:ascii="Calibri" w:hAnsi="Calibri" w:eastAsia="Calibri"/>
          <w:b w:val="0"/>
          <w:i w:val="0"/>
          <w:sz w:val="21"/>
        </w:rPr>
        <w:t xml:space="preserve">  |  Nov 2023</w:t>
      </w:r>
    </w:p>
    <w:p>
      <w:pPr>
        <w:spacing w:before="0" w:after="20" w:line="259" w:lineRule="auto"/>
        <w:jc w:val="left"/>
      </w:pPr>
      <w:r>
        <w:rPr>
          <w:rFonts w:ascii="Calibri" w:hAnsi="Calibri" w:eastAsia="Calibri"/>
          <w:b w:val="0"/>
          <w:i w:val="0"/>
          <w:sz w:val="21"/>
        </w:rPr>
        <w:t>Topic: Privacy-Preserving Synthetic Data using PATE-GAN</w:t>
      </w:r>
    </w:p>
    <w:p>
      <w:pPr>
        <w:spacing w:before="220" w:after="40" w:line="240" w:lineRule="auto"/>
        <w:pBdr>
          <w:bottom w:val="single" w:sz="8" w:space="1" w:color="1A365D"/>
        </w:pBdr>
      </w:pPr>
      <w:r>
        <w:rPr>
          <w:rFonts w:ascii="Calibri" w:hAnsi="Calibri" w:eastAsia="Calibri"/>
          <w:b/>
          <w:i w:val="0"/>
          <w:color w:val="1A365D"/>
          <w:sz w:val="23"/>
        </w:rPr>
        <w:t>ACHIEVEMENTS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Prime Minister’s Scholarship Scheme (PMSS), Government of India, awarded for academic merit during undergraduate studies.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Qualified JEE Advanced, the national entrance examination for the Indian Institutes of Technology.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Captain, IIT Goa Football Team. Represented the institute at the Inter-IIT Sports Meet.</w:t>
      </w:r>
    </w:p>
    <w:p>
      <w:pPr>
        <w:pStyle w:val="ListBullet"/>
        <w:spacing w:before="0" w:after="0" w:line="245" w:lineRule="auto"/>
        <w:ind w:left="360"/>
      </w:pPr>
      <w:r>
        <w:rPr>
          <w:rFonts w:ascii="Calibri" w:hAnsi="Calibri" w:eastAsia="Calibri"/>
          <w:b w:val="0"/>
          <w:i w:val="0"/>
          <w:sz w:val="21"/>
        </w:rPr>
        <w:t>State-level chess player. Secured 27th rank in the State Chess Championship.</w:t>
      </w:r>
    </w:p>
    <w:sectPr w:rsidR="00FC693F" w:rsidRPr="0006063C" w:rsidSect="00034616">
      <w:pgSz w:w="11909" w:h="16834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9" w:lineRule="auto"/>
    </w:pPr>
    <w:rPr>
      <w:rFonts w:ascii="Calibri" w:hAnsi="Calibri" w:eastAsia="Calibri"/>
      <w:color w:val="1C1C1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Abhin Binu Kumar — Quantitative Research CV</dc:title>
  <dc:subject>Professional CV for market intelligence and quantitative research applications</dc:subject>
  <dc:creator>Abhin Binu Kumar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>CV</cp:category>
</cp:coreProperties>
</file>