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Compact"/>
        <w:numPr>
          <w:numId w:val="1021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FirstParagraph"/>
      </w:pPr>
      <w:r>
        <w:t xml:space="preserve">The kidney develops from a region of the early embryo called the intermediate</w:t>
      </w:r>
      <w:r>
        <w:t xml:space="preserve"> </w:t>
      </w:r>
      <w:r>
        <w:t xml:space="preserve">mesoderm and occurs in three phases with a specific spatial and temporal order.</w:t>
      </w:r>
      <w:r>
        <w:t xml:space="preserve"> </w:t>
      </w:r>
      <w:r>
        <w:t xml:space="preserve">The first phase results in the pronephros which consists of 6-10 pairs of</w:t>
      </w:r>
      <w:r>
        <w:t xml:space="preserve"> </w:t>
      </w:r>
      <w:r>
        <w:t xml:space="preserve">tubules that forms the mature kidney in most primitive vertebrates such as</w:t>
      </w:r>
      <w:r>
        <w:t xml:space="preserve"> </w:t>
      </w:r>
      <w:r>
        <w:t xml:space="preserve">hagfish. By about the fourth week of human embryonic development this structure</w:t>
      </w:r>
      <w:r>
        <w:t xml:space="preserve"> </w:t>
      </w:r>
      <w:r>
        <w:t xml:space="preserve">dies off and is replaced by the mesonephros which is the form of kidney present</w:t>
      </w:r>
      <w:r>
        <w:t xml:space="preserve"> </w:t>
      </w:r>
      <w:r>
        <w:t xml:space="preserve">in most fish and amphibians. The mesonephros is functional during weeks 4-8 of</w:t>
      </w:r>
      <w:r>
        <w:t xml:space="preserve"> </w:t>
      </w:r>
      <w:r>
        <w:t xml:space="preserve">human embryonic development before degenerating although parts of it’s duct</w:t>
      </w:r>
      <w:r>
        <w:t xml:space="preserve"> </w:t>
      </w:r>
      <w:r>
        <w:t xml:space="preserve">system go on for form part of the male reproductive system. The final phase of</w:t>
      </w:r>
      <w:r>
        <w:t xml:space="preserve"> </w:t>
      </w:r>
      <w:r>
        <w:t xml:space="preserve">human kidney development results in the metanephros which begins developing at</w:t>
      </w:r>
      <w:r>
        <w:t xml:space="preserve"> </w:t>
      </w:r>
      <w:r>
        <w:t xml:space="preserve">around five weeks to become the permanent and functional kidney. Individual</w:t>
      </w:r>
      <w:r>
        <w:t xml:space="preserve"> </w:t>
      </w:r>
      <w:r>
        <w:t xml:space="preserve">nephrons grow in a similar series of stages. Cells from the duct that will</w:t>
      </w:r>
      <w:r>
        <w:t xml:space="preserve"> </w:t>
      </w:r>
      <w:r>
        <w:t xml:space="preserve">become the ureter begin to invade the surrounding metanephric mesenchyme</w:t>
      </w:r>
      <w:r>
        <w:t xml:space="preserve"> </w:t>
      </w:r>
      <w:r>
        <w:t xml:space="preserve">forming a ureteric bud. Interactions between these cell types, including WNT</w:t>
      </w:r>
      <w:r>
        <w:t xml:space="preserve"> </w:t>
      </w:r>
      <w:r>
        <w:t xml:space="preserve">signaling, cause mesenchymal cells to condense around the ureteric bud forming</w:t>
      </w:r>
      <w:r>
        <w:t xml:space="preserve"> </w:t>
      </w:r>
      <w:r>
        <w:t xml:space="preserve">a stem cell population known as the cap mesenchyme that expresses genes such as</w:t>
      </w:r>
      <w:r>
        <w:t xml:space="preserve"> </w:t>
      </w:r>
      <w:r>
        <w:t xml:space="preserve">Six2 and Cited1. Cells from the cap mesenchyme first form a renal vesicle, a</w:t>
      </w:r>
      <w:r>
        <w:t xml:space="preserve"> </w:t>
      </w:r>
      <w:r>
        <w:t xml:space="preserve">primitive structure with a lumen, which extends to form an s-shaped body. By</w:t>
      </w:r>
      <w:r>
        <w:t xml:space="preserve"> </w:t>
      </w:r>
      <w:r>
        <w:t xml:space="preserve">this stage the lumen has joined with the ureteric bud to form a continuous</w:t>
      </w:r>
      <w:r>
        <w:t xml:space="preserve"> </w:t>
      </w:r>
      <w:r>
        <w:t xml:space="preserve">tubule. The s-shaped body continues to with podocytes beginning to develop and</w:t>
      </w:r>
      <w:r>
        <w:t xml:space="preserve"> </w:t>
      </w:r>
      <w:r>
        <w:t xml:space="preserve">form a glomerulus at one end and other specialised cells arising along the</w:t>
      </w:r>
      <w:r>
        <w:t xml:space="preserve"> </w:t>
      </w:r>
      <w:r>
        <w:t xml:space="preserve">length of the tubule to form the various nephron segments. Several signaling</w:t>
      </w:r>
      <w:r>
        <w:t xml:space="preserve"> </w:t>
      </w:r>
      <w:r>
        <w:t xml:space="preserve">pathways and cell-cell interactions are involved in this process including</w:t>
      </w:r>
      <w:r>
        <w:t xml:space="preserve"> </w:t>
      </w:r>
      <w:r>
        <w:t xml:space="preserve">Notch signaling.</w:t>
      </w:r>
    </w:p>
    <w:p>
      <w:pPr>
        <w:pStyle w:val="BodyText"/>
      </w:pPr>
      <w:r>
        <w:t xml:space="preserve">Most of our understanding of kidney development comes from studies using mouse</w:t>
      </w:r>
      <w:r>
        <w:t xml:space="preserve"> </w:t>
      </w:r>
      <w:r>
        <w:t xml:space="preserve">models and other model species. While these have greatly added to our knowledge</w:t>
      </w:r>
      <w:r>
        <w:t xml:space="preserve"> </w:t>
      </w:r>
      <w:r>
        <w:t xml:space="preserve">they do not completely replicate human kidney development and there are known</w:t>
      </w:r>
      <w:r>
        <w:t xml:space="preserve"> </w:t>
      </w:r>
      <w:r>
        <w:t xml:space="preserve">to be significant differences in the developmental timeline, signaling pathways</w:t>
      </w:r>
      <w:r>
        <w:t xml:space="preserve"> </w:t>
      </w:r>
      <w:r>
        <w:t xml:space="preserve">and gene expression between species. To better understand human kidney</w:t>
      </w:r>
      <w:r>
        <w:t xml:space="preserve"> </w:t>
      </w:r>
      <w:r>
        <w:t xml:space="preserve">development we need models that reproduce the human version of this process.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7"/>
          <w:ilvl w:val="1"/>
        </w:numPr>
      </w:pPr>
      <w:r>
        <w:t xml:space="preserve">CRISPR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FirstParagraph"/>
      </w:pPr>
      <w:r>
        <w:t xml:space="preserve">One alternative model of human kidney development is to grow miniature organs</w:t>
      </w:r>
      <w:r>
        <w:t xml:space="preserve"> </w:t>
      </w:r>
      <w:r>
        <w:t xml:space="preserve">if a lab. Known as organoids these tissues are grown from stem cells provided</w:t>
      </w:r>
      <w:r>
        <w:t xml:space="preserve"> </w:t>
      </w:r>
      <w:r>
        <w:t xml:space="preserve">with the right sequence of conditions and growth factors. Naturally occurring</w:t>
      </w:r>
      <w:r>
        <w:t xml:space="preserve"> </w:t>
      </w:r>
      <w:r>
        <w:t xml:space="preserve">embryonic stem cells can be used but a more feasible approach is to reprogram</w:t>
      </w:r>
      <w:r>
        <w:t xml:space="preserve"> </w:t>
      </w:r>
      <w:r>
        <w:t xml:space="preserve">mature cell types (typically fibroblasts from skin samples) using a method</w:t>
      </w:r>
      <w:r>
        <w:t xml:space="preserve"> </w:t>
      </w:r>
      <w:r>
        <w:t xml:space="preserve">discovered by …. Under this protocol cells are supplied with … followed by</w:t>
      </w:r>
      <w:r>
        <w:t xml:space="preserve"> </w:t>
      </w:r>
      <w:r>
        <w:t xml:space="preserve">…. The resulting cells have the ability to differentiate into any cell type</w:t>
      </w:r>
      <w:r>
        <w:t xml:space="preserve"> </w:t>
      </w:r>
      <w:r>
        <w:t xml:space="preserve">and are known as induced pluripotent stem cells (iPSCs). By culturing iPSCs</w:t>
      </w:r>
      <w:r>
        <w:t xml:space="preserve"> </w:t>
      </w:r>
      <w:r>
        <w:t xml:space="preserve">under the right conditions the course of differentiation can be directed and</w:t>
      </w:r>
      <w:r>
        <w:t xml:space="preserve"> </w:t>
      </w:r>
      <w:r>
        <w:t xml:space="preserve">protocols for growing eye, brain and …tissues have been developed. The first</w:t>
      </w:r>
      <w:r>
        <w:t xml:space="preserve"> </w:t>
      </w:r>
      <w:r>
        <w:t xml:space="preserve">protocol first protocol for growing kidney organoids was published in 2015 by</w:t>
      </w:r>
      <w:r>
        <w:t xml:space="preserve"> </w:t>
      </w:r>
      <w:r>
        <w:t xml:space="preserve">Takasato et al.</w:t>
      </w:r>
    </w:p>
    <w:p>
      <w:pPr>
        <w:pStyle w:val="BodyText"/>
      </w:pPr>
      <w:r>
        <w:t xml:space="preserve">Using this protocol iPSCs are first grown on a plate where Wnt signaling is</w:t>
      </w:r>
      <w:r>
        <w:t xml:space="preserve"> </w:t>
      </w:r>
      <w:r>
        <w:t xml:space="preserve">induced by the presence of CHIR, an inhibitor of glycogen kinase synthase 3.</w:t>
      </w:r>
      <w:r>
        <w:t xml:space="preserve"> </w:t>
      </w:r>
      <w:r>
        <w:t xml:space="preserve">After several days of growth the growth factor FGF9 is added which is required</w:t>
      </w:r>
      <w:r>
        <w:t xml:space="preserve"> </w:t>
      </w:r>
      <w:r>
        <w:t xml:space="preserve">to form the intermediate mesoderm. Following several more days of growth the</w:t>
      </w:r>
      <w:r>
        <w:t xml:space="preserve"> </w:t>
      </w:r>
      <w:r>
        <w:t xml:space="preserve">cells are removed from the plate and formed into three dimensional pellets. A</w:t>
      </w:r>
      <w:r>
        <w:t xml:space="preserve"> </w:t>
      </w:r>
      <w:r>
        <w:t xml:space="preserve">short pulse of CHIR is added to again induce Wnt signaling and the pellets</w:t>
      </w:r>
      <w:r>
        <w:t xml:space="preserve"> </w:t>
      </w:r>
      <w:r>
        <w:t xml:space="preserve">continue to be cultured in the presence of FGF9. Growth factors are removed</w:t>
      </w:r>
      <w:r>
        <w:t xml:space="preserve"> </w:t>
      </w:r>
      <w:r>
        <w:t xml:space="preserve">after about five days of 3D culture and the organoids continue to grow for a</w:t>
      </w:r>
      <w:r>
        <w:t xml:space="preserve"> </w:t>
      </w:r>
      <w:r>
        <w:t xml:space="preserve">further two weeks at which point tubular structures have formed. These kidney</w:t>
      </w:r>
      <w:r>
        <w:t xml:space="preserve"> </w:t>
      </w:r>
      <w:r>
        <w:t xml:space="preserve">organoids have been extensively characterised using both immunofluorescence</w:t>
      </w:r>
      <w:r>
        <w:t xml:space="preserve"> </w:t>
      </w:r>
      <w:r>
        <w:t xml:space="preserve">imaging and transcriptional profiling by RNA-seq. Imaging showed that the</w:t>
      </w:r>
      <w:r>
        <w:t xml:space="preserve"> </w:t>
      </w:r>
      <w:r>
        <w:t xml:space="preserve">tubules are segmented and express markers of podocytes, proximal tubule, distal</w:t>
      </w:r>
      <w:r>
        <w:t xml:space="preserve"> </w:t>
      </w:r>
      <w:r>
        <w:t xml:space="preserve">tubule and collecting duct, however individual tubules are not connected in the</w:t>
      </w:r>
      <w:r>
        <w:t xml:space="preserve"> </w:t>
      </w:r>
      <w:r>
        <w:t xml:space="preserve">same way they would be in a real kidney. By comparing RNA-seq profiles with</w:t>
      </w:r>
      <w:r>
        <w:t xml:space="preserve"> </w:t>
      </w:r>
      <w:r>
        <w:t xml:space="preserve">those from a range of developing tissues the organoids from this protocol were</w:t>
      </w:r>
      <w:r>
        <w:t xml:space="preserve"> </w:t>
      </w:r>
      <w:r>
        <w:t xml:space="preserve">found to be most similar to trimester one and two fetal kidney. While the bulk</w:t>
      </w:r>
      <w:r>
        <w:t xml:space="preserve"> </w:t>
      </w:r>
      <w:r>
        <w:t xml:space="preserve">transcriptional profiles may be similar this analysis does not confirm that</w:t>
      </w:r>
      <w:r>
        <w:t xml:space="preserve"> </w:t>
      </w:r>
      <w:r>
        <w:t xml:space="preserve">individual cells types the same lab-grown kidney organoids and the true</w:t>
      </w:r>
      <w:r>
        <w:t xml:space="preserve"> </w:t>
      </w:r>
      <w:r>
        <w:t xml:space="preserve">developing kidney. Further studies using this protocol have shown that it is</w:t>
      </w:r>
      <w:r>
        <w:t xml:space="preserve"> </w:t>
      </w:r>
      <w:r>
        <w:t xml:space="preserve">reproducible with organoids grown at the same time being having very similar</w:t>
      </w:r>
      <w:r>
        <w:t xml:space="preserve"> </w:t>
      </w:r>
      <w:r>
        <w:t xml:space="preserve">transcriptional profiles however organoids from different batches can be</w:t>
      </w:r>
      <w:r>
        <w:t xml:space="preserve"> </w:t>
      </w:r>
      <w:r>
        <w:t xml:space="preserve">significantly different, potentially due to differences in the rate at which</w:t>
      </w:r>
      <w:r>
        <w:t xml:space="preserve"> </w:t>
      </w:r>
      <w:r>
        <w:t xml:space="preserve">they develop.</w:t>
      </w:r>
    </w:p>
    <w:p>
      <w:pPr>
        <w:pStyle w:val="BodyText"/>
      </w:pPr>
      <w:r>
        <w:t xml:space="preserve">While they are not a perfect model of a developing human kidney organoids have</w:t>
      </w:r>
      <w:r>
        <w:t xml:space="preserve"> </w:t>
      </w:r>
      <w:r>
        <w:t xml:space="preserve">several advantages over other models. In particular they have great potential</w:t>
      </w:r>
      <w:r>
        <w:t xml:space="preserve"> </w:t>
      </w:r>
      <w:r>
        <w:t xml:space="preserve">for uses in the modeling of developmental kidney diseases. Cells from a patient</w:t>
      </w:r>
      <w:r>
        <w:t xml:space="preserve"> </w:t>
      </w:r>
      <w:r>
        <w:t xml:space="preserve">with a particular mutation can be reprogrammed and used to grow organoids that</w:t>
      </w:r>
      <w:r>
        <w:t xml:space="preserve"> </w:t>
      </w:r>
      <w:r>
        <w:t xml:space="preserve">can then be used for functional studies or drug screening. Alternatively gene</w:t>
      </w:r>
      <w:r>
        <w:t xml:space="preserve"> </w:t>
      </w:r>
      <w:r>
        <w:t xml:space="preserve">editing techniques can be used to insert the mutation into an existing cell</w:t>
      </w:r>
      <w:r>
        <w:t xml:space="preserve"> </w:t>
      </w:r>
      <w:r>
        <w:t xml:space="preserve">line or correct the mutation in the patient line allowing comparisons on the</w:t>
      </w:r>
      <w:r>
        <w:t xml:space="preserve"> </w:t>
      </w:r>
      <w:r>
        <w:t xml:space="preserve">same genetic background. Modified versions of the protocol that can produce</w:t>
      </w:r>
      <w:r>
        <w:t xml:space="preserve"> </w:t>
      </w:r>
      <w:r>
        <w:t xml:space="preserve">much larger numbers of organoids, for example by growing them in swirler</w:t>
      </w:r>
      <w:r>
        <w:t xml:space="preserve"> </w:t>
      </w:r>
      <w:r>
        <w:t xml:space="preserve">cultures, could potentially be used to produce cells in sufficient numbers for</w:t>
      </w:r>
      <w:r>
        <w:t xml:space="preserve"> </w:t>
      </w:r>
      <w:r>
        <w:t xml:space="preserve">cellular therapies. Extensive work is been done to improve the protocol in</w:t>
      </w:r>
      <w:r>
        <w:t xml:space="preserve"> </w:t>
      </w:r>
      <w:r>
        <w:t xml:space="preserve">other ways as well such as improving the maturation of the organoids or</w:t>
      </w:r>
      <w:r>
        <w:t xml:space="preserve"> </w:t>
      </w:r>
      <w:r>
        <w:t xml:space="preserve">directing them more towards particular segments. Overall kidney organoids open</w:t>
      </w:r>
      <w:r>
        <w:t xml:space="preserve"> </w:t>
      </w:r>
      <w:r>
        <w:t xml:space="preserve">up many possibilities for studies to better help use understand kidney</w:t>
      </w:r>
      <w:r>
        <w:t xml:space="preserve"> </w:t>
      </w:r>
      <w:r>
        <w:t xml:space="preserve">development and potentially help develop new treatments for kidney disease.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FirstParagraph"/>
      </w:pPr>
      <w:r>
        <w:t xml:space="preserve">When I began my PhD in early 2016 single-cell RNA-sequencing technologies were</w:t>
      </w:r>
      <w:r>
        <w:t xml:space="preserve"> </w:t>
      </w:r>
      <w:r>
        <w:t xml:space="preserve">just beginning to become widely available. Since then there has been a rapid</w:t>
      </w:r>
      <w:r>
        <w:t xml:space="preserve"> </w:t>
      </w:r>
      <w:r>
        <w:t xml:space="preserve">uptake and there are now many studies using this approach. Along with the</w:t>
      </w:r>
      <w:r>
        <w:t xml:space="preserve"> </w:t>
      </w:r>
      <w:r>
        <w:t xml:space="preserve">growth in the adoption of scRNA-seq technologies there has been an explosion in</w:t>
      </w:r>
      <w:r>
        <w:t xml:space="preserve"> </w:t>
      </w:r>
      <w:r>
        <w:t xml:space="preserve">the number of software tools for analysing these datasets. This chapter charts</w:t>
      </w:r>
      <w:r>
        <w:t xml:space="preserve"> </w:t>
      </w:r>
      <w:r>
        <w:t xml:space="preserve">the growth in the scRNA-seq analysis landscape over time.</w:t>
      </w:r>
    </w:p>
    <w:p>
      <w:pPr>
        <w:pStyle w:val="BodyText"/>
      </w:pPr>
      <w:r>
        <w:t xml:space="preserve">In 2016 there were relatively few analysis methods available and to answer</w:t>
      </w:r>
      <w:r>
        <w:t xml:space="preserve"> </w:t>
      </w:r>
      <w:r>
        <w:t xml:space="preserve">questions like how many tools perform a particular task or which areas were</w:t>
      </w:r>
      <w:r>
        <w:t xml:space="preserve"> </w:t>
      </w:r>
      <w:r>
        <w:t xml:space="preserve">developers focusing on or was there a tool for doing this I began to record</w:t>
      </w:r>
      <w:r>
        <w:t xml:space="preserve"> </w:t>
      </w:r>
      <w:r>
        <w:t xml:space="preserve">details about them. Inspired by similar projects such as Sean Davis’ Awesome</w:t>
      </w:r>
      <w:r>
        <w:t xml:space="preserve"> </w:t>
      </w:r>
      <w:r>
        <w:t xml:space="preserve">Single Cell page I decided to make this collection public. This turned out to be</w:t>
      </w:r>
      <w:r>
        <w:t xml:space="preserve"> </w:t>
      </w:r>
      <w:r>
        <w:t xml:space="preserve">useful to other researchers and over time a simple spreadsheet became the</w:t>
      </w:r>
      <w:r>
        <w:t xml:space="preserve"> </w:t>
      </w:r>
      <w:r>
        <w:t xml:space="preserve">scRNA-tools database and website (</w:t>
      </w:r>
      <w:hyperlink r:id="rId56">
        <w:r>
          <w:rPr>
            <w:rStyle w:val="Hyperlink"/>
          </w:rPr>
          <w:t xml:space="preserve">https://scRNA-tools.org</w:t>
        </w:r>
      </w:hyperlink>
      <w:r>
        <w:t xml:space="preserve">). A paper published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describing this resource forms the main part of</w:t>
      </w:r>
      <w:r>
        <w:t xml:space="preserve"> </w:t>
      </w:r>
      <w:r>
        <w:t xml:space="preserve">this chapter.</w:t>
      </w:r>
    </w:p>
    <w:p>
      <w:pPr>
        <w:pStyle w:val="BodyText"/>
      </w:pPr>
      <w:r>
        <w:t xml:space="preserve">By having access to details about existing analysis tools we were able to</w:t>
      </w:r>
      <w:r>
        <w:t xml:space="preserve"> </w:t>
      </w:r>
      <w:r>
        <w:t xml:space="preserve">explore how the field has developed. We found that computational researchers</w:t>
      </w:r>
      <w:r>
        <w:t xml:space="preserve"> </w:t>
      </w:r>
      <w:r>
        <w:t xml:space="preserve">had focused their efforts on analysis tasks specific to scRNA-seq data such as</w:t>
      </w:r>
      <w:r>
        <w:t xml:space="preserve"> </w:t>
      </w:r>
      <w:r>
        <w:t xml:space="preserve">clustering and ordering of cells or handling the larger numbers of zeros. We</w:t>
      </w:r>
      <w:r>
        <w:t xml:space="preserve"> </w:t>
      </w:r>
      <w:r>
        <w:t xml:space="preserve">also saw that many of the tools performed tasks common to several stages of</w:t>
      </w:r>
      <w:r>
        <w:t xml:space="preserve"> </w:t>
      </w:r>
      <w:r>
        <w:t xml:space="preserve">analysis including dimensionality reduction of various kinds and visualisation.</w:t>
      </w:r>
      <w:r>
        <w:t xml:space="preserve"> </w:t>
      </w:r>
      <w:r>
        <w:t xml:space="preserve">Developers of scRNA-seq analysis tools tend to embrace a open-source and</w:t>
      </w:r>
      <w:r>
        <w:t xml:space="preserve"> </w:t>
      </w:r>
      <w:r>
        <w:t xml:space="preserve">open-science approach. Most tools are developed on GitHub were others can ask</w:t>
      </w:r>
      <w:r>
        <w:t xml:space="preserve"> </w:t>
      </w:r>
      <w:r>
        <w:t xml:space="preserve">questions and submit improvements. The majority are also available under</w:t>
      </w:r>
      <w:r>
        <w:t xml:space="preserve"> </w:t>
      </w:r>
      <w:r>
        <w:t xml:space="preserve">open-source licenses allowing their code to be reused for other purposes,</w:t>
      </w:r>
      <w:r>
        <w:t xml:space="preserve"> </w:t>
      </w:r>
      <w:r>
        <w:t xml:space="preserve">although there is also a significant proportion that do not have any associated</w:t>
      </w:r>
      <w:r>
        <w:t xml:space="preserve"> </w:t>
      </w:r>
      <w:r>
        <w:t xml:space="preserve">license. Tools are commonly made public by releasing a preprint publication,</w:t>
      </w:r>
      <w:r>
        <w:t xml:space="preserve"> </w:t>
      </w:r>
      <w:r>
        <w:t xml:space="preserve">making them available to the community much more quickly and giving early</w:t>
      </w:r>
      <w:r>
        <w:t xml:space="preserve"> </w:t>
      </w:r>
      <w:r>
        <w:t xml:space="preserve">adopters a chance to contribute to their development.</w:t>
      </w:r>
    </w:p>
    <w:p>
      <w:pPr>
        <w:pStyle w:val="BodyText"/>
      </w:pPr>
      <w:r>
        <w:t xml:space="preserve">A section at the end of this chapter presents an updated version of some of this</w:t>
      </w:r>
      <w:r>
        <w:t xml:space="preserve"> </w:t>
      </w:r>
      <w:r>
        <w:t xml:space="preserve">analysis based on the most recent version of the database.</w:t>
      </w:r>
    </w:p>
    <w:p>
      <w:pPr>
        <w:pStyle w:val="Heading1"/>
      </w:pPr>
      <w:bookmarkStart w:id="57" w:name="simulating-scrna-seq-data"/>
      <w:r>
        <w:t xml:space="preserve">Simulating scRNA-seq data</w:t>
      </w:r>
      <w:bookmarkEnd w:id="57"/>
    </w:p>
    <w:p>
      <w:pPr>
        <w:pStyle w:val="Heading2"/>
      </w:pPr>
      <w:bookmarkStart w:id="58" w:name="introduction-2"/>
      <w:r>
        <w:t xml:space="preserve">Introduction</w:t>
      </w:r>
      <w:bookmarkEnd w:id="58"/>
    </w:p>
    <w:p>
      <w:pPr>
        <w:pStyle w:val="FirstParagraph"/>
      </w:pPr>
      <w:r>
        <w:t xml:space="preserve">To be accepted and used any computational method for data analysis needs to</w:t>
      </w:r>
      <w:r>
        <w:t xml:space="preserve"> </w:t>
      </w:r>
      <w:r>
        <w:t xml:space="preserve">demonstrate that it is effective at the task it aims to complete. Ideally this</w:t>
      </w:r>
      <w:r>
        <w:t xml:space="preserve"> </w:t>
      </w:r>
      <w:r>
        <w:t xml:space="preserve">can be done by evaluating performance on a real dataset where the results are</w:t>
      </w:r>
      <w:r>
        <w:t xml:space="preserve"> </w:t>
      </w:r>
      <w:r>
        <w:t xml:space="preserve">already known. Unfortunately in many case such gold standard datasets are not</w:t>
      </w:r>
      <w:r>
        <w:t xml:space="preserve"> </w:t>
      </w:r>
      <w:r>
        <w:t xml:space="preserve">available. This is particular true for genomic data where it is difficult to</w:t>
      </w:r>
      <w:r>
        <w:t xml:space="preserve"> </w:t>
      </w:r>
      <w:r>
        <w:t xml:space="preserve">know what the truth is or it is limited to only small sections of the genome.</w:t>
      </w:r>
      <w:r>
        <w:t xml:space="preserve"> </w:t>
      </w:r>
      <w:r>
        <w:t xml:space="preserve">It is possible to create some genomic datasets where the truth is known, for</w:t>
      </w:r>
      <w:r>
        <w:t xml:space="preserve"> </w:t>
      </w:r>
      <w:r>
        <w:t xml:space="preserve">example through carefully performed mixing experiments, but these often do not</w:t>
      </w:r>
      <w:r>
        <w:t xml:space="preserve"> </w:t>
      </w:r>
      <w:r>
        <w:t xml:space="preserve">capture the true biological complexity. In many cases the most effective way to</w:t>
      </w:r>
      <w:r>
        <w:t xml:space="preserve"> </w:t>
      </w:r>
      <w:r>
        <w:t xml:space="preserve">evaluate an analysis method is by testing it on a simulated datasets.</w:t>
      </w:r>
      <w:r>
        <w:t xml:space="preserve"> </w:t>
      </w:r>
      <w:r>
        <w:t xml:space="preserve">Simulations have the additional advantage of relatively cheap and easy to</w:t>
      </w:r>
      <w:r>
        <w:t xml:space="preserve"> </w:t>
      </w:r>
      <w:r>
        <w:t xml:space="preserve">produce allowing exploration of a wide range of possible parameters. This is</w:t>
      </w:r>
      <w:r>
        <w:t xml:space="preserve"> </w:t>
      </w:r>
      <w:r>
        <w:t xml:space="preserve">the approach taken by many early methods for scRNA-seq analysis but often the</w:t>
      </w:r>
      <w:r>
        <w:t xml:space="preserve"> </w:t>
      </w:r>
      <w:r>
        <w:t xml:space="preserve">simulations they used where not well explained, code for reproducing them was</w:t>
      </w:r>
      <w:r>
        <w:t xml:space="preserve"> </w:t>
      </w:r>
      <w:r>
        <w:t xml:space="preserve">not available and perhaps most importantly they didn’t show that the synthetic</w:t>
      </w:r>
      <w:r>
        <w:t xml:space="preserve"> </w:t>
      </w:r>
      <w:r>
        <w:t xml:space="preserve">datasets were similar to real scRNA-seq data.</w:t>
      </w:r>
    </w:p>
    <w:p>
      <w:pPr>
        <w:pStyle w:val="BodyText"/>
      </w:pPr>
      <w:r>
        <w:t xml:space="preserve">This chapter presents Splatter, a software package for simulating scRNA-seq</w:t>
      </w:r>
      <w:r>
        <w:t xml:space="preserve"> </w:t>
      </w:r>
      <w:r>
        <w:t xml:space="preserve">datasets presented in a publication in</w:t>
      </w:r>
      <w:r>
        <w:t xml:space="preserve"> </w:t>
      </w:r>
      <w:r>
        <w:rPr>
          <w:i/>
        </w:rPr>
        <w:t xml:space="preserve">Genome Biology</w:t>
      </w:r>
      <w:r>
        <w:t xml:space="preserve">. Splatter is designed to</w:t>
      </w:r>
      <w:r>
        <w:t xml:space="preserve"> </w:t>
      </w:r>
      <w:r>
        <w:t xml:space="preserve">provide a consistent, easy-to-use interface for multiple scRNA-seq simulation</w:t>
      </w:r>
      <w:r>
        <w:t xml:space="preserve"> </w:t>
      </w:r>
      <w:r>
        <w:t xml:space="preserve">models previously used to develop analysis tools. We do this by providing two</w:t>
      </w:r>
      <w:r>
        <w:t xml:space="preserve"> </w:t>
      </w:r>
      <w:r>
        <w:t xml:space="preserve">functions for each model, one which estimates parameters from a real dataset</w:t>
      </w:r>
      <w:r>
        <w:t xml:space="preserve"> </w:t>
      </w:r>
      <w:r>
        <w:t xml:space="preserve">and a second that generates a synthetic dataset using those parameters. Each</w:t>
      </w:r>
      <w:r>
        <w:t xml:space="preserve"> </w:t>
      </w:r>
      <w:r>
        <w:t xml:space="preserve">model has different assumptions and reproduces different aspects of scRNA-seq</w:t>
      </w:r>
      <w:r>
        <w:t xml:space="preserve"> </w:t>
      </w:r>
      <w:r>
        <w:t xml:space="preserve">data and we explain these differences in the paper. We also present Splat, our</w:t>
      </w:r>
      <w:r>
        <w:t xml:space="preserve"> </w:t>
      </w:r>
      <w:r>
        <w:t xml:space="preserve">own simulation model based on the Gamma-Poisson distribution. This model</w:t>
      </w:r>
      <w:r>
        <w:t xml:space="preserve"> </w:t>
      </w:r>
      <w:r>
        <w:t xml:space="preserve">includes several aspects of scRNA-seq data including highly expressed outliers</w:t>
      </w:r>
      <w:r>
        <w:t xml:space="preserve"> </w:t>
      </w:r>
      <w:r>
        <w:t xml:space="preserve">genes, differences in library sizes between cells a relationship between the</w:t>
      </w:r>
      <w:r>
        <w:t xml:space="preserve"> </w:t>
      </w:r>
      <w:r>
        <w:t xml:space="preserve">mean and the variance of each gene and the ability to add a dropout effect</w:t>
      </w:r>
      <w:r>
        <w:t xml:space="preserve"> </w:t>
      </w:r>
      <w:r>
        <w:t xml:space="preserve">linked to gene expression. When designing the Splat simulation our goal was to</w:t>
      </w:r>
      <w:r>
        <w:t xml:space="preserve"> </w:t>
      </w:r>
      <w:r>
        <w:t xml:space="preserve">reproduce scRNA-seq data as well as possible rather than test a specific method</w:t>
      </w:r>
      <w:r>
        <w:t xml:space="preserve"> </w:t>
      </w:r>
      <w:r>
        <w:t xml:space="preserve">with the result being that the model is highly flexible and able to generate a</w:t>
      </w:r>
      <w:r>
        <w:t xml:space="preserve"> </w:t>
      </w:r>
      <w:r>
        <w:t xml:space="preserve">range of scenarios including datasets with multiple groups of cells, batch</w:t>
      </w:r>
      <w:r>
        <w:t xml:space="preserve"> </w:t>
      </w:r>
      <w:r>
        <w:t xml:space="preserve">effects and continuous trajectories.</w:t>
      </w:r>
    </w:p>
    <w:p>
      <w:pPr>
        <w:pStyle w:val="BodyText"/>
      </w:pPr>
      <w:r>
        <w:t xml:space="preserve">In the paper we compare how well each simulations reproduces a range of</w:t>
      </w:r>
      <w:r>
        <w:t xml:space="preserve"> </w:t>
      </w:r>
      <w:r>
        <w:t xml:space="preserve">scRNA-seq datasets including UMI and full-length protocol, different capture</w:t>
      </w:r>
      <w:r>
        <w:t xml:space="preserve"> </w:t>
      </w:r>
      <w:r>
        <w:t xml:space="preserve">methods and homogenous and complex tissues. We found that the Splat simulation</w:t>
      </w:r>
      <w:r>
        <w:t xml:space="preserve"> </w:t>
      </w:r>
      <w:r>
        <w:t xml:space="preserve">was a good match for some of these simulations across a range of methods,</w:t>
      </w:r>
      <w:r>
        <w:t xml:space="preserve"> </w:t>
      </w:r>
      <w:r>
        <w:t xml:space="preserve">however it was also clear that some models more faithfully reproduced different</w:t>
      </w:r>
      <w:r>
        <w:t xml:space="preserve"> </w:t>
      </w:r>
      <w:r>
        <w:t xml:space="preserve">aspects of the data, particularly for datasets from different sources. The</w:t>
      </w:r>
      <w:r>
        <w:t xml:space="preserve"> </w:t>
      </w:r>
      <w:r>
        <w:t xml:space="preserve">Splatter R package is available for download from Bioconductor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https://bioconductor.org/packages/splatter</w:t>
        </w:r>
      </w:hyperlink>
      <w:r>
        <w:t xml:space="preserve">).</w:t>
      </w:r>
    </w:p>
    <w:p>
      <w:pPr>
        <w:pStyle w:val="Heading2"/>
      </w:pPr>
      <w:bookmarkStart w:id="60" w:name="splatter-publication"/>
      <w:r>
        <w:t xml:space="preserve">Splatter publication</w:t>
      </w:r>
      <w:bookmarkEnd w:id="60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6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62" w:name="visualising-clustering-across-resolutions"/>
      <w:r>
        <w:t xml:space="preserve">Visualising clustering across resolutions</w:t>
      </w:r>
      <w:bookmarkEnd w:id="62"/>
    </w:p>
    <w:p>
      <w:pPr>
        <w:pStyle w:val="Heading2"/>
      </w:pPr>
      <w:bookmarkStart w:id="63" w:name="introduction-3"/>
      <w:r>
        <w:t xml:space="preserve">Introduction</w:t>
      </w:r>
      <w:bookmarkEnd w:id="63"/>
    </w:p>
    <w:p>
      <w:pPr>
        <w:pStyle w:val="FirstParagraph"/>
      </w:pPr>
      <w:r>
        <w:t xml:space="preserve">Clustering of cells to form groups is a common task when analysing scRNA-seq</w:t>
      </w:r>
      <w:r>
        <w:t xml:space="preserve"> </w:t>
      </w:r>
      <w:r>
        <w:t xml:space="preserve">data that is not required for bulk RNA-seq experiments and one that has</w:t>
      </w:r>
      <w:r>
        <w:t xml:space="preserve"> </w:t>
      </w:r>
      <w:r>
        <w:t xml:space="preserve">received a lot of attention from analysis methods developers. The need to group</w:t>
      </w:r>
      <w:r>
        <w:t xml:space="preserve"> </w:t>
      </w:r>
      <w:r>
        <w:t xml:space="preserve">samples is not unique to genomic data and clustering techniques are used in</w:t>
      </w:r>
      <w:r>
        <w:t xml:space="preserve"> </w:t>
      </w:r>
      <w:r>
        <w:t xml:space="preserve">many other fields for a wide variety of purposes. Whatever kind of data you are</w:t>
      </w:r>
      <w:r>
        <w:t xml:space="preserve"> </w:t>
      </w:r>
      <w:r>
        <w:t xml:space="preserve">interested in and whatever clustering method is being used a question that</w:t>
      </w:r>
      <w:r>
        <w:t xml:space="preserve"> </w:t>
      </w:r>
      <w:r>
        <w:t xml:space="preserve">commonly comes up is how many clusters do we want to have? This can be</w:t>
      </w:r>
      <w:r>
        <w:t xml:space="preserve"> </w:t>
      </w:r>
      <w:r>
        <w:t xml:space="preserve">controlled by setting an exact value, changing a parameter that indirectly</w:t>
      </w:r>
      <w:r>
        <w:t xml:space="preserve"> </w:t>
      </w:r>
      <w:r>
        <w:t xml:space="preserve">controls the clustering resolution or affected by the values of other</w:t>
      </w:r>
      <w:r>
        <w:t xml:space="preserve"> </w:t>
      </w:r>
      <w:r>
        <w:t xml:space="preserve">parameters and the number of clusters that are used can often have a profound</w:t>
      </w:r>
      <w:r>
        <w:t xml:space="preserve"> </w:t>
      </w:r>
      <w:r>
        <w:t xml:space="preserve">affect on how the results are interpreted. Existing measures of clustering</w:t>
      </w:r>
      <w:r>
        <w:t xml:space="preserve"> </w:t>
      </w:r>
      <w:r>
        <w:t xml:space="preserve">typically only consider a single clustering resolution at a time or require</w:t>
      </w:r>
      <w:r>
        <w:t xml:space="preserve"> </w:t>
      </w:r>
      <w:r>
        <w:t xml:space="preserve">multiple rounds or permutations and clustering which can be infeasible for large</w:t>
      </w:r>
      <w:r>
        <w:t xml:space="preserve"> </w:t>
      </w:r>
      <w:r>
        <w:t xml:space="preserve">datasets. In this chapter I propose an alternative visualisation-based aid for</w:t>
      </w:r>
      <w:r>
        <w:t xml:space="preserve"> </w:t>
      </w:r>
      <w:r>
        <w:t xml:space="preserve">deciding which clustering resolution to use.</w:t>
      </w:r>
    </w:p>
    <w:p>
      <w:pPr>
        <w:pStyle w:val="BodyText"/>
      </w:pPr>
      <w:r>
        <w:t xml:space="preserve">Clusterings of the same dataset at different resolutions are often related and</w:t>
      </w:r>
      <w:r>
        <w:t xml:space="preserve"> </w:t>
      </w:r>
      <w:r>
        <w:t xml:space="preserve">it is common for new clusters formed at higher resolutions to be formed by</w:t>
      </w:r>
      <w:r>
        <w:t xml:space="preserve"> </w:t>
      </w:r>
      <w:r>
        <w:t xml:space="preserve">splitting existing clusters. However when comparing clusterings it is not</w:t>
      </w:r>
      <w:r>
        <w:t xml:space="preserve"> </w:t>
      </w:r>
      <w:r>
        <w:t xml:space="preserve">always clear what those relationships are and how significant they might be.</w:t>
      </w:r>
      <w:r>
        <w:t xml:space="preserve"> </w:t>
      </w:r>
      <w:r>
        <w:t xml:space="preserve">The method I describe here was published in</w:t>
      </w:r>
      <w:r>
        <w:t xml:space="preserve"> </w:t>
      </w:r>
      <w:r>
        <w:rPr>
          <w:i/>
        </w:rPr>
        <w:t xml:space="preserve">GigaScience</w:t>
      </w:r>
      <w:r>
        <w:t xml:space="preserve"> </w:t>
      </w:r>
      <w:r>
        <w:t xml:space="preserve">and suggests</w:t>
      </w:r>
      <w:r>
        <w:t xml:space="preserve"> </w:t>
      </w:r>
      <w:r>
        <w:t xml:space="preserve">clustering datasets at multiple resolutions then considering the overlap in</w:t>
      </w:r>
      <w:r>
        <w:t xml:space="preserve"> </w:t>
      </w:r>
      <w:r>
        <w:t xml:space="preserve">samples at neighbouring resolutions. By doing this we can build a graph</w:t>
      </w:r>
      <w:r>
        <w:t xml:space="preserve"> </w:t>
      </w:r>
      <w:r>
        <w:t xml:space="preserve">structure we call a</w:t>
      </w:r>
      <w:r>
        <w:t xml:space="preserve"> </w:t>
      </w:r>
      <w:r>
        <w:t xml:space="preserve">“</w:t>
      </w:r>
      <w:r>
        <w:t xml:space="preserve">clustering tree</w:t>
      </w:r>
      <w:r>
        <w:t xml:space="preserve">”</w:t>
      </w:r>
      <w:r>
        <w:t xml:space="preserve">. Visualising this tree allows us to see</w:t>
      </w:r>
      <w:r>
        <w:t xml:space="preserve"> </w:t>
      </w:r>
      <w:r>
        <w:t xml:space="preserve">where new clusters form, how they are related and the stability of particular</w:t>
      </w:r>
      <w:r>
        <w:t xml:space="preserve"> </w:t>
      </w:r>
      <w:r>
        <w:t xml:space="preserve">clustering resolutions. In the paper we demonstrate this approach using</w:t>
      </w:r>
      <w:r>
        <w:t xml:space="preserve"> </w:t>
      </w:r>
      <w:r>
        <w:t xml:space="preserve">simulated datasets, a simple dataset commonly used as an example for machine</w:t>
      </w:r>
      <w:r>
        <w:t xml:space="preserve"> </w:t>
      </w:r>
      <w:r>
        <w:t xml:space="preserve">learning techniques and a complex scRNA-seq dataset from blood.</w:t>
      </w:r>
    </w:p>
    <w:p>
      <w:pPr>
        <w:pStyle w:val="BodyText"/>
      </w:pPr>
      <w:r>
        <w:t xml:space="preserve">While the structure of clustering trees can help choose a clustering</w:t>
      </w:r>
      <w:r>
        <w:t xml:space="preserve"> </w:t>
      </w:r>
      <w:r>
        <w:t xml:space="preserve">resolutions to use they are more generally a compact, information dense</w:t>
      </w:r>
      <w:r>
        <w:t xml:space="preserve"> </w:t>
      </w:r>
      <w:r>
        <w:t xml:space="preserve">visualisation that can show information across clustering resolutions. This is</w:t>
      </w:r>
      <w:r>
        <w:t xml:space="preserve"> </w:t>
      </w:r>
      <w:r>
        <w:t xml:space="preserve">something that is not possible with traditional visualisations used for</w:t>
      </w:r>
      <w:r>
        <w:t xml:space="preserve"> </w:t>
      </w:r>
      <w:r>
        <w:t xml:space="preserve">clustering results such as t-SNE projections and is achieved by trading</w:t>
      </w:r>
      <w:r>
        <w:t xml:space="preserve"> </w:t>
      </w:r>
      <w:r>
        <w:t xml:space="preserve">individual information about each sample for summarised information about</w:t>
      </w:r>
      <w:r>
        <w:t xml:space="preserve"> </w:t>
      </w:r>
      <w:r>
        <w:t xml:space="preserve">clusters and adding a resolution dimension. Overlaying important domain</w:t>
      </w:r>
      <w:r>
        <w:t xml:space="preserve"> </w:t>
      </w:r>
      <w:r>
        <w:t xml:space="preserve">knowledge (such as the expression of known marker genes) onto these</w:t>
      </w:r>
      <w:r>
        <w:t xml:space="preserve"> </w:t>
      </w:r>
      <w:r>
        <w:t xml:space="preserve">visualisations can be particularly informative and we also demonstrate this in</w:t>
      </w:r>
      <w:r>
        <w:t xml:space="preserve"> </w:t>
      </w:r>
      <w:r>
        <w:t xml:space="preserve">our paper.</w:t>
      </w:r>
    </w:p>
    <w:p>
      <w:pPr>
        <w:pStyle w:val="BodyText"/>
      </w:pPr>
      <w:r>
        <w:t xml:space="preserve">Clustering trees can be produced using the clustree R package which is built on</w:t>
      </w:r>
      <w:r>
        <w:t xml:space="preserve"> </w:t>
      </w:r>
      <w:r>
        <w:t xml:space="preserve">the tidygraph and ggraph packages and is available from CRAN</w:t>
      </w:r>
      <w:r>
        <w:t xml:space="preserve"> </w:t>
      </w:r>
      <w:r>
        <w:t xml:space="preserve">(</w:t>
      </w:r>
      <w:hyperlink r:id="rId64">
        <w:r>
          <w:rPr>
            <w:rStyle w:val="Hyperlink"/>
          </w:rPr>
          <w:t xml:space="preserve">https://cran.r-project.org/package=clustree</w:t>
        </w:r>
      </w:hyperlink>
      <w:r>
        <w:t xml:space="preserve">).</w:t>
      </w:r>
    </w:p>
    <w:p>
      <w:pPr>
        <w:pStyle w:val="Heading1"/>
      </w:pPr>
      <w:bookmarkStart w:id="65" w:name="analysis-of-kidney-organoid-scrna-seq-data"/>
      <w:r>
        <w:t xml:space="preserve">Analysis of kidney organoid scRNA-seq data</w:t>
      </w:r>
      <w:bookmarkEnd w:id="65"/>
    </w:p>
    <w:p>
      <w:pPr>
        <w:pStyle w:val="Heading1"/>
      </w:pPr>
      <w:bookmarkStart w:id="66" w:name="conclusion"/>
      <w:r>
        <w:t xml:space="preserve">Conclusion</w:t>
      </w:r>
      <w:bookmarkEnd w:id="66"/>
    </w:p>
    <w:p>
      <w:pPr>
        <w:pStyle w:val="Heading1"/>
      </w:pPr>
      <w:bookmarkStart w:id="67" w:name="references"/>
      <w:r>
        <w:t xml:space="preserve">References</w:t>
      </w:r>
      <w:bookmarkEnd w:id="67"/>
    </w:p>
    <w:bookmarkStart w:id="68" w:name="refs"/>
    <w:bookmarkEnd w:id="68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27e3f9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9341d4e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834dc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59" Target="https://bioconductor.org/packages/splatter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64" Target="https://cran.r-project.org/package=clustree" TargetMode="External" /><Relationship Type="http://schemas.openxmlformats.org/officeDocument/2006/relationships/hyperlink" Id="rId61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56" Target="https://scRNA-tool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s://bioconductor.org/packages/splatter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64" Target="https://cran.r-project.org/package=clustree" TargetMode="External" /><Relationship Type="http://schemas.openxmlformats.org/officeDocument/2006/relationships/hyperlink" Id="rId61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56" Target="https://scRNA-too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2018-11-25T04:07:04Z</dcterms:created>
  <dcterms:modified xsi:type="dcterms:W3CDTF">2018-11-25T04:07:04Z</dcterms:modified>
</cp:coreProperties>
</file>