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Compact"/>
        <w:numPr>
          <w:numId w:val="101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Compact"/>
        <w:numPr>
          <w:numId w:val="1014"/>
          <w:ilvl w:val="0"/>
        </w:numPr>
      </w:pPr>
      <w:r>
        <w:t xml:space="preserve">Tung?</w:t>
      </w:r>
    </w:p>
    <w:p>
      <w:pPr>
        <w:pStyle w:val="Compact"/>
        <w:numPr>
          <w:numId w:val="1014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Compact"/>
        <w:numPr>
          <w:numId w:val="1015"/>
          <w:ilvl w:val="0"/>
        </w:numPr>
      </w:pPr>
      <w:r>
        <w:t xml:space="preserve">Comparison</w:t>
      </w:r>
    </w:p>
    <w:p>
      <w:pPr>
        <w:pStyle w:val="Compact"/>
        <w:numPr>
          <w:numId w:val="1015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Compact"/>
        <w:numPr>
          <w:numId w:val="1016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19"/>
          <w:ilvl w:val="0"/>
        </w:numPr>
      </w:pPr>
      <w:r>
        <w:t xml:space="preserve">Variant detection</w:t>
      </w:r>
    </w:p>
    <w:p>
      <w:pPr>
        <w:pStyle w:val="Compact"/>
        <w:numPr>
          <w:numId w:val="1019"/>
          <w:ilvl w:val="0"/>
        </w:numPr>
      </w:pPr>
      <w:r>
        <w:t xml:space="preserve">Cancer</w:t>
      </w:r>
    </w:p>
    <w:p>
      <w:pPr>
        <w:pStyle w:val="Compact"/>
        <w:numPr>
          <w:numId w:val="1019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Kidney structure</w:t>
      </w:r>
    </w:p>
    <w:p>
      <w:pPr>
        <w:pStyle w:val="Compact"/>
        <w:numPr>
          <w:numId w:val="1020"/>
          <w:ilvl w:val="0"/>
        </w:numPr>
      </w:pPr>
      <w:r>
        <w:t xml:space="preserve">Nephron structure</w:t>
      </w:r>
    </w:p>
    <w:p>
      <w:pPr>
        <w:pStyle w:val="Compact"/>
        <w:numPr>
          <w:numId w:val="1020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Lineage</w:t>
      </w:r>
    </w:p>
    <w:p>
      <w:pPr>
        <w:pStyle w:val="Compact"/>
        <w:numPr>
          <w:numId w:val="1021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2"/>
          <w:ilvl w:val="0"/>
        </w:numPr>
      </w:pPr>
      <w:r>
        <w:t xml:space="preserve">Why?</w:t>
      </w:r>
    </w:p>
    <w:p>
      <w:pPr>
        <w:pStyle w:val="Compact"/>
        <w:numPr>
          <w:numId w:val="1023"/>
          <w:ilvl w:val="1"/>
        </w:numPr>
      </w:pPr>
      <w:r>
        <w:t xml:space="preserve">Disease modelling</w:t>
      </w:r>
    </w:p>
    <w:p>
      <w:pPr>
        <w:pStyle w:val="Compact"/>
        <w:numPr>
          <w:numId w:val="1022"/>
          <w:ilvl w:val="0"/>
        </w:numPr>
      </w:pPr>
      <w:r>
        <w:t xml:space="preserve">Protocol</w:t>
      </w:r>
    </w:p>
    <w:p>
      <w:pPr>
        <w:pStyle w:val="Compact"/>
        <w:numPr>
          <w:numId w:val="1022"/>
          <w:ilvl w:val="0"/>
        </w:numPr>
      </w:pPr>
      <w:r>
        <w:t xml:space="preserve">Growth factors</w:t>
      </w:r>
    </w:p>
    <w:p>
      <w:pPr>
        <w:pStyle w:val="Compact"/>
        <w:numPr>
          <w:numId w:val="1022"/>
          <w:ilvl w:val="0"/>
        </w:numPr>
      </w:pPr>
      <w:r>
        <w:t xml:space="preserve">Characterisation</w:t>
      </w:r>
    </w:p>
    <w:p>
      <w:pPr>
        <w:pStyle w:val="Compact"/>
        <w:numPr>
          <w:numId w:val="1022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b25526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9db3029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2a5ed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2018-11-24T04:11:27Z</dcterms:created>
  <dcterms:modified xsi:type="dcterms:W3CDTF">2018-11-24T04:11:27Z</dcterms:modified>
</cp:coreProperties>
</file>