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2"/>
          <w:ilvl w:val="0"/>
        </w:numPr>
      </w:pPr>
      <w:r>
        <w:t xml:space="preserve">Why RNA-seq?</w:t>
      </w:r>
    </w:p>
    <w:p>
      <w:pPr>
        <w:pStyle w:val="Heading3"/>
      </w:pPr>
      <w:bookmarkStart w:id="35" w:name="capture-and-reverse-transcription"/>
      <w:r>
        <w:t xml:space="preserve">Capture and reverse transcription</w:t>
      </w:r>
      <w:bookmarkEnd w:id="35"/>
    </w:p>
    <w:p>
      <w:pPr>
        <w:pStyle w:val="Compact"/>
        <w:numPr>
          <w:numId w:val="1003"/>
          <w:ilvl w:val="0"/>
        </w:numPr>
      </w:pPr>
      <w:r>
        <w:t xml:space="preserve">PolyA capture</w:t>
      </w:r>
    </w:p>
    <w:p>
      <w:pPr>
        <w:pStyle w:val="Compact"/>
        <w:numPr>
          <w:numId w:val="1003"/>
          <w:ilvl w:val="0"/>
        </w:numPr>
      </w:pPr>
      <w:r>
        <w:t xml:space="preserve">Ribosomal depletion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4"/>
          <w:ilvl w:val="0"/>
        </w:numPr>
      </w:pPr>
      <w:r>
        <w:t xml:space="preserve">Illumina sequencing</w:t>
      </w:r>
    </w:p>
    <w:p>
      <w:pPr>
        <w:pStyle w:val="Compact"/>
        <w:numPr>
          <w:numId w:val="1005"/>
          <w:ilvl w:val="1"/>
        </w:numPr>
      </w:pPr>
      <w:r>
        <w:t xml:space="preserve">Sequence by synthesis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06"/>
          <w:ilvl w:val="0"/>
        </w:numPr>
      </w:pPr>
      <w:r>
        <w:t xml:space="preserve">Experimental design</w:t>
      </w:r>
    </w:p>
    <w:p>
      <w:pPr>
        <w:pStyle w:val="Compact"/>
        <w:numPr>
          <w:numId w:val="1006"/>
          <w:ilvl w:val="0"/>
        </w:numPr>
      </w:pPr>
      <w:r>
        <w:t xml:space="preserve">Negative binomial</w:t>
      </w:r>
    </w:p>
    <w:p>
      <w:pPr>
        <w:pStyle w:val="Compact"/>
        <w:numPr>
          <w:numId w:val="1006"/>
          <w:ilvl w:val="0"/>
        </w:numPr>
      </w:pPr>
      <w:r>
        <w:t xml:space="preserve">Normalisation</w:t>
      </w:r>
    </w:p>
    <w:p>
      <w:pPr>
        <w:pStyle w:val="Compact"/>
        <w:numPr>
          <w:numId w:val="1006"/>
          <w:ilvl w:val="0"/>
        </w:numPr>
      </w:pPr>
      <w:r>
        <w:t xml:space="preserve">Differential expression testing</w:t>
      </w:r>
    </w:p>
    <w:p>
      <w:pPr>
        <w:pStyle w:val="Heading2"/>
      </w:pPr>
      <w:bookmarkStart w:id="38" w:name="single-cell-capture-technologies"/>
      <w:r>
        <w:t xml:space="preserve">Single-cell capture technologies</w:t>
      </w:r>
      <w:bookmarkEnd w:id="38"/>
    </w:p>
    <w:p>
      <w:pPr>
        <w:pStyle w:val="Compact"/>
        <w:numPr>
          <w:numId w:val="1007"/>
          <w:ilvl w:val="0"/>
        </w:numPr>
      </w:pPr>
      <w:r>
        <w:t xml:space="preserve">First protocol</w:t>
      </w:r>
    </w:p>
    <w:p>
      <w:pPr>
        <w:pStyle w:val="Compact"/>
        <w:numPr>
          <w:numId w:val="1007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39" w:name="droplet-based-cell-capture"/>
      <w:r>
        <w:t xml:space="preserve">Droplet based cell capture</w:t>
      </w:r>
      <w:bookmarkEnd w:id="39"/>
    </w:p>
    <w:p>
      <w:pPr>
        <w:pStyle w:val="Compact"/>
        <w:numPr>
          <w:numId w:val="1008"/>
          <w:ilvl w:val="0"/>
        </w:numPr>
      </w:pPr>
      <w:r>
        <w:t xml:space="preserve">Drop-seq</w:t>
      </w:r>
    </w:p>
    <w:p>
      <w:pPr>
        <w:pStyle w:val="Compact"/>
        <w:numPr>
          <w:numId w:val="1008"/>
          <w:ilvl w:val="0"/>
        </w:numPr>
      </w:pPr>
      <w:r>
        <w:t xml:space="preserve">Indrop</w:t>
      </w:r>
    </w:p>
    <w:p>
      <w:pPr>
        <w:pStyle w:val="Compact"/>
        <w:numPr>
          <w:numId w:val="1008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0" w:name="unique-molecular-identifiers"/>
      <w:r>
        <w:t xml:space="preserve">Unique Molecular Identifiers</w:t>
      </w:r>
      <w:bookmarkEnd w:id="40"/>
    </w:p>
    <w:p>
      <w:pPr>
        <w:pStyle w:val="Compact"/>
        <w:numPr>
          <w:numId w:val="1009"/>
          <w:ilvl w:val="0"/>
        </w:numPr>
      </w:pPr>
      <w:r>
        <w:t xml:space="preserve">Why?</w:t>
      </w:r>
    </w:p>
    <w:p>
      <w:pPr>
        <w:pStyle w:val="Compact"/>
        <w:numPr>
          <w:numId w:val="1009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 Statistical methods designed for full-length</w:t>
      </w:r>
      <w:r>
        <w:t xml:space="preserve"> </w:t>
      </w:r>
      <w:r>
        <w:t xml:space="preserve">data may also be affected by the difference properties of a UMI dataset.</w:t>
      </w:r>
      <w:r>
        <w:t xml:space="preserve"> </w:t>
      </w:r>
      <w:r>
        <w:t xml:space="preserve">Datasets with UMIs also need extra processing steps which can be complicated by</w:t>
      </w:r>
      <w:r>
        <w:t xml:space="preserve"> </w:t>
      </w:r>
      <w:r>
        <w:t xml:space="preserve">the possibility of sequencing errors in the UMI itself.</w:t>
      </w:r>
    </w:p>
    <w:p>
      <w:pPr>
        <w:pStyle w:val="Heading3"/>
      </w:pPr>
      <w:bookmarkStart w:id="41" w:name="recent-advances"/>
      <w:r>
        <w:t xml:space="preserve">Recent advances</w:t>
      </w:r>
      <w:bookmarkEnd w:id="41"/>
    </w:p>
    <w:p>
      <w:pPr>
        <w:pStyle w:val="Compact"/>
        <w:numPr>
          <w:numId w:val="1010"/>
          <w:ilvl w:val="0"/>
        </w:numPr>
      </w:pPr>
      <w:r>
        <w:t xml:space="preserve">New capture methods</w:t>
      </w:r>
    </w:p>
    <w:p>
      <w:pPr>
        <w:pStyle w:val="Compact"/>
        <w:numPr>
          <w:numId w:val="1010"/>
          <w:ilvl w:val="0"/>
        </w:numPr>
      </w:pPr>
      <w:r>
        <w:t xml:space="preserve">CITE-seq</w:t>
      </w:r>
    </w:p>
    <w:p>
      <w:pPr>
        <w:pStyle w:val="Compact"/>
        <w:numPr>
          <w:numId w:val="1010"/>
          <w:ilvl w:val="0"/>
        </w:numPr>
      </w:pPr>
      <w:r>
        <w:t xml:space="preserve">Cell hashing</w:t>
      </w:r>
    </w:p>
    <w:p>
      <w:pPr>
        <w:pStyle w:val="Compact"/>
        <w:numPr>
          <w:numId w:val="1010"/>
          <w:ilvl w:val="0"/>
        </w:numPr>
      </w:pPr>
      <w:r>
        <w:t xml:space="preserve">CRISPR</w:t>
      </w:r>
    </w:p>
    <w:p>
      <w:pPr>
        <w:pStyle w:val="Compact"/>
        <w:numPr>
          <w:numId w:val="1010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2" w:name="features-of-single-cell-rna-seq-data"/>
      <w:r>
        <w:t xml:space="preserve">Features of single-cell RNA-seq data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Why use single-cell?</w:t>
      </w:r>
    </w:p>
    <w:p>
      <w:pPr>
        <w:pStyle w:val="Compact"/>
        <w:numPr>
          <w:numId w:val="1011"/>
          <w:ilvl w:val="0"/>
        </w:numPr>
      </w:pPr>
      <w:r>
        <w:t xml:space="preserve">Low counts</w:t>
      </w:r>
    </w:p>
    <w:p>
      <w:pPr>
        <w:pStyle w:val="Compact"/>
        <w:numPr>
          <w:numId w:val="1012"/>
          <w:ilvl w:val="1"/>
        </w:numPr>
      </w:pPr>
      <w:r>
        <w:t xml:space="preserve">Dropout</w:t>
      </w:r>
    </w:p>
    <w:p>
      <w:pPr>
        <w:pStyle w:val="Compact"/>
        <w:numPr>
          <w:numId w:val="1012"/>
          <w:ilvl w:val="1"/>
        </w:numPr>
      </w:pPr>
      <w:r>
        <w:t xml:space="preserve">Bursting</w:t>
      </w:r>
    </w:p>
    <w:p>
      <w:pPr>
        <w:pStyle w:val="Compact"/>
        <w:numPr>
          <w:numId w:val="1012"/>
          <w:ilvl w:val="1"/>
        </w:numPr>
      </w:pPr>
      <w:r>
        <w:t xml:space="preserve">Biology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SourceCode"/>
      </w:pPr>
      <w:r>
        <w:rPr>
          <w:rStyle w:val="VerbatimChar"/>
        </w:rPr>
        <w:t xml:space="preserve">Single-cell RNA-seq technologies have developed rapidly but there are still a</w:t>
      </w:r>
      <w:r>
        <w:br w:type="textWrapping"/>
      </w:r>
      <w:r>
        <w:rPr>
          <w:rStyle w:val="VerbatimChar"/>
        </w:rPr>
        <w:t xml:space="preserve">number of challenges. Existing protocols are inefficient, capturing only around</w:t>
      </w:r>
      <w:r>
        <w:br w:type="textWrapping"/>
      </w:r>
      <w:r>
        <w:rPr>
          <w:rStyle w:val="VerbatimChar"/>
        </w:rPr>
        <w:t xml:space="preserve">10 percent of transcripts in a cell[@Grun2014-zn]. Combined with the relatively</w:t>
      </w:r>
      <w:r>
        <w:br w:type="textWrapping"/>
      </w:r>
      <w:r>
        <w:rPr>
          <w:rStyle w:val="VerbatimChar"/>
        </w:rPr>
        <w:t xml:space="preserve">low sequencing depth that is commonly used, this results in a limited</w:t>
      </w:r>
      <w:r>
        <w:br w:type="textWrapping"/>
      </w:r>
      <w:r>
        <w:rPr>
          <w:rStyle w:val="VerbatimChar"/>
        </w:rPr>
        <w:t xml:space="preserve">sensitivity and an inability to reliably detect lowly expressed transcripts. The</w:t>
      </w:r>
      <w:r>
        <w:br w:type="textWrapping"/>
      </w:r>
      <w:r>
        <w:rPr>
          <w:rStyle w:val="VerbatimChar"/>
        </w:rPr>
        <w:t xml:space="preserve">small amount of starting material also contributes to high levels of technical</w:t>
      </w:r>
      <w:r>
        <w:br w:type="textWrapping"/>
      </w:r>
      <w:r>
        <w:rPr>
          <w:rStyle w:val="VerbatimChar"/>
        </w:rPr>
        <w:t xml:space="preserve">noise, complicating downstream analysis and making it difficult to detect</w:t>
      </w:r>
      <w:r>
        <w:br w:type="textWrapping"/>
      </w:r>
      <w:r>
        <w:rPr>
          <w:rStyle w:val="VerbatimChar"/>
        </w:rPr>
        <w:t xml:space="preserve">biological differences[@Liu2016-wq]. All high-throughput scRNA-seq protocols and</w:t>
      </w:r>
      <w:r>
        <w:br w:type="textWrapping"/>
      </w:r>
      <w:r>
        <w:rPr>
          <w:rStyle w:val="VerbatimChar"/>
        </w:rPr>
        <w:t xml:space="preserve">platforms require tissues to be dissociated into single-cell suspensions before</w:t>
      </w:r>
      <w:r>
        <w:br w:type="textWrapping"/>
      </w:r>
      <w:r>
        <w:rPr>
          <w:rStyle w:val="VerbatimChar"/>
        </w:rPr>
        <w:t xml:space="preserve">capture. This step can be non-trivial. Some tissues or cell types may not</w:t>
      </w:r>
      <w:r>
        <w:br w:type="textWrapping"/>
      </w:r>
      <w:r>
        <w:rPr>
          <w:rStyle w:val="VerbatimChar"/>
        </w:rPr>
        <w:t xml:space="preserve">readily separate and the treatments used to break them down may effect the</w:t>
      </w:r>
      <w:r>
        <w:br w:type="textWrapping"/>
      </w:r>
      <w:r>
        <w:rPr>
          <w:rStyle w:val="VerbatimChar"/>
        </w:rPr>
        <w:t xml:space="preserve">health of the cells and therefore their transcriptional profiles. Additionally,</w:t>
      </w:r>
      <w:r>
        <w:br w:type="textWrapping"/>
      </w:r>
      <w:r>
        <w:rPr>
          <w:rStyle w:val="VerbatimChar"/>
        </w:rPr>
        <w:t xml:space="preserve">some cell types may be too big or have other physical characteristics that</w:t>
      </w:r>
      <w:r>
        <w:br w:type="textWrapping"/>
      </w:r>
      <w:r>
        <w:rPr>
          <w:rStyle w:val="VerbatimChar"/>
        </w:rPr>
        <w:t xml:space="preserve">prevent them being captured using currect methods. Cells may also be damaged</w:t>
      </w:r>
      <w:r>
        <w:br w:type="textWrapping"/>
      </w:r>
      <w:r>
        <w:rPr>
          <w:rStyle w:val="VerbatimChar"/>
        </w:rPr>
        <w:t xml:space="preserve">during processing, or missing or multiple cells may have been sequenced, making</w:t>
      </w:r>
      <w:r>
        <w:br w:type="textWrapping"/>
      </w:r>
      <w:r>
        <w:rPr>
          <w:rStyle w:val="VerbatimChar"/>
        </w:rPr>
        <w:t xml:space="preserve">quality control an important consideration.</w:t>
      </w:r>
      <w:r>
        <w:br w:type="textWrapping"/>
      </w:r>
      <w:r>
        <w:br w:type="textWrapping"/>
      </w:r>
      <w:r>
        <w:rPr>
          <w:rStyle w:val="VerbatimChar"/>
        </w:rPr>
        <w:t xml:space="preserve">As well as introducing technical noise, the small amounts of starting material</w:t>
      </w:r>
      <w:r>
        <w:br w:type="textWrapping"/>
      </w:r>
      <w:r>
        <w:rPr>
          <w:rStyle w:val="VerbatimChar"/>
        </w:rPr>
        <w:t xml:space="preserve">and low sequencing depth mean there are many occasions  where there is no</w:t>
      </w:r>
      <w:r>
        <w:br w:type="textWrapping"/>
      </w:r>
      <w:r>
        <w:rPr>
          <w:rStyle w:val="VerbatimChar"/>
        </w:rPr>
        <w:t xml:space="preserve">measured expression for a particular gene in a particular cell. Some of these</w:t>
      </w:r>
      <w:r>
        <w:br w:type="textWrapping"/>
      </w:r>
      <w:r>
        <w:rPr>
          <w:rStyle w:val="VerbatimChar"/>
        </w:rPr>
        <w:t xml:space="preserve">zero counts are due to the biology we wish to study, for example we expect</w:t>
      </w:r>
      <w:r>
        <w:br w:type="textWrapping"/>
      </w:r>
      <w:r>
        <w:rPr>
          <w:rStyle w:val="VerbatimChar"/>
        </w:rPr>
        <w:t xml:space="preserve">different cell types to express different genes, but there are additional</w:t>
      </w:r>
      <w:r>
        <w:br w:type="textWrapping"/>
      </w:r>
      <w:r>
        <w:rPr>
          <w:rStyle w:val="VerbatimChar"/>
        </w:rPr>
        <w:t xml:space="preserve">biological factors such as the cell cycle, transcriptional bursting and</w:t>
      </w:r>
      <w:r>
        <w:br w:type="textWrapping"/>
      </w:r>
      <w:r>
        <w:rPr>
          <w:rStyle w:val="VerbatimChar"/>
        </w:rPr>
        <w:t xml:space="preserve">environmental interactions which cause genuine differences in expression between</w:t>
      </w:r>
      <w:r>
        <w:br w:type="textWrapping"/>
      </w:r>
      <w:r>
        <w:rPr>
          <w:rStyle w:val="VerbatimChar"/>
        </w:rPr>
        <w:t xml:space="preserve">cells performing the same function. On top on this are the technical effects</w:t>
      </w:r>
      <w:r>
        <w:br w:type="textWrapping"/>
      </w:r>
      <w:r>
        <w:rPr>
          <w:rStyle w:val="VerbatimChar"/>
        </w:rPr>
        <w:t xml:space="preserve">that have already been discussed including that  existing protocols may not</w:t>
      </w:r>
      <w:r>
        <w:br w:type="textWrapping"/>
      </w:r>
      <w:r>
        <w:rPr>
          <w:rStyle w:val="VerbatimChar"/>
        </w:rPr>
        <w:t xml:space="preserve">reliably capture all the RNA present, resulting in "dropout" events where a gene</w:t>
      </w:r>
      <w:r>
        <w:br w:type="textWrapping"/>
      </w:r>
      <w:r>
        <w:rPr>
          <w:rStyle w:val="VerbatimChar"/>
        </w:rPr>
        <w:t xml:space="preserve">is expressed in a sample but not observed in the sequencing data. These zeros</w:t>
      </w:r>
      <w:r>
        <w:br w:type="textWrapping"/>
      </w:r>
      <w:r>
        <w:rPr>
          <w:rStyle w:val="VerbatimChar"/>
        </w:rPr>
        <w:t xml:space="preserve">can make analysis difficult as methods must account for the missing information</w:t>
      </w:r>
      <w:r>
        <w:br w:type="textWrapping"/>
      </w:r>
      <w:r>
        <w:rPr>
          <w:rStyle w:val="VerbatimChar"/>
        </w:rPr>
        <w:t xml:space="preserve">and they may violate the assumptions of existing approaches. For example the</w:t>
      </w:r>
      <w:r>
        <w:br w:type="textWrapping"/>
      </w:r>
      <w:r>
        <w:rPr>
          <w:rStyle w:val="VerbatimChar"/>
        </w:rPr>
        <w:t xml:space="preserve">DEseq2 package[@Love2014-tw] has proven successful for detecting differential</w:t>
      </w:r>
      <w:r>
        <w:br w:type="textWrapping"/>
      </w:r>
      <w:r>
        <w:rPr>
          <w:rStyle w:val="VerbatimChar"/>
        </w:rPr>
        <w:t xml:space="preserve">expression in bulk RNA-seq but it relies on the presence of genes without any</w:t>
      </w:r>
      <w:r>
        <w:br w:type="textWrapping"/>
      </w:r>
      <w:r>
        <w:rPr>
          <w:rStyle w:val="VerbatimChar"/>
        </w:rPr>
        <w:t xml:space="preserve">zero counts, and therefore typically fails on scRNA-seq data. Examples of</w:t>
      </w:r>
      <w:r>
        <w:br w:type="textWrapping"/>
      </w:r>
      <w:r>
        <w:rPr>
          <w:rStyle w:val="VerbatimChar"/>
        </w:rPr>
        <w:t xml:space="preserve">scRNA-seq analysis packages that tackle this problem are Zero Inflated Factor</w:t>
      </w:r>
      <w:r>
        <w:br w:type="textWrapping"/>
      </w:r>
      <w:r>
        <w:rPr>
          <w:rStyle w:val="VerbatimChar"/>
        </w:rPr>
        <w:t xml:space="preserve">Analysis (ZIFA)[@Pierson2015-qp], which explicitly models dropout as it affects</w:t>
      </w:r>
      <w:r>
        <w:br w:type="textWrapping"/>
      </w:r>
      <w:r>
        <w:rPr>
          <w:rStyle w:val="VerbatimChar"/>
        </w:rPr>
        <w:t xml:space="preserve">dimensionality reduction, and Clustering through Imputation and Dimensionality</w:t>
      </w:r>
      <w:r>
        <w:br w:type="textWrapping"/>
      </w:r>
      <w:r>
        <w:rPr>
          <w:rStyle w:val="VerbatimChar"/>
        </w:rPr>
        <w:t xml:space="preserve">Reduction (CIDR)[@Lin2016-yu], which implicitly imputes zeros as it clusters</w:t>
      </w:r>
      <w:r>
        <w:br w:type="textWrapping"/>
      </w:r>
      <w:r>
        <w:rPr>
          <w:rStyle w:val="VerbatimChar"/>
        </w:rPr>
        <w:t xml:space="preserve">cells.</w:t>
      </w:r>
      <w:r>
        <w:br w:type="textWrapping"/>
      </w:r>
      <w:r>
        <w:br w:type="textWrapping"/>
      </w:r>
      <w:r>
        <w:rPr>
          <w:rStyle w:val="VerbatimChar"/>
        </w:rPr>
        <w:t xml:space="preserve">Bulk RNA-seq experiments are usually conducted on predefined groups of samples,</w:t>
      </w:r>
      <w:r>
        <w:br w:type="textWrapping"/>
      </w:r>
      <w:r>
        <w:rPr>
          <w:rStyle w:val="VerbatimChar"/>
        </w:rPr>
        <w:t xml:space="preserve">for example cancer cells and normal tissue, different tissue types or treated</w:t>
      </w:r>
      <w:r>
        <w:br w:type="textWrapping"/>
      </w:r>
      <w:r>
        <w:rPr>
          <w:rStyle w:val="VerbatimChar"/>
        </w:rPr>
        <w:t xml:space="preserve">and control cells. Some scRNA-seq experiments are done in a similar way where</w:t>
      </w:r>
      <w:r>
        <w:br w:type="textWrapping"/>
      </w:r>
      <w:r>
        <w:rPr>
          <w:rStyle w:val="VerbatimChar"/>
        </w:rPr>
        <w:t xml:space="preserve">cells are sorted into known types based on surface markers or selected at a</w:t>
      </w:r>
      <w:r>
        <w:br w:type="textWrapping"/>
      </w:r>
      <w:r>
        <w:rPr>
          <w:rStyle w:val="VerbatimChar"/>
        </w:rPr>
        <w:t xml:space="preserve">series of time points, but often they are more exploratory. Many of the current</w:t>
      </w:r>
      <w:r>
        <w:br w:type="textWrapping"/>
      </w:r>
      <w:r>
        <w:rPr>
          <w:rStyle w:val="VerbatimChar"/>
        </w:rPr>
        <w:t xml:space="preserve">studies have taken samples of developing or mature tissues and attempted to</w:t>
      </w:r>
      <w:r>
        <w:br w:type="textWrapping"/>
      </w:r>
      <w:r>
        <w:rPr>
          <w:rStyle w:val="VerbatimChar"/>
        </w:rPr>
        <w:t xml:space="preserve">identify what cell types are present[@Zeisel2015-rd; @Patel2014-bl;</w:t>
      </w:r>
      <w:r>
        <w:br w:type="textWrapping"/>
      </w:r>
      <w:r>
        <w:rPr>
          <w:rStyle w:val="VerbatimChar"/>
        </w:rPr>
        <w:t xml:space="preserve">@Treutlein2014-wd; @Usoskin2015-fz; @Buettner2015-rq; @Klein2015-iw;</w:t>
      </w:r>
      <w:r>
        <w:br w:type="textWrapping"/>
      </w:r>
      <w:r>
        <w:rPr>
          <w:rStyle w:val="VerbatimChar"/>
        </w:rPr>
        <w:t xml:space="preserve">@Trapnell2014-he]. This requires a new set of analysis techniques to be</w:t>
      </w:r>
      <w:r>
        <w:br w:type="textWrapping"/>
      </w:r>
      <w:r>
        <w:rPr>
          <w:rStyle w:val="VerbatimChar"/>
        </w:rPr>
        <w:t xml:space="preserve">developed which attempt to identify cell types. Success at this task is crucial</w:t>
      </w:r>
      <w:r>
        <w:br w:type="textWrapping"/>
      </w:r>
      <w:r>
        <w:rPr>
          <w:rStyle w:val="VerbatimChar"/>
        </w:rPr>
        <w:t xml:space="preserve">to the reliability of results from more developed analysis methods such as gene</w:t>
      </w:r>
      <w:r>
        <w:br w:type="textWrapping"/>
      </w:r>
      <w:r>
        <w:rPr>
          <w:rStyle w:val="VerbatimChar"/>
        </w:rPr>
        <w:t xml:space="preserve">testing. Additionally is it impossible to truly replicate an individual cell and</w:t>
      </w:r>
      <w:r>
        <w:br w:type="textWrapping"/>
      </w:r>
      <w:r>
        <w:rPr>
          <w:rStyle w:val="VerbatimChar"/>
        </w:rPr>
        <w:t xml:space="preserve">therefore thought must be given as to what constitutes a replicate for the</w:t>
      </w:r>
      <w:r>
        <w:br w:type="textWrapping"/>
      </w:r>
      <w:r>
        <w:rPr>
          <w:rStyle w:val="VerbatimChar"/>
        </w:rPr>
        <w:t xml:space="preserve">purposes of statistical analysis.</w:t>
      </w:r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3"/>
          <w:ilvl w:val="0"/>
        </w:numPr>
      </w:pPr>
      <w:r>
        <w:t xml:space="preserve">Alignment</w:t>
      </w:r>
    </w:p>
    <w:p>
      <w:pPr>
        <w:pStyle w:val="Compact"/>
        <w:numPr>
          <w:numId w:val="1013"/>
          <w:ilvl w:val="0"/>
        </w:numPr>
      </w:pPr>
      <w:r>
        <w:t xml:space="preserve">Droplet selection</w:t>
      </w:r>
    </w:p>
    <w:p>
      <w:pPr>
        <w:pStyle w:val="Compact"/>
        <w:numPr>
          <w:numId w:val="1013"/>
          <w:ilvl w:val="0"/>
        </w:numPr>
      </w:pPr>
      <w:r>
        <w:t xml:space="preserve">UMIs</w:t>
      </w:r>
    </w:p>
    <w:p>
      <w:pPr>
        <w:pStyle w:val="Compact"/>
        <w:numPr>
          <w:numId w:val="1013"/>
          <w:ilvl w:val="0"/>
        </w:numPr>
      </w:pPr>
      <w:r>
        <w:t xml:space="preserve">Doublet detection</w:t>
      </w:r>
    </w:p>
    <w:p>
      <w:pPr>
        <w:pStyle w:val="Compact"/>
        <w:numPr>
          <w:numId w:val="1013"/>
          <w:ilvl w:val="0"/>
        </w:numPr>
      </w:pPr>
      <w:r>
        <w:t xml:space="preserve">Bad cells</w:t>
      </w:r>
    </w:p>
    <w:p>
      <w:pPr>
        <w:pStyle w:val="Compact"/>
        <w:numPr>
          <w:numId w:val="1013"/>
          <w:ilvl w:val="0"/>
        </w:numPr>
      </w:pPr>
      <w:r>
        <w:t xml:space="preserve">Gene filtering</w:t>
      </w:r>
    </w:p>
    <w:p>
      <w:pPr>
        <w:pStyle w:val="Compact"/>
        <w:numPr>
          <w:numId w:val="1013"/>
          <w:ilvl w:val="0"/>
        </w:numPr>
      </w:pPr>
      <w:r>
        <w:t xml:space="preserve">Cell ranger</w:t>
      </w:r>
    </w:p>
    <w:p>
      <w:pPr>
        <w:pStyle w:val="Compact"/>
        <w:numPr>
          <w:numId w:val="1013"/>
          <w:ilvl w:val="0"/>
        </w:numPr>
      </w:pPr>
      <w:r>
        <w:t xml:space="preserve">scater</w:t>
      </w:r>
    </w:p>
    <w:p>
      <w:pPr>
        <w:pStyle w:val="SourceCode"/>
      </w:pPr>
      <w:r>
        <w:rPr>
          <w:rStyle w:val="VerbatimChar"/>
        </w:rPr>
        <w:t xml:space="preserve">As scRNA-seq data has become available there has been a rapid development of new</w:t>
      </w:r>
      <w:r>
        <w:br w:type="textWrapping"/>
      </w:r>
      <w:r>
        <w:rPr>
          <w:rStyle w:val="VerbatimChar"/>
        </w:rPr>
        <w:t xml:space="preserve">bioinformatics tools attempting to unlock its potential. Currently there are at</w:t>
      </w:r>
      <w:r>
        <w:br w:type="textWrapping"/>
      </w:r>
      <w:r>
        <w:rPr>
          <w:rStyle w:val="VerbatimChar"/>
        </w:rPr>
        <w:t xml:space="preserve">least 80 available software packages that have been designed specifically for</w:t>
      </w:r>
      <w:r>
        <w:br w:type="textWrapping"/>
      </w:r>
      <w:r>
        <w:rPr>
          <w:rStyle w:val="VerbatimChar"/>
        </w:rPr>
        <w:t xml:space="preserve">the analysis of scRNA-seq data, the majority of which have been published in</w:t>
      </w:r>
      <w:r>
        <w:br w:type="textWrapping"/>
      </w:r>
      <w:r>
        <w:rPr>
          <w:rStyle w:val="VerbatimChar"/>
        </w:rPr>
        <w:t xml:space="preserve">peer-reviewed journals or as preprints. A table of scRNA-seq software is</w:t>
      </w:r>
      <w:r>
        <w:br w:type="textWrapping"/>
      </w:r>
      <w:r>
        <w:rPr>
          <w:rStyle w:val="VerbatimChar"/>
        </w:rPr>
        <w:t xml:space="preserve">available at [https://goo.gl/4wcVwn](). Prior to analysis the sequencing reads</w:t>
      </w:r>
      <w:r>
        <w:br w:type="textWrapping"/>
      </w:r>
      <w:r>
        <w:rPr>
          <w:rStyle w:val="VerbatimChar"/>
        </w:rPr>
        <w:t xml:space="preserve">from an scRNA-seq experiment are processed in much the same way as a bulk</w:t>
      </w:r>
      <w:r>
        <w:br w:type="textWrapping"/>
      </w:r>
      <w:r>
        <w:rPr>
          <w:rStyle w:val="VerbatimChar"/>
        </w:rPr>
        <w:t xml:space="preserve">experiment. Typically there is some quality control of the raw reads, reads are</w:t>
      </w:r>
      <w:r>
        <w:br w:type="textWrapping"/>
      </w:r>
      <w:r>
        <w:rPr>
          <w:rStyle w:val="VerbatimChar"/>
        </w:rPr>
        <w:t xml:space="preserve">aligned to a reference genome and the number of reads overlapping annotated</w:t>
      </w:r>
      <w:r>
        <w:br w:type="textWrapping"/>
      </w:r>
      <w:r>
        <w:rPr>
          <w:rStyle w:val="VerbatimChar"/>
        </w:rPr>
        <w:t xml:space="preserve">features (genes or transcripts) is counted. Alternatively, for full-length</w:t>
      </w:r>
      <w:r>
        <w:br w:type="textWrapping"/>
      </w:r>
      <w:r>
        <w:rPr>
          <w:rStyle w:val="VerbatimChar"/>
        </w:rPr>
        <w:t xml:space="preserve">reads, probabilistic quantification methods such as kallisto[@Bray2016-tm] or</w:t>
      </w:r>
      <w:r>
        <w:br w:type="textWrapping"/>
      </w:r>
      <w:r>
        <w:rPr>
          <w:rStyle w:val="VerbatimChar"/>
        </w:rPr>
        <w:t xml:space="preserve">Salmon[@Patro2015-kl] can be used. These approaches can greatly  improve</w:t>
      </w:r>
      <w:r>
        <w:br w:type="textWrapping"/>
      </w:r>
      <w:r>
        <w:rPr>
          <w:rStyle w:val="VerbatimChar"/>
        </w:rPr>
        <w:t xml:space="preserve">processing time which is important when there may be tens of thousands of</w:t>
      </w:r>
      <w:r>
        <w:br w:type="textWrapping"/>
      </w:r>
      <w:r>
        <w:rPr>
          <w:rStyle w:val="VerbatimChar"/>
        </w:rPr>
        <w:t xml:space="preserve">samples but they are currently incompatible with UMI protocols. When using</w:t>
      </w:r>
      <w:r>
        <w:br w:type="textWrapping"/>
      </w:r>
      <w:r>
        <w:rPr>
          <w:rStyle w:val="VerbatimChar"/>
        </w:rPr>
        <w:t xml:space="preserve">conventional alignment UMI samples need extra processing with tools such as</w:t>
      </w:r>
      <w:r>
        <w:br w:type="textWrapping"/>
      </w:r>
      <w:r>
        <w:rPr>
          <w:rStyle w:val="VerbatimChar"/>
        </w:rPr>
        <w:t xml:space="preserve">UMI-tools[@Smith2016-bt] or umis[@Svensson2016-eg]. The resulting gene by cell</w:t>
      </w:r>
      <w:r>
        <w:br w:type="textWrapping"/>
      </w:r>
      <w:r>
        <w:rPr>
          <w:rStyle w:val="VerbatimChar"/>
        </w:rPr>
        <w:t xml:space="preserve">matrix of expression values is the starting point for most analysis.</w:t>
      </w:r>
      <w:r>
        <w:br w:type="textWrapping"/>
      </w:r>
      <w:r>
        <w:br w:type="textWrapping"/>
      </w:r>
      <w:r>
        <w:rPr>
          <w:rStyle w:val="VerbatimChar"/>
        </w:rPr>
        <w:t xml:space="preserve">Quality control of individual cells is important as most experiments will</w:t>
      </w:r>
      <w:r>
        <w:br w:type="textWrapping"/>
      </w:r>
      <w:r>
        <w:rPr>
          <w:rStyle w:val="VerbatimChar"/>
        </w:rPr>
        <w:t xml:space="preserve">contain some low-quality cells that could be uninformative or misleading.</w:t>
      </w:r>
      <w:r>
        <w:br w:type="textWrapping"/>
      </w:r>
      <w:r>
        <w:rPr>
          <w:rStyle w:val="VerbatimChar"/>
        </w:rPr>
        <w:t xml:space="preserve">Quality control can be performed on various levels: on the quality scores of the</w:t>
      </w:r>
      <w:r>
        <w:br w:type="textWrapping"/>
      </w:r>
      <w:r>
        <w:rPr>
          <w:rStyle w:val="VerbatimChar"/>
        </w:rPr>
        <w:t xml:space="preserve">reads themselves, how or where the reads align or features of the expression</w:t>
      </w:r>
      <w:r>
        <w:br w:type="textWrapping"/>
      </w:r>
      <w:r>
        <w:rPr>
          <w:rStyle w:val="VerbatimChar"/>
        </w:rPr>
        <w:t xml:space="preserve">matrix such as the total expression, expression of spike-ins or expression of</w:t>
      </w:r>
      <w:r>
        <w:br w:type="textWrapping"/>
      </w:r>
      <w:r>
        <w:rPr>
          <w:rStyle w:val="VerbatimChar"/>
        </w:rPr>
        <w:t xml:space="preserve">particular genes. The Cellity package attempts to do this by inspecting a series</w:t>
      </w:r>
      <w:r>
        <w:br w:type="textWrapping"/>
      </w:r>
      <w:r>
        <w:rPr>
          <w:rStyle w:val="VerbatimChar"/>
        </w:rPr>
        <w:t xml:space="preserve">of biological and technical features and using principal component analysis or</w:t>
      </w:r>
      <w:r>
        <w:br w:type="textWrapping"/>
      </w:r>
      <w:r>
        <w:rPr>
          <w:rStyle w:val="VerbatimChar"/>
        </w:rPr>
        <w:t xml:space="preserve">machine learning methods to distinguish between high and low-quality</w:t>
      </w:r>
      <w:r>
        <w:br w:type="textWrapping"/>
      </w:r>
      <w:r>
        <w:rPr>
          <w:rStyle w:val="VerbatimChar"/>
        </w:rPr>
        <w:t xml:space="preserve">cells[@Ilicic2016-wy]. However the authors found that many of the features were</w:t>
      </w:r>
      <w:r>
        <w:br w:type="textWrapping"/>
      </w:r>
      <w:r>
        <w:rPr>
          <w:rStyle w:val="VerbatimChar"/>
        </w:rPr>
        <w:t xml:space="preserve">cell type specific and more work needs to be done to make this approach more</w:t>
      </w:r>
      <w:r>
        <w:br w:type="textWrapping"/>
      </w:r>
      <w:r>
        <w:rPr>
          <w:rStyle w:val="VerbatimChar"/>
        </w:rPr>
        <w:t xml:space="preserve">generally applicable. Jiang, Thomson and Stewart take a different approach,</w:t>
      </w:r>
      <w:r>
        <w:br w:type="textWrapping"/>
      </w:r>
      <w:r>
        <w:rPr>
          <w:rStyle w:val="VerbatimChar"/>
        </w:rPr>
        <w:t xml:space="preserve">assuming that expression outliers are associated with poor sequencing</w:t>
      </w:r>
      <w:r>
        <w:br w:type="textWrapping"/>
      </w:r>
      <w:r>
        <w:rPr>
          <w:rStyle w:val="VerbatimChar"/>
        </w:rPr>
        <w:t xml:space="preserve">quality[@Jiang2016-ys]. The scater package[@McCarthy2016-cw] emphasises a more</w:t>
      </w:r>
      <w:r>
        <w:br w:type="textWrapping"/>
      </w:r>
      <w:r>
        <w:rPr>
          <w:rStyle w:val="VerbatimChar"/>
        </w:rPr>
        <w:t xml:space="preserve">exploratory approach to quality control. While it cannot automatically detect</w:t>
      </w:r>
      <w:r>
        <w:br w:type="textWrapping"/>
      </w:r>
      <w:r>
        <w:rPr>
          <w:rStyle w:val="VerbatimChar"/>
        </w:rPr>
        <w:t xml:space="preserve">low-quality cells, scater provides a convenient object for storing scRNA-seq</w:t>
      </w:r>
      <w:r>
        <w:br w:type="textWrapping"/>
      </w:r>
      <w:r>
        <w:rPr>
          <w:rStyle w:val="VerbatimChar"/>
        </w:rPr>
        <w:t xml:space="preserve">data with functions for plotting associated features, making it easy for the</w:t>
      </w:r>
      <w:r>
        <w:br w:type="textWrapping"/>
      </w:r>
      <w:r>
        <w:rPr>
          <w:rStyle w:val="VerbatimChar"/>
        </w:rPr>
        <w:t xml:space="preserve">user to define their own filtering thresholds. Plate-based platforms such as the</w:t>
      </w:r>
      <w:r>
        <w:br w:type="textWrapping"/>
      </w:r>
      <w:r>
        <w:rPr>
          <w:rStyle w:val="VerbatimChar"/>
        </w:rPr>
        <w:t xml:space="preserve">Fluidigm C1 can have additional biases based on the location of individual</w:t>
      </w:r>
      <w:r>
        <w:br w:type="textWrapping"/>
      </w:r>
      <w:r>
        <w:rPr>
          <w:rStyle w:val="VerbatimChar"/>
        </w:rPr>
        <w:t xml:space="preserve">wells. The OEFinder package attempts to identify and visualise these "ordering</w:t>
      </w:r>
      <w:r>
        <w:br w:type="textWrapping"/>
      </w:r>
      <w:r>
        <w:rPr>
          <w:rStyle w:val="VerbatimChar"/>
        </w:rPr>
        <w:t xml:space="preserve">effects"[@Leng2016-it].</w:t>
      </w:r>
    </w:p>
    <w:p>
      <w:pPr>
        <w:pStyle w:val="Heading3"/>
      </w:pPr>
      <w:bookmarkStart w:id="45" w:name="integrating-multiple-datasets"/>
      <w:r>
        <w:t xml:space="preserve">Integrating multiple datasets</w:t>
      </w:r>
      <w:bookmarkEnd w:id="45"/>
    </w:p>
    <w:p>
      <w:pPr>
        <w:pStyle w:val="Compact"/>
        <w:numPr>
          <w:numId w:val="1014"/>
          <w:ilvl w:val="0"/>
        </w:numPr>
      </w:pPr>
      <w:r>
        <w:t xml:space="preserve">Why?</w:t>
      </w:r>
    </w:p>
    <w:p>
      <w:pPr>
        <w:pStyle w:val="Compact"/>
        <w:numPr>
          <w:numId w:val="1014"/>
          <w:ilvl w:val="0"/>
        </w:numPr>
      </w:pPr>
      <w:r>
        <w:t xml:space="preserve">Seurat CCA</w:t>
      </w:r>
    </w:p>
    <w:p>
      <w:pPr>
        <w:pStyle w:val="Compact"/>
        <w:numPr>
          <w:numId w:val="1014"/>
          <w:ilvl w:val="0"/>
        </w:numPr>
      </w:pPr>
      <w:r>
        <w:t xml:space="preserve">New methods</w:t>
      </w:r>
    </w:p>
    <w:p>
      <w:pPr>
        <w:pStyle w:val="SourceCode"/>
      </w:pPr>
      <w:r>
        <w:rPr>
          <w:rStyle w:val="VerbatimChar"/>
        </w:rPr>
        <w:t xml:space="preserve">Technical variation is a known problem in high-throughput studies and Kim et al.</w:t>
      </w:r>
      <w:r>
        <w:br w:type="textWrapping"/>
      </w:r>
      <w:r>
        <w:rPr>
          <w:rStyle w:val="VerbatimChar"/>
        </w:rPr>
        <w:t xml:space="preserve">predict that only 17.8 percent of allele-specific expression is due to</w:t>
      </w:r>
      <w:r>
        <w:br w:type="textWrapping"/>
      </w:r>
      <w:r>
        <w:rPr>
          <w:rStyle w:val="VerbatimChar"/>
        </w:rPr>
        <w:t xml:space="preserve">biological variation with the rest being technical noise[@Kim2015-mo]. Effective</w:t>
      </w:r>
      <w:r>
        <w:br w:type="textWrapping"/>
      </w:r>
      <w:r>
        <w:rPr>
          <w:rStyle w:val="VerbatimChar"/>
        </w:rPr>
        <w:t xml:space="preserve">normalisation has been shown to be a crucial aspect of analysis for bulk RNA-seq</w:t>
      </w:r>
      <w:r>
        <w:br w:type="textWrapping"/>
      </w:r>
      <w:r>
        <w:rPr>
          <w:rStyle w:val="VerbatimChar"/>
        </w:rPr>
        <w:t xml:space="preserve">datasets, but how normalisation should be be applied to single-cell datasets is</w:t>
      </w:r>
      <w:r>
        <w:br w:type="textWrapping"/>
      </w:r>
      <w:r>
        <w:rPr>
          <w:rStyle w:val="VerbatimChar"/>
        </w:rPr>
        <w:t xml:space="preserve">yet to be clearly established. Some studies use simple transformations like</w:t>
      </w:r>
      <w:r>
        <w:br w:type="textWrapping"/>
      </w:r>
      <w:r>
        <w:rPr>
          <w:rStyle w:val="VerbatimChar"/>
        </w:rPr>
        <w:t xml:space="preserve">Reads (or Fragments) Per Kilobase per Million (RPKM/FPKM)[@Mortazavi2008-vu] or</w:t>
      </w:r>
      <w:r>
        <w:br w:type="textWrapping"/>
      </w:r>
      <w:r>
        <w:rPr>
          <w:rStyle w:val="VerbatimChar"/>
        </w:rPr>
        <w:t xml:space="preserve">Transcripts Per Million (TPM)[@Wagner2012-qf] which correct for library size and</w:t>
      </w:r>
      <w:r>
        <w:br w:type="textWrapping"/>
      </w:r>
      <w:r>
        <w:rPr>
          <w:rStyle w:val="VerbatimChar"/>
        </w:rPr>
        <w:t xml:space="preserve">gene length. Alternatively, normalisation methods designed for detecting</w:t>
      </w:r>
      <w:r>
        <w:br w:type="textWrapping"/>
      </w:r>
      <w:r>
        <w:rPr>
          <w:rStyle w:val="VerbatimChar"/>
        </w:rPr>
        <w:t xml:space="preserve">differential expression in bulk samples such as the Trimmed Mean of M-Values</w:t>
      </w:r>
      <w:r>
        <w:br w:type="textWrapping"/>
      </w:r>
      <w:r>
        <w:rPr>
          <w:rStyle w:val="VerbatimChar"/>
        </w:rPr>
        <w:t xml:space="preserve">(TMM)[@Robinson2010-ll] or the DESeq method[@Anders2010-pq] can be applied, but</w:t>
      </w:r>
      <w:r>
        <w:br w:type="textWrapping"/>
      </w:r>
      <w:r>
        <w:rPr>
          <w:rStyle w:val="VerbatimChar"/>
        </w:rPr>
        <w:t xml:space="preserve">it is unclear how suitable they are for the single-cell context. Most of the</w:t>
      </w:r>
      <w:r>
        <w:br w:type="textWrapping"/>
      </w:r>
      <w:r>
        <w:rPr>
          <w:rStyle w:val="VerbatimChar"/>
        </w:rPr>
        <w:t xml:space="preserve">methods that have been developed specifically for estimating technical variance</w:t>
      </w:r>
      <w:r>
        <w:br w:type="textWrapping"/>
      </w:r>
      <w:r>
        <w:rPr>
          <w:rStyle w:val="VerbatimChar"/>
        </w:rPr>
        <w:t xml:space="preserve">in scRNA-seq data make use of spike-ins. Brennecke et al.[@Brennecke2013-pt],</w:t>
      </w:r>
      <w:r>
        <w:br w:type="textWrapping"/>
      </w:r>
      <w:r>
        <w:rPr>
          <w:rStyle w:val="VerbatimChar"/>
        </w:rPr>
        <w:t xml:space="preserve">Ding et al.[@Ding2015-ht] and Grün, Kester and van Oudenaarden[@Grun2014-zn] all</w:t>
      </w:r>
      <w:r>
        <w:br w:type="textWrapping"/>
      </w:r>
      <w:r>
        <w:rPr>
          <w:rStyle w:val="VerbatimChar"/>
        </w:rPr>
        <w:t xml:space="preserve">propose methods for estimating technical variance using spike-ins, as does</w:t>
      </w:r>
      <w:r>
        <w:br w:type="textWrapping"/>
      </w:r>
      <w:r>
        <w:rPr>
          <w:rStyle w:val="VerbatimChar"/>
        </w:rPr>
        <w:t xml:space="preserve">Bayesian Analysis of Single-Cell Sequencing data (BASiCS)[@Vallejos2015-ef].</w:t>
      </w:r>
      <w:r>
        <w:br w:type="textWrapping"/>
      </w:r>
      <w:r>
        <w:rPr>
          <w:rStyle w:val="VerbatimChar"/>
        </w:rPr>
        <w:t xml:space="preserve">However, using spike-ins for normalisation relys on the assumption that they</w:t>
      </w:r>
      <w:r>
        <w:br w:type="textWrapping"/>
      </w:r>
      <w:r>
        <w:rPr>
          <w:rStyle w:val="VerbatimChar"/>
        </w:rPr>
        <w:t xml:space="preserve">properly capture the dynamics of the underlying datasets, and even if this is</w:t>
      </w:r>
      <w:r>
        <w:br w:type="textWrapping"/>
      </w:r>
      <w:r>
        <w:rPr>
          <w:rStyle w:val="VerbatimChar"/>
        </w:rPr>
        <w:t xml:space="preserve">the case is it restrictive as they are not compatible with all current</w:t>
      </w:r>
      <w:r>
        <w:br w:type="textWrapping"/>
      </w:r>
      <w:r>
        <w:rPr>
          <w:rStyle w:val="VerbatimChar"/>
        </w:rPr>
        <w:t xml:space="preserve">sequencing protocols. Lun, Bach and Marioni don't make use of spike-ins, instead</w:t>
      </w:r>
      <w:r>
        <w:br w:type="textWrapping"/>
      </w:r>
      <w:r>
        <w:rPr>
          <w:rStyle w:val="VerbatimChar"/>
        </w:rPr>
        <w:t xml:space="preserve">using a pooling approach to compensate for the large number of zero counts,</w:t>
      </w:r>
      <w:r>
        <w:br w:type="textWrapping"/>
      </w:r>
      <w:r>
        <w:rPr>
          <w:rStyle w:val="VerbatimChar"/>
        </w:rPr>
        <w:t xml:space="preserve">where expression levels are summed across similar cells before calculating</w:t>
      </w:r>
      <w:r>
        <w:br w:type="textWrapping"/>
      </w:r>
      <w:r>
        <w:rPr>
          <w:rStyle w:val="VerbatimChar"/>
        </w:rPr>
        <w:t xml:space="preserve">normalisation factors that are deconvolved back to the individual cell</w:t>
      </w:r>
      <w:r>
        <w:br w:type="textWrapping"/>
      </w:r>
      <w:r>
        <w:rPr>
          <w:rStyle w:val="VerbatimChar"/>
        </w:rPr>
        <w:t xml:space="preserve">level[@Lun2016-mq].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5"/>
          <w:ilvl w:val="0"/>
        </w:numPr>
      </w:pPr>
      <w:r>
        <w:t xml:space="preserve">Clustering</w:t>
      </w:r>
    </w:p>
    <w:p>
      <w:pPr>
        <w:pStyle w:val="Compact"/>
        <w:numPr>
          <w:numId w:val="1015"/>
          <w:ilvl w:val="0"/>
        </w:numPr>
      </w:pPr>
      <w:r>
        <w:t xml:space="preserve">Seurat</w:t>
      </w:r>
    </w:p>
    <w:p>
      <w:pPr>
        <w:pStyle w:val="Compact"/>
        <w:numPr>
          <w:numId w:val="1015"/>
          <w:ilvl w:val="0"/>
        </w:numPr>
      </w:pPr>
      <w:r>
        <w:t xml:space="preserve">Other approaches</w:t>
      </w:r>
    </w:p>
    <w:p>
      <w:pPr>
        <w:pStyle w:val="SourceCode"/>
      </w:pPr>
      <w:r>
        <w:rPr>
          <w:rStyle w:val="VerbatimChar"/>
        </w:rPr>
        <w:t xml:space="preserve">Once a set of high-quality cells has been established the true analysis can</w:t>
      </w:r>
      <w:r>
        <w:br w:type="textWrapping"/>
      </w:r>
      <w:r>
        <w:rPr>
          <w:rStyle w:val="VerbatimChar"/>
        </w:rPr>
        <w:t xml:space="preserve">begin. Many of the current packages focus on the task of assigning cells to</w:t>
      </w:r>
      <w:r>
        <w:br w:type="textWrapping"/>
      </w:r>
      <w:r>
        <w:rPr>
          <w:rStyle w:val="VerbatimChar"/>
        </w:rPr>
        <w:t xml:space="preserve">groups before applying more traditional differential expression testing. This</w:t>
      </w:r>
      <w:r>
        <w:br w:type="textWrapping"/>
      </w:r>
      <w:r>
        <w:rPr>
          <w:rStyle w:val="VerbatimChar"/>
        </w:rPr>
        <w:t xml:space="preserve">approach makes sense for a sample with a defined set of mature cell types and is</w:t>
      </w:r>
      <w:r>
        <w:br w:type="textWrapping"/>
      </w:r>
      <w:r>
        <w:rPr>
          <w:rStyle w:val="VerbatimChar"/>
        </w:rPr>
        <w:t xml:space="preserve">taken by tools such as SINgle CEll RNA-seq profiling Analysis</w:t>
      </w:r>
      <w:r>
        <w:br w:type="textWrapping"/>
      </w:r>
      <w:r>
        <w:rPr>
          <w:rStyle w:val="VerbatimChar"/>
        </w:rPr>
        <w:t xml:space="preserve">(SINCERA)[@Guo2015-mf], Single-Cell Consensus Clustering (SC3)[@Kiselev2016-fa],</w:t>
      </w:r>
      <w:r>
        <w:br w:type="textWrapping"/>
      </w:r>
      <w:r>
        <w:rPr>
          <w:rStyle w:val="VerbatimChar"/>
        </w:rPr>
        <w:t xml:space="preserve">Seurat[@Satija2015-or], single-cell latent variable model</w:t>
      </w:r>
      <w:r>
        <w:br w:type="textWrapping"/>
      </w:r>
      <w:r>
        <w:rPr>
          <w:rStyle w:val="VerbatimChar"/>
        </w:rPr>
        <w:t xml:space="preserve">(scLVM)[@Buettner2015-rq] and Spanning-tree Progression Analysis of</w:t>
      </w:r>
      <w:r>
        <w:br w:type="textWrapping"/>
      </w:r>
      <w:r>
        <w:rPr>
          <w:rStyle w:val="VerbatimChar"/>
        </w:rPr>
        <w:t xml:space="preserve">Density-normalised Events (SPADE)[@Anchang2016-vo], as well as BackSPIN which</w:t>
      </w:r>
      <w:r>
        <w:br w:type="textWrapping"/>
      </w:r>
      <w:r>
        <w:rPr>
          <w:rStyle w:val="VerbatimChar"/>
        </w:rPr>
        <w:t xml:space="preserve">was used to identify nine cell types and 47 distinct subclasses in the mouse</w:t>
      </w:r>
      <w:r>
        <w:br w:type="textWrapping"/>
      </w:r>
      <w:r>
        <w:rPr>
          <w:rStyle w:val="VerbatimChar"/>
        </w:rPr>
        <w:t xml:space="preserve">cortex and hippocampus[@Zeisel2015-rd]. These tools attempt to cluster similar</w:t>
      </w:r>
      <w:r>
        <w:br w:type="textWrapping"/>
      </w:r>
      <w:r>
        <w:rPr>
          <w:rStyle w:val="VerbatimChar"/>
        </w:rPr>
        <w:t xml:space="preserve">cells together based on their expression profiles, forming groups of cells of</w:t>
      </w:r>
      <w:r>
        <w:br w:type="textWrapping"/>
      </w:r>
      <w:r>
        <w:rPr>
          <w:rStyle w:val="VerbatimChar"/>
        </w:rPr>
        <w:t xml:space="preserve">the same type. Often a dimensionality reduction step is included which can help</w:t>
      </w:r>
      <w:r>
        <w:br w:type="textWrapping"/>
      </w:r>
      <w:r>
        <w:rPr>
          <w:rStyle w:val="VerbatimChar"/>
        </w:rPr>
        <w:t xml:space="preserve">to remove some of the noise present in scRNA-seq data. Once groups of cells are</w:t>
      </w:r>
      <w:r>
        <w:br w:type="textWrapping"/>
      </w:r>
      <w:r>
        <w:rPr>
          <w:rStyle w:val="VerbatimChar"/>
        </w:rPr>
        <w:t xml:space="preserve">identified many of these packages can test genes for changes in expression,</w:t>
      </w:r>
      <w:r>
        <w:br w:type="textWrapping"/>
      </w:r>
      <w:r>
        <w:rPr>
          <w:rStyle w:val="VerbatimChar"/>
        </w:rPr>
        <w:t xml:space="preserve">identifying genes that are differentially expressed across the groups, or marker</w:t>
      </w:r>
      <w:r>
        <w:br w:type="textWrapping"/>
      </w:r>
      <w:r>
        <w:rPr>
          <w:rStyle w:val="VerbatimChar"/>
        </w:rPr>
        <w:t xml:space="preserve">genes that are expressed in a single group. These genes can be used to identify</w:t>
      </w:r>
      <w:r>
        <w:br w:type="textWrapping"/>
      </w:r>
      <w:r>
        <w:rPr>
          <w:rStyle w:val="VerbatimChar"/>
        </w:rPr>
        <w:t xml:space="preserve">which cell types each group represents, or alternatively known marker genes can</w:t>
      </w:r>
      <w:r>
        <w:br w:type="textWrapping"/>
      </w:r>
      <w:r>
        <w:rPr>
          <w:rStyle w:val="VerbatimChar"/>
        </w:rPr>
        <w:t xml:space="preserve">be inspected.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16"/>
          <w:ilvl w:val="0"/>
        </w:numPr>
      </w:pPr>
      <w:r>
        <w:t xml:space="preserve">Pseudotime</w:t>
      </w:r>
    </w:p>
    <w:p>
      <w:pPr>
        <w:pStyle w:val="Compact"/>
        <w:numPr>
          <w:numId w:val="1016"/>
          <w:ilvl w:val="0"/>
        </w:numPr>
      </w:pPr>
      <w:r>
        <w:t xml:space="preserve">Monocle</w:t>
      </w:r>
    </w:p>
    <w:p>
      <w:pPr>
        <w:pStyle w:val="Compact"/>
        <w:numPr>
          <w:numId w:val="1016"/>
          <w:ilvl w:val="0"/>
        </w:numPr>
      </w:pPr>
      <w:r>
        <w:t xml:space="preserve">Other approaches</w:t>
      </w:r>
    </w:p>
    <w:p>
      <w:pPr>
        <w:pStyle w:val="SourceCode"/>
      </w:pPr>
      <w:r>
        <w:rPr>
          <w:rStyle w:val="VerbatimChar"/>
        </w:rPr>
        <w:t xml:space="preserve">In other situations, for example where stem cells are differentiating into</w:t>
      </w:r>
      <w:r>
        <w:br w:type="textWrapping"/>
      </w:r>
      <w:r>
        <w:rPr>
          <w:rStyle w:val="VerbatimChar"/>
        </w:rPr>
        <w:t xml:space="preserve">mature cell types, it may be more appropriate to order cells along a continuous</w:t>
      </w:r>
      <w:r>
        <w:br w:type="textWrapping"/>
      </w:r>
      <w:r>
        <w:rPr>
          <w:rStyle w:val="VerbatimChar"/>
        </w:rPr>
        <w:t xml:space="preserve">trajectory from one cell type to another. Trajectory analysis was pioneered by</w:t>
      </w:r>
      <w:r>
        <w:br w:type="textWrapping"/>
      </w:r>
      <w:r>
        <w:rPr>
          <w:rStyle w:val="VerbatimChar"/>
        </w:rPr>
        <w:t xml:space="preserve">Monocle which used dimensionality reduction and computation of a minimum</w:t>
      </w:r>
      <w:r>
        <w:br w:type="textWrapping"/>
      </w:r>
      <w:r>
        <w:rPr>
          <w:rStyle w:val="VerbatimChar"/>
        </w:rPr>
        <w:t xml:space="preserve">spanning tree to explore a model of skeletal muscle</w:t>
      </w:r>
      <w:r>
        <w:br w:type="textWrapping"/>
      </w:r>
      <w:r>
        <w:rPr>
          <w:rStyle w:val="VerbatimChar"/>
        </w:rPr>
        <w:t xml:space="preserve">differentiation[@Trapnell2014-he]. Since then the Monocle algorithm has been</w:t>
      </w:r>
      <w:r>
        <w:br w:type="textWrapping"/>
      </w:r>
      <w:r>
        <w:rPr>
          <w:rStyle w:val="VerbatimChar"/>
        </w:rPr>
        <w:t xml:space="preserve">updated and a range of others developed, including TSCAN[@Ji2016-ws],</w:t>
      </w:r>
      <w:r>
        <w:br w:type="textWrapping"/>
      </w:r>
      <w:r>
        <w:rPr>
          <w:rStyle w:val="VerbatimChar"/>
        </w:rPr>
        <w:t xml:space="preserve">SLICER[@Welch2016-cw], CellTree[@DuVerle2016-ni], Sincell[@Julia2015-zc] and</w:t>
      </w:r>
      <w:r>
        <w:br w:type="textWrapping"/>
      </w:r>
      <w:r>
        <w:rPr>
          <w:rStyle w:val="VerbatimChar"/>
        </w:rPr>
        <w:t xml:space="preserve">Mpath[@Chen2016-kx]. In their review of methods for trajectory inference,</w:t>
      </w:r>
      <w:r>
        <w:br w:type="textWrapping"/>
      </w:r>
      <w:r>
        <w:rPr>
          <w:rStyle w:val="VerbatimChar"/>
        </w:rPr>
        <w:t xml:space="preserve">Cannoodt, Saelens and Saeys break the process into two parts, dimensionality</w:t>
      </w:r>
      <w:r>
        <w:br w:type="textWrapping"/>
      </w:r>
      <w:r>
        <w:rPr>
          <w:rStyle w:val="VerbatimChar"/>
        </w:rPr>
        <w:t xml:space="preserve">reduction and then trajectory modelling (Figure</w:t>
      </w:r>
      <w:r>
        <w:br w:type="textWrapping"/>
      </w:r>
      <w:r>
        <w:rPr>
          <w:rStyle w:val="VerbatimChar"/>
        </w:rPr>
        <w:t xml:space="preserve">&lt;a href="#fig:trajectory-inference"&gt;&lt;strong&gt;??&lt;/strong&gt;&lt;/a&gt;)[@Cannoodt2016-iv]. Dimensionality reduction</w:t>
      </w:r>
      <w:r>
        <w:br w:type="textWrapping"/>
      </w:r>
      <w:r>
        <w:rPr>
          <w:rStyle w:val="VerbatimChar"/>
        </w:rPr>
        <w:t xml:space="preserve">consists of calculating similarities between cells, projecting onto lower</w:t>
      </w:r>
      <w:r>
        <w:br w:type="textWrapping"/>
      </w:r>
      <w:r>
        <w:rPr>
          <w:rStyle w:val="VerbatimChar"/>
        </w:rPr>
        <w:t xml:space="preserve">dimensions using manifold learning techniques such as PCA or</w:t>
      </w:r>
      <w:r>
        <w:br w:type="textWrapping"/>
      </w:r>
      <w:r>
        <w:rPr>
          <w:rStyle w:val="VerbatimChar"/>
        </w:rPr>
        <w:t xml:space="preserve">t-SNE[@Maaten2008-ne] then clustering cells or constructing a graph between</w:t>
      </w:r>
      <w:r>
        <w:br w:type="textWrapping"/>
      </w:r>
      <w:r>
        <w:rPr>
          <w:rStyle w:val="VerbatimChar"/>
        </w:rPr>
        <w:t xml:space="preserve">then. The trajectory is then formed by finding a path between cells and ordering</w:t>
      </w:r>
      <w:r>
        <w:br w:type="textWrapping"/>
      </w:r>
      <w:r>
        <w:rPr>
          <w:rStyle w:val="VerbatimChar"/>
        </w:rPr>
        <w:t xml:space="preserve">the cells along it. Once a path has been inferred important genes can be</w:t>
      </w:r>
      <w:r>
        <w:br w:type="textWrapping"/>
      </w:r>
      <w:r>
        <w:rPr>
          <w:rStyle w:val="VerbatimChar"/>
        </w:rPr>
        <w:t xml:space="preserve">identified by looking for those that change expression over the course of the</w:t>
      </w:r>
      <w:r>
        <w:br w:type="textWrapping"/>
      </w:r>
      <w:r>
        <w:rPr>
          <w:rStyle w:val="VerbatimChar"/>
        </w:rPr>
        <w:t xml:space="preserve">path. These genes can be important in their own right as they describe the</w:t>
      </w:r>
      <w:r>
        <w:br w:type="textWrapping"/>
      </w:r>
      <w:r>
        <w:rPr>
          <w:rStyle w:val="VerbatimChar"/>
        </w:rPr>
        <w:t xml:space="preserve">biology of the path, but that can also be used to identify cell types at the end</w:t>
      </w:r>
      <w:r>
        <w:br w:type="textWrapping"/>
      </w:r>
      <w:r>
        <w:rPr>
          <w:rStyle w:val="VerbatimChar"/>
        </w:rPr>
        <w:t xml:space="preserve">points of the path or where the path branches. Deciding which assignment</w:t>
      </w:r>
      <w:r>
        <w:br w:type="textWrapping"/>
      </w:r>
      <w:r>
        <w:rPr>
          <w:rStyle w:val="VerbatimChar"/>
        </w:rPr>
        <w:t xml:space="preserve">approach is most appropriate depends on the source of that data and the</w:t>
      </w:r>
      <w:r>
        <w:br w:type="textWrapping"/>
      </w:r>
      <w:r>
        <w:rPr>
          <w:rStyle w:val="VerbatimChar"/>
        </w:rPr>
        <w:t xml:space="preserve">questions you intend to ask. There are currently no studies comprehensively</w:t>
      </w:r>
      <w:r>
        <w:br w:type="textWrapping"/>
      </w:r>
      <w:r>
        <w:rPr>
          <w:rStyle w:val="VerbatimChar"/>
        </w:rPr>
        <w:t xml:space="preserve">comparing the performance of different methods for each approach.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17"/>
          <w:ilvl w:val="0"/>
        </w:numPr>
      </w:pPr>
      <w:r>
        <w:t xml:space="preserve">DE</w:t>
      </w:r>
    </w:p>
    <w:p>
      <w:pPr>
        <w:pStyle w:val="Compact"/>
        <w:numPr>
          <w:numId w:val="1017"/>
          <w:ilvl w:val="0"/>
        </w:numPr>
      </w:pPr>
      <w:r>
        <w:t xml:space="preserve">Marker genes</w:t>
      </w:r>
    </w:p>
    <w:p>
      <w:pPr>
        <w:pStyle w:val="Compact"/>
        <w:numPr>
          <w:numId w:val="1018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17"/>
          <w:ilvl w:val="0"/>
        </w:numPr>
      </w:pPr>
      <w:r>
        <w:t xml:space="preserve">Reviews</w:t>
      </w:r>
    </w:p>
    <w:p>
      <w:pPr>
        <w:pStyle w:val="Compact"/>
        <w:numPr>
          <w:numId w:val="1017"/>
          <w:ilvl w:val="0"/>
        </w:numPr>
      </w:pPr>
      <w:r>
        <w:t xml:space="preserve">Classification</w:t>
      </w:r>
    </w:p>
    <w:p>
      <w:pPr>
        <w:pStyle w:val="Heading2"/>
      </w:pPr>
      <w:bookmarkStart w:id="49" w:name="kidney-development"/>
      <w:r>
        <w:t xml:space="preserve">Kidney development</w:t>
      </w:r>
      <w:bookmarkEnd w:id="49"/>
    </w:p>
    <w:p>
      <w:pPr>
        <w:pStyle w:val="Heading3"/>
      </w:pPr>
      <w:bookmarkStart w:id="50" w:name="structure-and-function"/>
      <w:r>
        <w:t xml:space="preserve">Structure and function</w:t>
      </w:r>
      <w:bookmarkEnd w:id="50"/>
    </w:p>
    <w:p>
      <w:pPr>
        <w:pStyle w:val="Compact"/>
        <w:numPr>
          <w:numId w:val="1019"/>
          <w:ilvl w:val="0"/>
        </w:numPr>
      </w:pPr>
      <w:r>
        <w:t xml:space="preserve">Kidney structure</w:t>
      </w:r>
    </w:p>
    <w:p>
      <w:pPr>
        <w:pStyle w:val="Compact"/>
        <w:numPr>
          <w:numId w:val="1019"/>
          <w:ilvl w:val="0"/>
        </w:numPr>
      </w:pPr>
      <w:r>
        <w:t xml:space="preserve">Nephron structure</w:t>
      </w:r>
    </w:p>
    <w:p>
      <w:pPr>
        <w:pStyle w:val="Compact"/>
        <w:numPr>
          <w:numId w:val="1019"/>
          <w:ilvl w:val="0"/>
        </w:numPr>
      </w:pPr>
      <w:r>
        <w:t xml:space="preserve">Important cell types</w:t>
      </w:r>
    </w:p>
    <w:p>
      <w:pPr>
        <w:pStyle w:val="Heading3"/>
      </w:pPr>
      <w:bookmarkStart w:id="51" w:name="stages-of-development"/>
      <w:r>
        <w:t xml:space="preserve">Stages of development</w:t>
      </w:r>
      <w:bookmarkEnd w:id="51"/>
    </w:p>
    <w:p>
      <w:pPr>
        <w:pStyle w:val="Compact"/>
        <w:numPr>
          <w:numId w:val="1020"/>
          <w:ilvl w:val="0"/>
        </w:numPr>
      </w:pPr>
      <w:r>
        <w:t xml:space="preserve">Lineage</w:t>
      </w:r>
    </w:p>
    <w:p>
      <w:pPr>
        <w:pStyle w:val="Compact"/>
        <w:numPr>
          <w:numId w:val="1020"/>
          <w:ilvl w:val="0"/>
        </w:numPr>
      </w:pPr>
      <w:r>
        <w:t xml:space="preserve">Important genes</w:t>
      </w:r>
    </w:p>
    <w:p>
      <w:pPr>
        <w:pStyle w:val="Heading3"/>
      </w:pPr>
      <w:bookmarkStart w:id="52" w:name="growing-kidney-organoids"/>
      <w:r>
        <w:t xml:space="preserve">Growing kidney organoids</w:t>
      </w:r>
      <w:bookmarkEnd w:id="52"/>
    </w:p>
    <w:p>
      <w:pPr>
        <w:pStyle w:val="Compact"/>
        <w:numPr>
          <w:numId w:val="1021"/>
          <w:ilvl w:val="0"/>
        </w:numPr>
      </w:pPr>
      <w:r>
        <w:t xml:space="preserve">Why?</w:t>
      </w:r>
    </w:p>
    <w:p>
      <w:pPr>
        <w:pStyle w:val="Compact"/>
        <w:numPr>
          <w:numId w:val="1022"/>
          <w:ilvl w:val="1"/>
        </w:numPr>
      </w:pPr>
      <w:r>
        <w:t xml:space="preserve">Disease modelling</w:t>
      </w:r>
    </w:p>
    <w:p>
      <w:pPr>
        <w:pStyle w:val="Compact"/>
        <w:numPr>
          <w:numId w:val="1021"/>
          <w:ilvl w:val="0"/>
        </w:numPr>
      </w:pPr>
      <w:r>
        <w:t xml:space="preserve">Protocol</w:t>
      </w:r>
    </w:p>
    <w:p>
      <w:pPr>
        <w:pStyle w:val="Compact"/>
        <w:numPr>
          <w:numId w:val="1021"/>
          <w:ilvl w:val="0"/>
        </w:numPr>
      </w:pPr>
      <w:r>
        <w:t xml:space="preserve">Growth factors</w:t>
      </w:r>
    </w:p>
    <w:p>
      <w:pPr>
        <w:pStyle w:val="Compact"/>
        <w:numPr>
          <w:numId w:val="1021"/>
          <w:ilvl w:val="0"/>
        </w:numPr>
      </w:pPr>
      <w:r>
        <w:t xml:space="preserve">Characterisation</w:t>
      </w:r>
    </w:p>
    <w:p>
      <w:pPr>
        <w:pStyle w:val="Compact"/>
        <w:numPr>
          <w:numId w:val="1021"/>
          <w:ilvl w:val="0"/>
        </w:numPr>
      </w:pPr>
      <w:r>
        <w:t xml:space="preserve">Reproducibility</w:t>
      </w:r>
    </w:p>
    <w:p>
      <w:pPr>
        <w:pStyle w:val="Heading1"/>
      </w:pPr>
      <w:bookmarkStart w:id="53" w:name="the-scrna-seq-tools-landscape"/>
      <w:r>
        <w:t xml:space="preserve">The scRNA-seq tools landscape</w:t>
      </w:r>
      <w:bookmarkEnd w:id="53"/>
    </w:p>
    <w:p>
      <w:pPr>
        <w:pStyle w:val="Heading1"/>
      </w:pPr>
      <w:bookmarkStart w:id="54" w:name="simulating-scrna-seq-data"/>
      <w:r>
        <w:t xml:space="preserve">Simulating scRNA-seq data</w:t>
      </w:r>
      <w:bookmarkEnd w:id="54"/>
    </w:p>
    <w:p>
      <w:pPr>
        <w:pStyle w:val="Heading2"/>
      </w:pPr>
      <w:bookmarkStart w:id="55" w:name="introduction-1"/>
      <w:r>
        <w:t xml:space="preserve">Introduction</w:t>
      </w:r>
      <w:bookmarkEnd w:id="55"/>
    </w:p>
    <w:p>
      <w:pPr>
        <w:pStyle w:val="Heading2"/>
      </w:pPr>
      <w:bookmarkStart w:id="56" w:name="splatter-publication"/>
      <w:r>
        <w:t xml:space="preserve">Splatter publication</w:t>
      </w:r>
      <w:bookmarkEnd w:id="56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5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58" w:name="visualising-clustering-across-resolutions"/>
      <w:r>
        <w:t xml:space="preserve">Visualising clustering across resolutions</w:t>
      </w:r>
      <w:bookmarkEnd w:id="58"/>
    </w:p>
    <w:p>
      <w:pPr>
        <w:pStyle w:val="Heading1"/>
      </w:pPr>
      <w:bookmarkStart w:id="59" w:name="analysis-of-kidney-organoid-scrna-seq-data"/>
      <w:r>
        <w:t xml:space="preserve">Analysis of kidney organoid scRNA-seq data</w:t>
      </w:r>
      <w:bookmarkEnd w:id="59"/>
    </w:p>
    <w:p>
      <w:pPr>
        <w:pStyle w:val="Heading1"/>
      </w:pPr>
      <w:bookmarkStart w:id="60" w:name="conclusion"/>
      <w:r>
        <w:t xml:space="preserve">Conclusion</w:t>
      </w:r>
      <w:bookmarkEnd w:id="60"/>
    </w:p>
    <w:p>
      <w:pPr>
        <w:pStyle w:val="Heading1"/>
      </w:pPr>
      <w:bookmarkStart w:id="61" w:name="references"/>
      <w:r>
        <w:t xml:space="preserve">References</w:t>
      </w:r>
      <w:bookmarkEnd w:id="61"/>
    </w:p>
    <w:bookmarkStart w:id="62" w:name="refs"/>
    <w:bookmarkEnd w:id="62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b56561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30c33d10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5b644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7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7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2018-11-23T07:50:37Z</dcterms:created>
  <dcterms:modified xsi:type="dcterms:W3CDTF">2018-11-23T07:50:37Z</dcterms:modified>
</cp:coreProperties>
</file>