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2"/>
          <w:ilvl w:val="0"/>
        </w:numPr>
      </w:pPr>
      <w:r>
        <w:t xml:space="preserve">Why RNA-seq?</w:t>
      </w:r>
    </w:p>
    <w:p>
      <w:pPr>
        <w:pStyle w:val="Heading3"/>
      </w:pPr>
      <w:bookmarkStart w:id="35" w:name="capture-and-reverse-transcription"/>
      <w:r>
        <w:t xml:space="preserve">Capture and reverse transcription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PolyA capture</w:t>
      </w:r>
    </w:p>
    <w:p>
      <w:pPr>
        <w:pStyle w:val="Compact"/>
        <w:numPr>
          <w:numId w:val="1003"/>
          <w:ilvl w:val="0"/>
        </w:numPr>
      </w:pPr>
      <w:r>
        <w:t xml:space="preserve">Ribosomal depletion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4"/>
          <w:ilvl w:val="0"/>
        </w:numPr>
      </w:pPr>
      <w:r>
        <w:t xml:space="preserve">Illumina sequencing</w:t>
      </w:r>
    </w:p>
    <w:p>
      <w:pPr>
        <w:pStyle w:val="Compact"/>
        <w:numPr>
          <w:numId w:val="1005"/>
          <w:ilvl w:val="1"/>
        </w:numPr>
      </w:pPr>
      <w:r>
        <w:t xml:space="preserve">Sequence by synthesis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06"/>
          <w:ilvl w:val="0"/>
        </w:numPr>
      </w:pPr>
      <w:r>
        <w:t xml:space="preserve">Experimental design</w:t>
      </w:r>
    </w:p>
    <w:p>
      <w:pPr>
        <w:pStyle w:val="Compact"/>
        <w:numPr>
          <w:numId w:val="1006"/>
          <w:ilvl w:val="0"/>
        </w:numPr>
      </w:pPr>
      <w:r>
        <w:t xml:space="preserve">Negative binomial</w:t>
      </w:r>
    </w:p>
    <w:p>
      <w:pPr>
        <w:pStyle w:val="Compact"/>
        <w:numPr>
          <w:numId w:val="1006"/>
          <w:ilvl w:val="0"/>
        </w:numPr>
      </w:pPr>
      <w:r>
        <w:t xml:space="preserve">Normalisation</w:t>
      </w:r>
    </w:p>
    <w:p>
      <w:pPr>
        <w:pStyle w:val="Compact"/>
        <w:numPr>
          <w:numId w:val="1006"/>
          <w:ilvl w:val="0"/>
        </w:numPr>
      </w:pPr>
      <w:r>
        <w:t xml:space="preserve">Differential expression testing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07"/>
          <w:ilvl w:val="0"/>
        </w:numPr>
      </w:pPr>
      <w:r>
        <w:t xml:space="preserve">First protocol</w:t>
      </w:r>
    </w:p>
    <w:p>
      <w:pPr>
        <w:pStyle w:val="Compact"/>
        <w:numPr>
          <w:numId w:val="1007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08"/>
          <w:ilvl w:val="0"/>
        </w:numPr>
      </w:pPr>
      <w:r>
        <w:t xml:space="preserve">Drop-seq</w:t>
      </w:r>
    </w:p>
    <w:p>
      <w:pPr>
        <w:pStyle w:val="Compact"/>
        <w:numPr>
          <w:numId w:val="1008"/>
          <w:ilvl w:val="0"/>
        </w:numPr>
      </w:pPr>
      <w:r>
        <w:t xml:space="preserve">Indrop</w:t>
      </w:r>
    </w:p>
    <w:p>
      <w:pPr>
        <w:pStyle w:val="Compact"/>
        <w:numPr>
          <w:numId w:val="1008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09"/>
          <w:ilvl w:val="0"/>
        </w:numPr>
      </w:pPr>
      <w:r>
        <w:t xml:space="preserve">Why?</w:t>
      </w:r>
    </w:p>
    <w:p>
      <w:pPr>
        <w:pStyle w:val="Compact"/>
        <w:numPr>
          <w:numId w:val="1009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0"/>
          <w:ilvl w:val="0"/>
        </w:numPr>
      </w:pPr>
      <w:r>
        <w:t xml:space="preserve">New capture methods</w:t>
      </w:r>
    </w:p>
    <w:p>
      <w:pPr>
        <w:pStyle w:val="Compact"/>
        <w:numPr>
          <w:numId w:val="1010"/>
          <w:ilvl w:val="0"/>
        </w:numPr>
      </w:pPr>
      <w:r>
        <w:t xml:space="preserve">CITE-seq</w:t>
      </w:r>
    </w:p>
    <w:p>
      <w:pPr>
        <w:pStyle w:val="Compact"/>
        <w:numPr>
          <w:numId w:val="1010"/>
          <w:ilvl w:val="0"/>
        </w:numPr>
      </w:pPr>
      <w:r>
        <w:t xml:space="preserve">Cell hashing</w:t>
      </w:r>
    </w:p>
    <w:p>
      <w:pPr>
        <w:pStyle w:val="Compact"/>
        <w:numPr>
          <w:numId w:val="1010"/>
          <w:ilvl w:val="0"/>
        </w:numPr>
      </w:pPr>
      <w:r>
        <w:t xml:space="preserve">CRISPR</w:t>
      </w:r>
    </w:p>
    <w:p>
      <w:pPr>
        <w:pStyle w:val="Compact"/>
        <w:numPr>
          <w:numId w:val="1010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1"/>
          <w:ilvl w:val="0"/>
        </w:numPr>
      </w:pPr>
      <w:r>
        <w:t xml:space="preserve">Low counts</w:t>
      </w:r>
    </w:p>
    <w:p>
      <w:pPr>
        <w:pStyle w:val="Compact"/>
        <w:numPr>
          <w:numId w:val="1012"/>
          <w:ilvl w:val="1"/>
        </w:numPr>
      </w:pPr>
      <w:r>
        <w:t xml:space="preserve">Dropout</w:t>
      </w:r>
    </w:p>
    <w:p>
      <w:pPr>
        <w:pStyle w:val="Compact"/>
        <w:numPr>
          <w:numId w:val="1012"/>
          <w:ilvl w:val="1"/>
        </w:numPr>
      </w:pPr>
      <w:r>
        <w:t xml:space="preserve">Bursting</w:t>
      </w:r>
    </w:p>
    <w:p>
      <w:pPr>
        <w:pStyle w:val="Compact"/>
        <w:numPr>
          <w:numId w:val="1012"/>
          <w:ilvl w:val="1"/>
        </w:numPr>
      </w:pPr>
      <w:r>
        <w:t xml:space="preserve">Biology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3"/>
          <w:ilvl w:val="0"/>
        </w:numPr>
      </w:pPr>
      <w:r>
        <w:t xml:space="preserve">Alignment</w:t>
      </w:r>
    </w:p>
    <w:p>
      <w:pPr>
        <w:pStyle w:val="Compact"/>
        <w:numPr>
          <w:numId w:val="1013"/>
          <w:ilvl w:val="0"/>
        </w:numPr>
      </w:pPr>
      <w:r>
        <w:t xml:space="preserve">Droplet selection</w:t>
      </w:r>
    </w:p>
    <w:p>
      <w:pPr>
        <w:pStyle w:val="Compact"/>
        <w:numPr>
          <w:numId w:val="1013"/>
          <w:ilvl w:val="0"/>
        </w:numPr>
      </w:pPr>
      <w:r>
        <w:t xml:space="preserve">UMIs</w:t>
      </w:r>
    </w:p>
    <w:p>
      <w:pPr>
        <w:pStyle w:val="Compact"/>
        <w:numPr>
          <w:numId w:val="1013"/>
          <w:ilvl w:val="0"/>
        </w:numPr>
      </w:pPr>
      <w:r>
        <w:t xml:space="preserve">Doublet detection</w:t>
      </w:r>
    </w:p>
    <w:p>
      <w:pPr>
        <w:pStyle w:val="Compact"/>
        <w:numPr>
          <w:numId w:val="1013"/>
          <w:ilvl w:val="0"/>
        </w:numPr>
      </w:pPr>
      <w:r>
        <w:t xml:space="preserve">Bad cells</w:t>
      </w:r>
    </w:p>
    <w:p>
      <w:pPr>
        <w:pStyle w:val="Compact"/>
        <w:numPr>
          <w:numId w:val="1013"/>
          <w:ilvl w:val="0"/>
        </w:numPr>
      </w:pPr>
      <w:r>
        <w:t xml:space="preserve">Gene filtering</w:t>
      </w:r>
    </w:p>
    <w:p>
      <w:pPr>
        <w:pStyle w:val="Compact"/>
        <w:numPr>
          <w:numId w:val="1013"/>
          <w:ilvl w:val="0"/>
        </w:numPr>
      </w:pPr>
      <w:r>
        <w:t xml:space="preserve">Cell ranger</w:t>
      </w:r>
    </w:p>
    <w:p>
      <w:pPr>
        <w:pStyle w:val="Compact"/>
        <w:numPr>
          <w:numId w:val="1013"/>
          <w:ilvl w:val="0"/>
        </w:numPr>
      </w:pPr>
      <w:r>
        <w:t xml:space="preserve">scater</w:t>
      </w:r>
    </w:p>
    <w:p>
      <w:pPr>
        <w:pStyle w:val="Compact"/>
        <w:numPr>
          <w:numId w:val="1013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4"/>
          <w:ilvl w:val="0"/>
        </w:numPr>
      </w:pPr>
      <w:r>
        <w:t xml:space="preserve">Why?</w:t>
      </w:r>
    </w:p>
    <w:p>
      <w:pPr>
        <w:pStyle w:val="Compact"/>
        <w:numPr>
          <w:numId w:val="1014"/>
          <w:ilvl w:val="0"/>
        </w:numPr>
      </w:pPr>
      <w:r>
        <w:t xml:space="preserve">Seurat CCA</w:t>
      </w:r>
    </w:p>
    <w:p>
      <w:pPr>
        <w:pStyle w:val="Compact"/>
        <w:numPr>
          <w:numId w:val="1014"/>
          <w:ilvl w:val="0"/>
        </w:numPr>
      </w:pPr>
      <w:r>
        <w:t xml:space="preserve">New methods</w:t>
      </w:r>
    </w:p>
    <w:p>
      <w:pPr>
        <w:pStyle w:val="Compact"/>
        <w:numPr>
          <w:numId w:val="1014"/>
          <w:ilvl w:val="0"/>
        </w:numPr>
      </w:pPr>
      <w:r>
        <w:t xml:space="preserve">Tung?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or the DESeq method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 </w:t>
      </w:r>
      <w:r>
        <w:t xml:space="preserve">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5"/>
          <w:ilvl w:val="0"/>
        </w:numPr>
      </w:pPr>
      <w:r>
        <w:t xml:space="preserve">Clustering</w:t>
      </w:r>
    </w:p>
    <w:p>
      <w:pPr>
        <w:pStyle w:val="Compact"/>
        <w:numPr>
          <w:numId w:val="1015"/>
          <w:ilvl w:val="0"/>
        </w:numPr>
      </w:pPr>
      <w:r>
        <w:t xml:space="preserve">Seurat</w:t>
      </w:r>
    </w:p>
    <w:p>
      <w:pPr>
        <w:pStyle w:val="Compact"/>
        <w:numPr>
          <w:numId w:val="1015"/>
          <w:ilvl w:val="0"/>
        </w:numPr>
      </w:pPr>
      <w:r>
        <w:t xml:space="preserve">Other approaches</w:t>
      </w:r>
    </w:p>
    <w:p>
      <w:pPr>
        <w:pStyle w:val="Compact"/>
        <w:numPr>
          <w:numId w:val="1015"/>
          <w:ilvl w:val="0"/>
        </w:numPr>
      </w:pPr>
      <w:r>
        <w:t xml:space="preserve">Comparison</w:t>
      </w:r>
    </w:p>
    <w:p>
      <w:pPr>
        <w:pStyle w:val="Compact"/>
        <w:numPr>
          <w:numId w:val="1015"/>
          <w:ilvl w:val="0"/>
        </w:numPr>
      </w:pPr>
      <w:r>
        <w:t xml:space="preserve">Classification</w:t>
      </w:r>
    </w:p>
    <w:p>
      <w:pPr>
        <w:pStyle w:val="SourceCode"/>
      </w:pPr>
      <w:r>
        <w:rPr>
          <w:rStyle w:val="VerbatimChar"/>
        </w:rPr>
        <w:t xml:space="preserve">Once a set of high-quality cells has been established the true analysis can</w:t>
      </w:r>
      <w:r>
        <w:br w:type="textWrapping"/>
      </w:r>
      <w:r>
        <w:rPr>
          <w:rStyle w:val="VerbatimChar"/>
        </w:rPr>
        <w:t xml:space="preserve">begin. Many of the current packages focus on the task of assigning cells to</w:t>
      </w:r>
      <w:r>
        <w:br w:type="textWrapping"/>
      </w:r>
      <w:r>
        <w:rPr>
          <w:rStyle w:val="VerbatimChar"/>
        </w:rPr>
        <w:t xml:space="preserve">groups before applying more traditional differential expression testing. This</w:t>
      </w:r>
      <w:r>
        <w:br w:type="textWrapping"/>
      </w:r>
      <w:r>
        <w:rPr>
          <w:rStyle w:val="VerbatimChar"/>
        </w:rPr>
        <w:t xml:space="preserve">approach makes sense for a sample with a defined set of mature cell types and is</w:t>
      </w:r>
      <w:r>
        <w:br w:type="textWrapping"/>
      </w:r>
      <w:r>
        <w:rPr>
          <w:rStyle w:val="VerbatimChar"/>
        </w:rPr>
        <w:t xml:space="preserve">taken by tools such as SINgle CEll RNA-seq profiling Analysis</w:t>
      </w:r>
      <w:r>
        <w:br w:type="textWrapping"/>
      </w:r>
      <w:r>
        <w:rPr>
          <w:rStyle w:val="VerbatimChar"/>
        </w:rPr>
        <w:t xml:space="preserve">(SINCERA)[@Guo2015-mf], Single-Cell Consensus Clustering (SC3)[@Kiselev2016-fa],</w:t>
      </w:r>
      <w:r>
        <w:br w:type="textWrapping"/>
      </w:r>
      <w:r>
        <w:rPr>
          <w:rStyle w:val="VerbatimChar"/>
        </w:rPr>
        <w:t xml:space="preserve">Seurat[@Satija2015-or], single-cell latent variable model</w:t>
      </w:r>
      <w:r>
        <w:br w:type="textWrapping"/>
      </w:r>
      <w:r>
        <w:rPr>
          <w:rStyle w:val="VerbatimChar"/>
        </w:rPr>
        <w:t xml:space="preserve">(scLVM)[@Buettner2015-rq] and Spanning-tree Progression Analysis of</w:t>
      </w:r>
      <w:r>
        <w:br w:type="textWrapping"/>
      </w:r>
      <w:r>
        <w:rPr>
          <w:rStyle w:val="VerbatimChar"/>
        </w:rPr>
        <w:t xml:space="preserve">Density-normalised Events (SPADE)[@Anchang2016-vo], as well as BackSPIN which</w:t>
      </w:r>
      <w:r>
        <w:br w:type="textWrapping"/>
      </w:r>
      <w:r>
        <w:rPr>
          <w:rStyle w:val="VerbatimChar"/>
        </w:rPr>
        <w:t xml:space="preserve">was used to identify nine cell types and 47 distinct subclasses in the mouse</w:t>
      </w:r>
      <w:r>
        <w:br w:type="textWrapping"/>
      </w:r>
      <w:r>
        <w:rPr>
          <w:rStyle w:val="VerbatimChar"/>
        </w:rPr>
        <w:t xml:space="preserve">cortex and hippocampus[@Zeisel2015-rd]. These tools attempt to cluster similar</w:t>
      </w:r>
      <w:r>
        <w:br w:type="textWrapping"/>
      </w:r>
      <w:r>
        <w:rPr>
          <w:rStyle w:val="VerbatimChar"/>
        </w:rPr>
        <w:t xml:space="preserve">cells together based on their expression profiles, forming groups of cells of</w:t>
      </w:r>
      <w:r>
        <w:br w:type="textWrapping"/>
      </w:r>
      <w:r>
        <w:rPr>
          <w:rStyle w:val="VerbatimChar"/>
        </w:rPr>
        <w:t xml:space="preserve">the same type. Often a dimensionality reduction step is included which can help</w:t>
      </w:r>
      <w:r>
        <w:br w:type="textWrapping"/>
      </w:r>
      <w:r>
        <w:rPr>
          <w:rStyle w:val="VerbatimChar"/>
        </w:rPr>
        <w:t xml:space="preserve">to remove some of the noise present in scRNA-seq data. Once groups of cells are</w:t>
      </w:r>
      <w:r>
        <w:br w:type="textWrapping"/>
      </w:r>
      <w:r>
        <w:rPr>
          <w:rStyle w:val="VerbatimChar"/>
        </w:rPr>
        <w:t xml:space="preserve">identified many of these packages can test genes for changes in expression,</w:t>
      </w:r>
      <w:r>
        <w:br w:type="textWrapping"/>
      </w:r>
      <w:r>
        <w:rPr>
          <w:rStyle w:val="VerbatimChar"/>
        </w:rPr>
        <w:t xml:space="preserve">identifying genes that are differentially expressed across the groups, or marker</w:t>
      </w:r>
      <w:r>
        <w:br w:type="textWrapping"/>
      </w:r>
      <w:r>
        <w:rPr>
          <w:rStyle w:val="VerbatimChar"/>
        </w:rPr>
        <w:t xml:space="preserve">genes that are expressed in a single group. These genes can be used to identify</w:t>
      </w:r>
      <w:r>
        <w:br w:type="textWrapping"/>
      </w:r>
      <w:r>
        <w:rPr>
          <w:rStyle w:val="VerbatimChar"/>
        </w:rPr>
        <w:t xml:space="preserve">which cell types each group represents, or alternatively known marker genes can</w:t>
      </w:r>
      <w:r>
        <w:br w:type="textWrapping"/>
      </w:r>
      <w:r>
        <w:rPr>
          <w:rStyle w:val="VerbatimChar"/>
        </w:rPr>
        <w:t xml:space="preserve">be inspected.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16"/>
          <w:ilvl w:val="0"/>
        </w:numPr>
      </w:pPr>
      <w:r>
        <w:t xml:space="preserve">Pseudotime</w:t>
      </w:r>
    </w:p>
    <w:p>
      <w:pPr>
        <w:pStyle w:val="Compact"/>
        <w:numPr>
          <w:numId w:val="1016"/>
          <w:ilvl w:val="0"/>
        </w:numPr>
      </w:pPr>
      <w:r>
        <w:t xml:space="preserve">Monocle</w:t>
      </w:r>
    </w:p>
    <w:p>
      <w:pPr>
        <w:pStyle w:val="Compact"/>
        <w:numPr>
          <w:numId w:val="1016"/>
          <w:ilvl w:val="0"/>
        </w:numPr>
      </w:pPr>
      <w:r>
        <w:t xml:space="preserve">Other approaches</w:t>
      </w:r>
    </w:p>
    <w:p>
      <w:pPr>
        <w:pStyle w:val="Compact"/>
        <w:numPr>
          <w:numId w:val="1016"/>
          <w:ilvl w:val="0"/>
        </w:numPr>
      </w:pPr>
      <w:r>
        <w:t xml:space="preserve">Comparison</w:t>
      </w:r>
    </w:p>
    <w:p>
      <w:pPr>
        <w:pStyle w:val="SourceCode"/>
      </w:pPr>
      <w:r>
        <w:rPr>
          <w:rStyle w:val="VerbatimChar"/>
        </w:rPr>
        <w:t xml:space="preserve">In other situations, for example where stem cells are differentiating into</w:t>
      </w:r>
      <w:r>
        <w:br w:type="textWrapping"/>
      </w:r>
      <w:r>
        <w:rPr>
          <w:rStyle w:val="VerbatimChar"/>
        </w:rPr>
        <w:t xml:space="preserve">mature cell types, it may be more appropriate to order cells along a continuous</w:t>
      </w:r>
      <w:r>
        <w:br w:type="textWrapping"/>
      </w:r>
      <w:r>
        <w:rPr>
          <w:rStyle w:val="VerbatimChar"/>
        </w:rPr>
        <w:t xml:space="preserve">trajectory from one cell type to another. Trajectory analysis was pioneered by</w:t>
      </w:r>
      <w:r>
        <w:br w:type="textWrapping"/>
      </w:r>
      <w:r>
        <w:rPr>
          <w:rStyle w:val="VerbatimChar"/>
        </w:rPr>
        <w:t xml:space="preserve">Monocle which used dimensionality reduction and computation of a minimum</w:t>
      </w:r>
      <w:r>
        <w:br w:type="textWrapping"/>
      </w:r>
      <w:r>
        <w:rPr>
          <w:rStyle w:val="VerbatimChar"/>
        </w:rPr>
        <w:t xml:space="preserve">spanning tree to explore a model of skeletal muscle</w:t>
      </w:r>
      <w:r>
        <w:br w:type="textWrapping"/>
      </w:r>
      <w:r>
        <w:rPr>
          <w:rStyle w:val="VerbatimChar"/>
        </w:rPr>
        <w:t xml:space="preserve">differentiation[@Trapnell2014-he]. Since then the Monocle algorithm has been</w:t>
      </w:r>
      <w:r>
        <w:br w:type="textWrapping"/>
      </w:r>
      <w:r>
        <w:rPr>
          <w:rStyle w:val="VerbatimChar"/>
        </w:rPr>
        <w:t xml:space="preserve">updated and a range of others developed, including TSCAN[@Ji2016-ws],</w:t>
      </w:r>
      <w:r>
        <w:br w:type="textWrapping"/>
      </w:r>
      <w:r>
        <w:rPr>
          <w:rStyle w:val="VerbatimChar"/>
        </w:rPr>
        <w:t xml:space="preserve">SLICER[@Welch2016-cw], CellTree[@DuVerle2016-ni], Sincell[@Julia2015-zc] and</w:t>
      </w:r>
      <w:r>
        <w:br w:type="textWrapping"/>
      </w:r>
      <w:r>
        <w:rPr>
          <w:rStyle w:val="VerbatimChar"/>
        </w:rPr>
        <w:t xml:space="preserve">Mpath[@Chen2016-kx]. In their review of methods for trajectory inference,</w:t>
      </w:r>
      <w:r>
        <w:br w:type="textWrapping"/>
      </w:r>
      <w:r>
        <w:rPr>
          <w:rStyle w:val="VerbatimChar"/>
        </w:rPr>
        <w:t xml:space="preserve">Cannoodt, Saelens and Saeys break the process into two parts, dimensionality</w:t>
      </w:r>
      <w:r>
        <w:br w:type="textWrapping"/>
      </w:r>
      <w:r>
        <w:rPr>
          <w:rStyle w:val="VerbatimChar"/>
        </w:rPr>
        <w:t xml:space="preserve">reduction and then trajectory modelling (Figure</w:t>
      </w:r>
      <w:r>
        <w:br w:type="textWrapping"/>
      </w:r>
      <w:r>
        <w:rPr>
          <w:rStyle w:val="VerbatimChar"/>
        </w:rPr>
        <w:t xml:space="preserve">&lt;a href="#fig:trajectory-inference"&gt;&lt;strong&gt;??&lt;/strong&gt;&lt;/a&gt;)[@Cannoodt2016-iv]. Dimensionality reduction</w:t>
      </w:r>
      <w:r>
        <w:br w:type="textWrapping"/>
      </w:r>
      <w:r>
        <w:rPr>
          <w:rStyle w:val="VerbatimChar"/>
        </w:rPr>
        <w:t xml:space="preserve">consists of calculating similarities between cells, projecting onto lower</w:t>
      </w:r>
      <w:r>
        <w:br w:type="textWrapping"/>
      </w:r>
      <w:r>
        <w:rPr>
          <w:rStyle w:val="VerbatimChar"/>
        </w:rPr>
        <w:t xml:space="preserve">dimensions using manifold learning techniques such as PCA or</w:t>
      </w:r>
      <w:r>
        <w:br w:type="textWrapping"/>
      </w:r>
      <w:r>
        <w:rPr>
          <w:rStyle w:val="VerbatimChar"/>
        </w:rPr>
        <w:t xml:space="preserve">t-SNE[@Maaten2008-ne] then clustering cells or constructing a graph between</w:t>
      </w:r>
      <w:r>
        <w:br w:type="textWrapping"/>
      </w:r>
      <w:r>
        <w:rPr>
          <w:rStyle w:val="VerbatimChar"/>
        </w:rPr>
        <w:t xml:space="preserve">then. The trajectory is then formed by finding a path between cells and ordering</w:t>
      </w:r>
      <w:r>
        <w:br w:type="textWrapping"/>
      </w:r>
      <w:r>
        <w:rPr>
          <w:rStyle w:val="VerbatimChar"/>
        </w:rPr>
        <w:t xml:space="preserve">the cells along it. Once a path has been inferred important genes can be</w:t>
      </w:r>
      <w:r>
        <w:br w:type="textWrapping"/>
      </w:r>
      <w:r>
        <w:rPr>
          <w:rStyle w:val="VerbatimChar"/>
        </w:rPr>
        <w:t xml:space="preserve">identified by looking for those that change expression over the course of the</w:t>
      </w:r>
      <w:r>
        <w:br w:type="textWrapping"/>
      </w:r>
      <w:r>
        <w:rPr>
          <w:rStyle w:val="VerbatimChar"/>
        </w:rPr>
        <w:t xml:space="preserve">path. These genes can be important in their own right as they describe the</w:t>
      </w:r>
      <w:r>
        <w:br w:type="textWrapping"/>
      </w:r>
      <w:r>
        <w:rPr>
          <w:rStyle w:val="VerbatimChar"/>
        </w:rPr>
        <w:t xml:space="preserve">biology of the path, but that can also be used to identify cell types at the end</w:t>
      </w:r>
      <w:r>
        <w:br w:type="textWrapping"/>
      </w:r>
      <w:r>
        <w:rPr>
          <w:rStyle w:val="VerbatimChar"/>
        </w:rPr>
        <w:t xml:space="preserve">points of the path or where the path branches. Deciding which assignment</w:t>
      </w:r>
      <w:r>
        <w:br w:type="textWrapping"/>
      </w:r>
      <w:r>
        <w:rPr>
          <w:rStyle w:val="VerbatimChar"/>
        </w:rPr>
        <w:t xml:space="preserve">approach is most appropriate depends on the source of that data and the</w:t>
      </w:r>
      <w:r>
        <w:br w:type="textWrapping"/>
      </w:r>
      <w:r>
        <w:rPr>
          <w:rStyle w:val="VerbatimChar"/>
        </w:rPr>
        <w:t xml:space="preserve">questions you intend to ask. There are currently no studies comprehensively</w:t>
      </w:r>
      <w:r>
        <w:br w:type="textWrapping"/>
      </w:r>
      <w:r>
        <w:rPr>
          <w:rStyle w:val="VerbatimChar"/>
        </w:rPr>
        <w:t xml:space="preserve">comparing the performance of different methods for each approach.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17"/>
          <w:ilvl w:val="0"/>
        </w:numPr>
      </w:pPr>
      <w:r>
        <w:t xml:space="preserve">DE</w:t>
      </w:r>
    </w:p>
    <w:p>
      <w:pPr>
        <w:pStyle w:val="Compact"/>
        <w:numPr>
          <w:numId w:val="1017"/>
          <w:ilvl w:val="0"/>
        </w:numPr>
      </w:pPr>
      <w:r>
        <w:t xml:space="preserve">Marker genes</w:t>
      </w:r>
    </w:p>
    <w:p>
      <w:pPr>
        <w:pStyle w:val="Compact"/>
        <w:numPr>
          <w:numId w:val="1018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17"/>
          <w:ilvl w:val="0"/>
        </w:numPr>
      </w:pPr>
      <w:r>
        <w:t xml:space="preserve">Reviews</w:t>
      </w:r>
    </w:p>
    <w:p>
      <w:pPr>
        <w:pStyle w:val="Compact"/>
        <w:numPr>
          <w:numId w:val="1017"/>
          <w:ilvl w:val="0"/>
        </w:numPr>
      </w:pPr>
      <w:r>
        <w:t xml:space="preserve">Classification</w:t>
      </w:r>
    </w:p>
    <w:p>
      <w:pPr>
        <w:pStyle w:val="Heading2"/>
      </w:pPr>
      <w:bookmarkStart w:id="49" w:name="kidney-development"/>
      <w:r>
        <w:t xml:space="preserve">Kidney development</w:t>
      </w:r>
      <w:bookmarkEnd w:id="49"/>
    </w:p>
    <w:p>
      <w:pPr>
        <w:pStyle w:val="Heading3"/>
      </w:pPr>
      <w:bookmarkStart w:id="50" w:name="structure-and-function"/>
      <w:r>
        <w:t xml:space="preserve">Structure and function</w:t>
      </w:r>
      <w:bookmarkEnd w:id="50"/>
    </w:p>
    <w:p>
      <w:pPr>
        <w:pStyle w:val="Compact"/>
        <w:numPr>
          <w:numId w:val="1019"/>
          <w:ilvl w:val="0"/>
        </w:numPr>
      </w:pPr>
      <w:r>
        <w:t xml:space="preserve">Kidney structure</w:t>
      </w:r>
    </w:p>
    <w:p>
      <w:pPr>
        <w:pStyle w:val="Compact"/>
        <w:numPr>
          <w:numId w:val="1019"/>
          <w:ilvl w:val="0"/>
        </w:numPr>
      </w:pPr>
      <w:r>
        <w:t xml:space="preserve">Nephron structure</w:t>
      </w:r>
    </w:p>
    <w:p>
      <w:pPr>
        <w:pStyle w:val="Compact"/>
        <w:numPr>
          <w:numId w:val="1019"/>
          <w:ilvl w:val="0"/>
        </w:numPr>
      </w:pPr>
      <w:r>
        <w:t xml:space="preserve">Important cell types</w:t>
      </w:r>
    </w:p>
    <w:p>
      <w:pPr>
        <w:pStyle w:val="Heading3"/>
      </w:pPr>
      <w:bookmarkStart w:id="51" w:name="stages-of-development"/>
      <w:r>
        <w:t xml:space="preserve">Stages of development</w:t>
      </w:r>
      <w:bookmarkEnd w:id="51"/>
    </w:p>
    <w:p>
      <w:pPr>
        <w:pStyle w:val="Compact"/>
        <w:numPr>
          <w:numId w:val="1020"/>
          <w:ilvl w:val="0"/>
        </w:numPr>
      </w:pPr>
      <w:r>
        <w:t xml:space="preserve">Lineage</w:t>
      </w:r>
    </w:p>
    <w:p>
      <w:pPr>
        <w:pStyle w:val="Compact"/>
        <w:numPr>
          <w:numId w:val="1020"/>
          <w:ilvl w:val="0"/>
        </w:numPr>
      </w:pPr>
      <w:r>
        <w:t xml:space="preserve">Important genes</w:t>
      </w:r>
    </w:p>
    <w:p>
      <w:pPr>
        <w:pStyle w:val="Heading3"/>
      </w:pPr>
      <w:bookmarkStart w:id="52" w:name="growing-kidney-organoids"/>
      <w:r>
        <w:t xml:space="preserve">Growing kidney organoids</w:t>
      </w:r>
      <w:bookmarkEnd w:id="52"/>
    </w:p>
    <w:p>
      <w:pPr>
        <w:pStyle w:val="Compact"/>
        <w:numPr>
          <w:numId w:val="1021"/>
          <w:ilvl w:val="0"/>
        </w:numPr>
      </w:pPr>
      <w:r>
        <w:t xml:space="preserve">Why?</w:t>
      </w:r>
    </w:p>
    <w:p>
      <w:pPr>
        <w:pStyle w:val="Compact"/>
        <w:numPr>
          <w:numId w:val="1022"/>
          <w:ilvl w:val="1"/>
        </w:numPr>
      </w:pPr>
      <w:r>
        <w:t xml:space="preserve">Disease modelling</w:t>
      </w:r>
    </w:p>
    <w:p>
      <w:pPr>
        <w:pStyle w:val="Compact"/>
        <w:numPr>
          <w:numId w:val="1021"/>
          <w:ilvl w:val="0"/>
        </w:numPr>
      </w:pPr>
      <w:r>
        <w:t xml:space="preserve">Protocol</w:t>
      </w:r>
    </w:p>
    <w:p>
      <w:pPr>
        <w:pStyle w:val="Compact"/>
        <w:numPr>
          <w:numId w:val="1021"/>
          <w:ilvl w:val="0"/>
        </w:numPr>
      </w:pPr>
      <w:r>
        <w:t xml:space="preserve">Growth factors</w:t>
      </w:r>
    </w:p>
    <w:p>
      <w:pPr>
        <w:pStyle w:val="Compact"/>
        <w:numPr>
          <w:numId w:val="1021"/>
          <w:ilvl w:val="0"/>
        </w:numPr>
      </w:pPr>
      <w:r>
        <w:t xml:space="preserve">Characterisation</w:t>
      </w:r>
    </w:p>
    <w:p>
      <w:pPr>
        <w:pStyle w:val="Compact"/>
        <w:numPr>
          <w:numId w:val="1021"/>
          <w:ilvl w:val="0"/>
        </w:numPr>
      </w:pPr>
      <w:r>
        <w:t xml:space="preserve">Reproducibility</w:t>
      </w:r>
    </w:p>
    <w:p>
      <w:pPr>
        <w:pStyle w:val="Heading1"/>
      </w:pPr>
      <w:bookmarkStart w:id="53" w:name="the-scrna-seq-tools-landscape"/>
      <w:r>
        <w:t xml:space="preserve">The scRNA-seq tools landscape</w:t>
      </w:r>
      <w:bookmarkEnd w:id="53"/>
    </w:p>
    <w:p>
      <w:pPr>
        <w:pStyle w:val="Heading1"/>
      </w:pPr>
      <w:bookmarkStart w:id="54" w:name="simulating-scrna-seq-data"/>
      <w:r>
        <w:t xml:space="preserve">Simulating scRNA-seq data</w:t>
      </w:r>
      <w:bookmarkEnd w:id="54"/>
    </w:p>
    <w:p>
      <w:pPr>
        <w:pStyle w:val="Heading2"/>
      </w:pPr>
      <w:bookmarkStart w:id="55" w:name="introduction-1"/>
      <w:r>
        <w:t xml:space="preserve">Introduction</w:t>
      </w:r>
      <w:bookmarkEnd w:id="55"/>
    </w:p>
    <w:p>
      <w:pPr>
        <w:pStyle w:val="Heading2"/>
      </w:pPr>
      <w:bookmarkStart w:id="56" w:name="splatter-publication"/>
      <w:r>
        <w:t xml:space="preserve">Splatter publication</w:t>
      </w:r>
      <w:bookmarkEnd w:id="56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8" w:name="visualising-clustering-across-resolutions"/>
      <w:r>
        <w:t xml:space="preserve">Visualising clustering across resolutions</w:t>
      </w:r>
      <w:bookmarkEnd w:id="58"/>
    </w:p>
    <w:p>
      <w:pPr>
        <w:pStyle w:val="Heading1"/>
      </w:pPr>
      <w:bookmarkStart w:id="59" w:name="analysis-of-kidney-organoid-scrna-seq-data"/>
      <w:r>
        <w:t xml:space="preserve">Analysis of kidney organoid scRNA-seq data</w:t>
      </w:r>
      <w:bookmarkEnd w:id="59"/>
    </w:p>
    <w:p>
      <w:pPr>
        <w:pStyle w:val="Heading1"/>
      </w:pPr>
      <w:bookmarkStart w:id="60" w:name="conclusion"/>
      <w:r>
        <w:t xml:space="preserve">Conclusion</w:t>
      </w:r>
      <w:bookmarkEnd w:id="60"/>
    </w:p>
    <w:p>
      <w:pPr>
        <w:pStyle w:val="Heading1"/>
      </w:pPr>
      <w:bookmarkStart w:id="61" w:name="references"/>
      <w:r>
        <w:t xml:space="preserve">References</w:t>
      </w:r>
      <w:bookmarkEnd w:id="61"/>
    </w:p>
    <w:bookmarkStart w:id="62" w:name="refs"/>
    <w:bookmarkEnd w:id="62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39a618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a503f41f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9f6df5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7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2018-11-24T01:09:14Z</dcterms:created>
  <dcterms:modified xsi:type="dcterms:W3CDTF">2018-11-24T01:09:14Z</dcterms:modified>
</cp:coreProperties>
</file>