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Compact"/>
        <w:numPr>
          <w:numId w:val="101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integrating-multiple-datasets"/>
      <w:r>
        <w:t xml:space="preserve">Integrating multiple datasets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SourceCode"/>
      </w:pPr>
      <w:r>
        <w:rPr>
          <w:rStyle w:val="VerbatimChar"/>
        </w:rPr>
        <w:t xml:space="preserve">Technical variation is a known problem in high-throughput studies and Kim et al.</w:t>
      </w:r>
      <w:r>
        <w:br w:type="textWrapping"/>
      </w:r>
      <w:r>
        <w:rPr>
          <w:rStyle w:val="VerbatimChar"/>
        </w:rPr>
        <w:t xml:space="preserve">predict that only 17.8 percent of allele-specific expression is due to</w:t>
      </w:r>
      <w:r>
        <w:br w:type="textWrapping"/>
      </w:r>
      <w:r>
        <w:rPr>
          <w:rStyle w:val="VerbatimChar"/>
        </w:rPr>
        <w:t xml:space="preserve">biological variation with the rest being technical noise[@Kim2015-mo]. Effective</w:t>
      </w:r>
      <w:r>
        <w:br w:type="textWrapping"/>
      </w:r>
      <w:r>
        <w:rPr>
          <w:rStyle w:val="VerbatimChar"/>
        </w:rPr>
        <w:t xml:space="preserve">normalisation has been shown to be a crucial aspect of analysis for bulk RNA-seq</w:t>
      </w:r>
      <w:r>
        <w:br w:type="textWrapping"/>
      </w:r>
      <w:r>
        <w:rPr>
          <w:rStyle w:val="VerbatimChar"/>
        </w:rPr>
        <w:t xml:space="preserve">datasets, but how normalisation should be be applied to single-cell datasets is</w:t>
      </w:r>
      <w:r>
        <w:br w:type="textWrapping"/>
      </w:r>
      <w:r>
        <w:rPr>
          <w:rStyle w:val="VerbatimChar"/>
        </w:rPr>
        <w:t xml:space="preserve">yet to be clearly established. Some studies use simple transformations like</w:t>
      </w:r>
      <w:r>
        <w:br w:type="textWrapping"/>
      </w:r>
      <w:r>
        <w:rPr>
          <w:rStyle w:val="VerbatimChar"/>
        </w:rPr>
        <w:t xml:space="preserve">Reads (or Fragments) Per Kilobase per Million (RPKM/FPKM)[@Mortazavi2008-vu] or</w:t>
      </w:r>
      <w:r>
        <w:br w:type="textWrapping"/>
      </w:r>
      <w:r>
        <w:rPr>
          <w:rStyle w:val="VerbatimChar"/>
        </w:rPr>
        <w:t xml:space="preserve">Transcripts Per Million (TPM)[@Wagner2012-qf] which correct for library size and</w:t>
      </w:r>
      <w:r>
        <w:br w:type="textWrapping"/>
      </w:r>
      <w:r>
        <w:rPr>
          <w:rStyle w:val="VerbatimChar"/>
        </w:rPr>
        <w:t xml:space="preserve">gene length. Alternatively, normalisation methods designed for detecting</w:t>
      </w:r>
      <w:r>
        <w:br w:type="textWrapping"/>
      </w:r>
      <w:r>
        <w:rPr>
          <w:rStyle w:val="VerbatimChar"/>
        </w:rPr>
        <w:t xml:space="preserve">differential expression in bulk samples such as the Trimmed Mean of M-Values</w:t>
      </w:r>
      <w:r>
        <w:br w:type="textWrapping"/>
      </w:r>
      <w:r>
        <w:rPr>
          <w:rStyle w:val="VerbatimChar"/>
        </w:rPr>
        <w:t xml:space="preserve">(TMM)[@Robinson2010-ll] or the DESeq method[@Anders2010-pq] can be applied, but</w:t>
      </w:r>
      <w:r>
        <w:br w:type="textWrapping"/>
      </w:r>
      <w:r>
        <w:rPr>
          <w:rStyle w:val="VerbatimChar"/>
        </w:rPr>
        <w:t xml:space="preserve">it is unclear how suitable they are for the single-cell context. Most of the</w:t>
      </w:r>
      <w:r>
        <w:br w:type="textWrapping"/>
      </w:r>
      <w:r>
        <w:rPr>
          <w:rStyle w:val="VerbatimChar"/>
        </w:rPr>
        <w:t xml:space="preserve">methods that have been developed specifically for estimating technical variance</w:t>
      </w:r>
      <w:r>
        <w:br w:type="textWrapping"/>
      </w:r>
      <w:r>
        <w:rPr>
          <w:rStyle w:val="VerbatimChar"/>
        </w:rPr>
        <w:t xml:space="preserve">in scRNA-seq data make use of spike-ins. Brennecke et al.[@Brennecke2013-pt],</w:t>
      </w:r>
      <w:r>
        <w:br w:type="textWrapping"/>
      </w:r>
      <w:r>
        <w:rPr>
          <w:rStyle w:val="VerbatimChar"/>
        </w:rPr>
        <w:t xml:space="preserve">Ding et al.[@Ding2015-ht] and Grün, Kester and van Oudenaarden[@Grun2014-zn] all</w:t>
      </w:r>
      <w:r>
        <w:br w:type="textWrapping"/>
      </w:r>
      <w:r>
        <w:rPr>
          <w:rStyle w:val="VerbatimChar"/>
        </w:rPr>
        <w:t xml:space="preserve">propose methods for estimating technical variance using spike-ins, as does</w:t>
      </w:r>
      <w:r>
        <w:br w:type="textWrapping"/>
      </w:r>
      <w:r>
        <w:rPr>
          <w:rStyle w:val="VerbatimChar"/>
        </w:rPr>
        <w:t xml:space="preserve">Bayesian Analysis of Single-Cell Sequencing data (BASiCS)[@Vallejos2015-ef].</w:t>
      </w:r>
      <w:r>
        <w:br w:type="textWrapping"/>
      </w:r>
      <w:r>
        <w:rPr>
          <w:rStyle w:val="VerbatimChar"/>
        </w:rPr>
        <w:t xml:space="preserve">However, using spike-ins for normalisation relys on the assumption that they</w:t>
      </w:r>
      <w:r>
        <w:br w:type="textWrapping"/>
      </w:r>
      <w:r>
        <w:rPr>
          <w:rStyle w:val="VerbatimChar"/>
        </w:rPr>
        <w:t xml:space="preserve">properly capture the dynamics of the underlying datasets, and even if this is</w:t>
      </w:r>
      <w:r>
        <w:br w:type="textWrapping"/>
      </w:r>
      <w:r>
        <w:rPr>
          <w:rStyle w:val="VerbatimChar"/>
        </w:rPr>
        <w:t xml:space="preserve">the case is it restrictive as they are not compatible with all current</w:t>
      </w:r>
      <w:r>
        <w:br w:type="textWrapping"/>
      </w:r>
      <w:r>
        <w:rPr>
          <w:rStyle w:val="VerbatimChar"/>
        </w:rPr>
        <w:t xml:space="preserve">sequencing protocols. Lun, Bach and Marioni don't make use of spike-ins, instead</w:t>
      </w:r>
      <w:r>
        <w:br w:type="textWrapping"/>
      </w:r>
      <w:r>
        <w:rPr>
          <w:rStyle w:val="VerbatimChar"/>
        </w:rPr>
        <w:t xml:space="preserve">using a pooling approach to compensate for the large number of zero counts,</w:t>
      </w:r>
      <w:r>
        <w:br w:type="textWrapping"/>
      </w:r>
      <w:r>
        <w:rPr>
          <w:rStyle w:val="VerbatimChar"/>
        </w:rPr>
        <w:t xml:space="preserve">where expression levels are summed across similar cells before calculating</w:t>
      </w:r>
      <w:r>
        <w:br w:type="textWrapping"/>
      </w:r>
      <w:r>
        <w:rPr>
          <w:rStyle w:val="VerbatimChar"/>
        </w:rPr>
        <w:t xml:space="preserve">normalisation factors that are deconvolved back to the individual cell</w:t>
      </w:r>
      <w:r>
        <w:br w:type="textWrapping"/>
      </w:r>
      <w:r>
        <w:rPr>
          <w:rStyle w:val="VerbatimChar"/>
        </w:rPr>
        <w:t xml:space="preserve">level[@Lun2016-mq].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Once a set of high-quality cells has been established the true analysis can</w:t>
      </w:r>
      <w:r>
        <w:br w:type="textWrapping"/>
      </w:r>
      <w:r>
        <w:rPr>
          <w:rStyle w:val="VerbatimChar"/>
        </w:rPr>
        <w:t xml:space="preserve">begin. Many of the current packages focus on the task of assigning cells to</w:t>
      </w:r>
      <w:r>
        <w:br w:type="textWrapping"/>
      </w:r>
      <w:r>
        <w:rPr>
          <w:rStyle w:val="VerbatimChar"/>
        </w:rPr>
        <w:t xml:space="preserve">groups before applying more traditional differential expression testing. This</w:t>
      </w:r>
      <w:r>
        <w:br w:type="textWrapping"/>
      </w:r>
      <w:r>
        <w:rPr>
          <w:rStyle w:val="VerbatimChar"/>
        </w:rPr>
        <w:t xml:space="preserve">approach makes sense for a sample with a defined set of mature cell types and is</w:t>
      </w:r>
      <w:r>
        <w:br w:type="textWrapping"/>
      </w:r>
      <w:r>
        <w:rPr>
          <w:rStyle w:val="VerbatimChar"/>
        </w:rPr>
        <w:t xml:space="preserve">taken by tools such as SINgle CEll RNA-seq profiling Analysis</w:t>
      </w:r>
      <w:r>
        <w:br w:type="textWrapping"/>
      </w:r>
      <w:r>
        <w:rPr>
          <w:rStyle w:val="VerbatimChar"/>
        </w:rPr>
        <w:t xml:space="preserve">(SINCERA)[@Guo2015-mf], Single-Cell Consensus Clustering (SC3)[@Kiselev2016-fa],</w:t>
      </w:r>
      <w:r>
        <w:br w:type="textWrapping"/>
      </w:r>
      <w:r>
        <w:rPr>
          <w:rStyle w:val="VerbatimChar"/>
        </w:rPr>
        <w:t xml:space="preserve">Seurat[@Satija2015-or], single-cell latent variable model</w:t>
      </w:r>
      <w:r>
        <w:br w:type="textWrapping"/>
      </w:r>
      <w:r>
        <w:rPr>
          <w:rStyle w:val="VerbatimChar"/>
        </w:rPr>
        <w:t xml:space="preserve">(scLVM)[@Buettner2015-rq] and Spanning-tree Progression Analysis of</w:t>
      </w:r>
      <w:r>
        <w:br w:type="textWrapping"/>
      </w:r>
      <w:r>
        <w:rPr>
          <w:rStyle w:val="VerbatimChar"/>
        </w:rPr>
        <w:t xml:space="preserve">Density-normalised Events (SPADE)[@Anchang2016-vo], as well as BackSPIN which</w:t>
      </w:r>
      <w:r>
        <w:br w:type="textWrapping"/>
      </w:r>
      <w:r>
        <w:rPr>
          <w:rStyle w:val="VerbatimChar"/>
        </w:rPr>
        <w:t xml:space="preserve">was used to identify nine cell types and 47 distinct subclasses in the mouse</w:t>
      </w:r>
      <w:r>
        <w:br w:type="textWrapping"/>
      </w:r>
      <w:r>
        <w:rPr>
          <w:rStyle w:val="VerbatimChar"/>
        </w:rPr>
        <w:t xml:space="preserve">cortex and hippocampus[@Zeisel2015-rd]. These tools attempt to cluster similar</w:t>
      </w:r>
      <w:r>
        <w:br w:type="textWrapping"/>
      </w:r>
      <w:r>
        <w:rPr>
          <w:rStyle w:val="VerbatimChar"/>
        </w:rPr>
        <w:t xml:space="preserve">cells together based on their expression profiles, forming groups of cells of</w:t>
      </w:r>
      <w:r>
        <w:br w:type="textWrapping"/>
      </w:r>
      <w:r>
        <w:rPr>
          <w:rStyle w:val="VerbatimChar"/>
        </w:rPr>
        <w:t xml:space="preserve">the same type. Often a dimensionality reduction step is included which can help</w:t>
      </w:r>
      <w:r>
        <w:br w:type="textWrapping"/>
      </w:r>
      <w:r>
        <w:rPr>
          <w:rStyle w:val="VerbatimChar"/>
        </w:rPr>
        <w:t xml:space="preserve">to remove some of the noise present in scRNA-seq data. Once groups of cells are</w:t>
      </w:r>
      <w:r>
        <w:br w:type="textWrapping"/>
      </w:r>
      <w:r>
        <w:rPr>
          <w:rStyle w:val="VerbatimChar"/>
        </w:rPr>
        <w:t xml:space="preserve">identified many of these packages can test genes for changes in expression,</w:t>
      </w:r>
      <w:r>
        <w:br w:type="textWrapping"/>
      </w:r>
      <w:r>
        <w:rPr>
          <w:rStyle w:val="VerbatimChar"/>
        </w:rPr>
        <w:t xml:space="preserve">identifying genes that are differentially expressed across the groups, or marker</w:t>
      </w:r>
      <w:r>
        <w:br w:type="textWrapping"/>
      </w:r>
      <w:r>
        <w:rPr>
          <w:rStyle w:val="VerbatimChar"/>
        </w:rPr>
        <w:t xml:space="preserve">genes that are expressed in a single group. These genes can be used to identify</w:t>
      </w:r>
      <w:r>
        <w:br w:type="textWrapping"/>
      </w:r>
      <w:r>
        <w:rPr>
          <w:rStyle w:val="VerbatimChar"/>
        </w:rPr>
        <w:t xml:space="preserve">which cell types each group represents, or alternatively known marker genes can</w:t>
      </w:r>
      <w:r>
        <w:br w:type="textWrapping"/>
      </w:r>
      <w:r>
        <w:rPr>
          <w:rStyle w:val="VerbatimChar"/>
        </w:rPr>
        <w:t xml:space="preserve">be inspected.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d5bd60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c11b3c1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60e27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2018-11-24T00:36:30Z</dcterms:created>
  <dcterms:modified xsi:type="dcterms:W3CDTF">2018-11-24T00:36:30Z</dcterms:modified>
</cp:coreProperties>
</file>