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7"/>
          <w:ilvl w:val="1"/>
        </w:numPr>
      </w:pPr>
      <w:r>
        <w:t xml:space="preserve">CRISPR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FirstParagraph"/>
      </w:pPr>
      <w:r>
        <w:t xml:space="preserve">To be accepted and used any computational method for data analysis needs to</w:t>
      </w:r>
      <w:r>
        <w:t xml:space="preserve"> </w:t>
      </w:r>
      <w:r>
        <w:t xml:space="preserve">demonstrate that it is effective at the task it aims to complete. Ideally this</w:t>
      </w:r>
      <w:r>
        <w:t xml:space="preserve"> </w:t>
      </w:r>
      <w:r>
        <w:t xml:space="preserve">can be done by evaluating performance on a real dataset where the results are</w:t>
      </w:r>
      <w:r>
        <w:t xml:space="preserve"> </w:t>
      </w:r>
      <w:r>
        <w:t xml:space="preserve">already known. Unfortunately in many case such gold standard datasets are not</w:t>
      </w:r>
      <w:r>
        <w:t xml:space="preserve"> </w:t>
      </w:r>
      <w:r>
        <w:t xml:space="preserve">available. This is particular true for genomic data where it is difficult to</w:t>
      </w:r>
      <w:r>
        <w:t xml:space="preserve"> </w:t>
      </w:r>
      <w:r>
        <w:t xml:space="preserve">know what the truth is or it is limited to only small sections of the genome.</w:t>
      </w:r>
      <w:r>
        <w:t xml:space="preserve"> </w:t>
      </w:r>
      <w:r>
        <w:t xml:space="preserve">It is possible to create some genomic datasets where the truth is known, for</w:t>
      </w:r>
      <w:r>
        <w:t xml:space="preserve"> </w:t>
      </w:r>
      <w:r>
        <w:t xml:space="preserve">example through carefully performed mixing experiments, but these often do not</w:t>
      </w:r>
      <w:r>
        <w:t xml:space="preserve"> </w:t>
      </w:r>
      <w:r>
        <w:t xml:space="preserve">capture the true biological complexity. In many cases the most effective way to</w:t>
      </w:r>
      <w:r>
        <w:t xml:space="preserve"> </w:t>
      </w:r>
      <w:r>
        <w:t xml:space="preserve">evaluate an analysis method is by testing it on a simulated datasets.</w:t>
      </w:r>
      <w:r>
        <w:t xml:space="preserve"> </w:t>
      </w:r>
      <w:r>
        <w:t xml:space="preserve">Simulations have the additional advantage of relatively cheap and easy to</w:t>
      </w:r>
      <w:r>
        <w:t xml:space="preserve"> </w:t>
      </w:r>
      <w:r>
        <w:t xml:space="preserve">produce allowing exploration of a wide range of possible parameters. This is</w:t>
      </w:r>
      <w:r>
        <w:t xml:space="preserve"> </w:t>
      </w:r>
      <w:r>
        <w:t xml:space="preserve">the approach taken by many early methods for scRNA-seq analysis but often the</w:t>
      </w:r>
      <w:r>
        <w:t xml:space="preserve"> </w:t>
      </w:r>
      <w:r>
        <w:t xml:space="preserve">simulations they used where not well explained, code for reproducing them was</w:t>
      </w:r>
      <w:r>
        <w:t xml:space="preserve"> </w:t>
      </w:r>
      <w:r>
        <w:t xml:space="preserve">not available and perhaps most importantly they didn’t show that the synthetic</w:t>
      </w:r>
      <w:r>
        <w:t xml:space="preserve"> </w:t>
      </w:r>
      <w:r>
        <w:t xml:space="preserve">datasets were similar to real scRNA-seq data.</w:t>
      </w:r>
    </w:p>
    <w:p>
      <w:pPr>
        <w:pStyle w:val="BodyText"/>
      </w:pPr>
      <w:r>
        <w:t xml:space="preserve">This chapter presents Splatter, a software package for simulating scRNA-seq</w:t>
      </w:r>
      <w:r>
        <w:t xml:space="preserve"> </w:t>
      </w:r>
      <w:r>
        <w:t xml:space="preserve">datasets presented in a publication in</w:t>
      </w:r>
      <w:r>
        <w:t xml:space="preserve"> </w:t>
      </w:r>
      <w:r>
        <w:rPr>
          <w:i/>
        </w:rPr>
        <w:t xml:space="preserve">Genome Biology</w:t>
      </w:r>
      <w:r>
        <w:t xml:space="preserve">. Splatter is designed to</w:t>
      </w:r>
      <w:r>
        <w:t xml:space="preserve"> </w:t>
      </w:r>
      <w:r>
        <w:t xml:space="preserve">provide a consistent, easy-to-use interface for multiple scRNA-seq simulation</w:t>
      </w:r>
      <w:r>
        <w:t xml:space="preserve"> </w:t>
      </w:r>
      <w:r>
        <w:t xml:space="preserve">models previously used to develop analysis tools. We do this by providing two</w:t>
      </w:r>
      <w:r>
        <w:t xml:space="preserve"> </w:t>
      </w:r>
      <w:r>
        <w:t xml:space="preserve">functions for each model, one which estimates parameters from a real dataset</w:t>
      </w:r>
      <w:r>
        <w:t xml:space="preserve"> </w:t>
      </w:r>
      <w:r>
        <w:t xml:space="preserve">and a second that generates a synthetic dataset using those parameters. Each</w:t>
      </w:r>
      <w:r>
        <w:t xml:space="preserve"> </w:t>
      </w:r>
      <w:r>
        <w:t xml:space="preserve">model has different assumptions and reproduces different aspects of scRNA-seq</w:t>
      </w:r>
      <w:r>
        <w:t xml:space="preserve"> </w:t>
      </w:r>
      <w:r>
        <w:t xml:space="preserve">data and we explain these differences in the paper. We also present Splat, our</w:t>
      </w:r>
      <w:r>
        <w:t xml:space="preserve"> </w:t>
      </w:r>
      <w:r>
        <w:t xml:space="preserve">own simulation model based on the Gamma-Poisson distribution. This model</w:t>
      </w:r>
      <w:r>
        <w:t xml:space="preserve"> </w:t>
      </w:r>
      <w:r>
        <w:t xml:space="preserve">includes several aspects of scRNA-seq data including highly expressed outliers</w:t>
      </w:r>
      <w:r>
        <w:t xml:space="preserve"> </w:t>
      </w:r>
      <w:r>
        <w:t xml:space="preserve">genes, differences in library sizes between cells a relationship between the</w:t>
      </w:r>
      <w:r>
        <w:t xml:space="preserve"> </w:t>
      </w:r>
      <w:r>
        <w:t xml:space="preserve">mean and the variance of each gene and the ability to add a dropout effect</w:t>
      </w:r>
      <w:r>
        <w:t xml:space="preserve"> </w:t>
      </w:r>
      <w:r>
        <w:t xml:space="preserve">linked to gene expression. When designing the Splat simulation our goal was to</w:t>
      </w:r>
      <w:r>
        <w:t xml:space="preserve"> </w:t>
      </w:r>
      <w:r>
        <w:t xml:space="preserve">reproduce scRNA-seq data as well as possible rather than test a specific method</w:t>
      </w:r>
      <w:r>
        <w:t xml:space="preserve"> </w:t>
      </w:r>
      <w:r>
        <w:t xml:space="preserve">with the result being that the model is highly flexible and able to generate a</w:t>
      </w:r>
      <w:r>
        <w:t xml:space="preserve"> </w:t>
      </w:r>
      <w:r>
        <w:t xml:space="preserve">range of scenarios including datasets with multiple groups of cells, batch</w:t>
      </w:r>
      <w:r>
        <w:t xml:space="preserve"> </w:t>
      </w:r>
      <w:r>
        <w:t xml:space="preserve">effects and continuous trajectories.</w:t>
      </w:r>
    </w:p>
    <w:p>
      <w:pPr>
        <w:pStyle w:val="BodyText"/>
      </w:pPr>
      <w:r>
        <w:t xml:space="preserve">In the paper we compare how well each simulations reproduces a range of</w:t>
      </w:r>
      <w:r>
        <w:t xml:space="preserve"> </w:t>
      </w:r>
      <w:r>
        <w:t xml:space="preserve">scRNA-seq datasets including UMI and full-length protocol, different capture</w:t>
      </w:r>
      <w:r>
        <w:t xml:space="preserve"> </w:t>
      </w:r>
      <w:r>
        <w:t xml:space="preserve">methods and homogenous and complex tissues. We found that the Splat simulation</w:t>
      </w:r>
      <w:r>
        <w:t xml:space="preserve"> </w:t>
      </w:r>
      <w:r>
        <w:t xml:space="preserve">was a good match for some of these simulations across a range of methods,</w:t>
      </w:r>
      <w:r>
        <w:t xml:space="preserve"> </w:t>
      </w:r>
      <w:r>
        <w:t xml:space="preserve">however it was also clear that some models more faithfully reproduced different</w:t>
      </w:r>
      <w:r>
        <w:t xml:space="preserve"> </w:t>
      </w:r>
      <w:r>
        <w:t xml:space="preserve">aspects of the data, particularly for datasets from different sources. The</w:t>
      </w:r>
      <w:r>
        <w:t xml:space="preserve"> </w:t>
      </w:r>
      <w:r>
        <w:t xml:space="preserve">Splatter R package is available for download from Bioconductor</w:t>
      </w:r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https://bioconductor.org/packages/splatter</w:t>
        </w:r>
      </w:hyperlink>
      <w:r>
        <w:t xml:space="preserve">).</w:t>
      </w:r>
    </w:p>
    <w:p>
      <w:pPr>
        <w:pStyle w:val="Heading2"/>
      </w:pPr>
      <w:bookmarkStart w:id="58" w:name="splatter-publication"/>
      <w:r>
        <w:t xml:space="preserve">Splatter publication</w:t>
      </w:r>
      <w:bookmarkEnd w:id="58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60" w:name="visualising-clustering-across-resolutions"/>
      <w:r>
        <w:t xml:space="preserve">Visualising clustering across resolutions</w:t>
      </w:r>
      <w:bookmarkEnd w:id="60"/>
    </w:p>
    <w:p>
      <w:pPr>
        <w:pStyle w:val="Heading1"/>
      </w:pPr>
      <w:bookmarkStart w:id="61" w:name="analysis-of-kidney-organoid-scrna-seq-data"/>
      <w:r>
        <w:t xml:space="preserve">Analysis of kidney organoid scRNA-seq data</w:t>
      </w:r>
      <w:bookmarkEnd w:id="61"/>
    </w:p>
    <w:p>
      <w:pPr>
        <w:pStyle w:val="Heading1"/>
      </w:pPr>
      <w:bookmarkStart w:id="62" w:name="conclusion"/>
      <w:r>
        <w:t xml:space="preserve">Conclusion</w:t>
      </w:r>
      <w:bookmarkEnd w:id="62"/>
    </w:p>
    <w:p>
      <w:pPr>
        <w:pStyle w:val="Heading1"/>
      </w:pPr>
      <w:bookmarkStart w:id="63" w:name="references"/>
      <w:r>
        <w:t xml:space="preserve">References</w:t>
      </w:r>
      <w:bookmarkEnd w:id="63"/>
    </w:p>
    <w:bookmarkStart w:id="64" w:name="refs"/>
    <w:bookmarkEnd w:id="64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7654d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61b2b9e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6a5a5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57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9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9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2018-11-25T02:57:05Z</dcterms:created>
  <dcterms:modified xsi:type="dcterms:W3CDTF">2018-11-25T02:57:05Z</dcterms:modified>
</cp:coreProperties>
</file>