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3"/>
          <w:ilvl w:val="1"/>
        </w:numPr>
      </w:pPr>
      <w:r>
        <w:t xml:space="preserve">Flow of information in cell</w:t>
      </w:r>
    </w:p>
    <w:p>
      <w:pPr>
        <w:pStyle w:val="Compact"/>
        <w:numPr>
          <w:numId w:val="1003"/>
          <w:ilvl w:val="1"/>
        </w:numPr>
      </w:pPr>
      <w:r>
        <w:t xml:space="preserve">DNA - long term storage</w:t>
      </w:r>
    </w:p>
    <w:p>
      <w:pPr>
        <w:pStyle w:val="Compact"/>
        <w:numPr>
          <w:numId w:val="1003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04"/>
          <w:ilvl w:val="2"/>
        </w:numPr>
      </w:pPr>
      <w:r>
        <w:t xml:space="preserve">Messenger RNA</w:t>
      </w:r>
    </w:p>
    <w:p>
      <w:pPr>
        <w:pStyle w:val="Compact"/>
        <w:numPr>
          <w:numId w:val="1003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3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(that forms part of the ribosome),</w:t>
      </w:r>
      <w:r>
        <w:t xml:space="preserve"> </w:t>
      </w:r>
      <w:r>
        <w:t xml:space="preserve">micro RNA which have a role in regulating gene expression and long-noncoding</w:t>
      </w:r>
      <w:r>
        <w:t xml:space="preserve"> </w:t>
      </w:r>
      <w:r>
        <w:t xml:space="preserve">RNA. Genes are the sections of DNA that encode proteins and are made up of</w:t>
      </w:r>
      <w:r>
        <w:t xml:space="preserve"> </w:t>
      </w:r>
      <w:r>
        <w:t xml:space="preserve">regions that code information (none as exons) with much larger non-coding</w:t>
      </w:r>
      <w:r>
        <w:t xml:space="preserve"> </w:t>
      </w:r>
      <w:r>
        <w:t xml:space="preserve">regions between them (introns). When an mRNA molecule is transcribed it</w:t>
      </w:r>
      <w:r>
        <w:t xml:space="preserve"> </w:t>
      </w:r>
      <w:r>
        <w:t xml:space="preserve">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Why RNA-seq?</w:t>
      </w:r>
    </w:p>
    <w:p>
      <w:pPr>
        <w:pStyle w:val="Compact"/>
        <w:numPr>
          <w:numId w:val="1006"/>
          <w:ilvl w:val="1"/>
        </w:numPr>
      </w:pPr>
      <w:r>
        <w:t xml:space="preserve">What is happening?</w:t>
      </w:r>
    </w:p>
    <w:p>
      <w:pPr>
        <w:pStyle w:val="Compact"/>
        <w:numPr>
          <w:numId w:val="1006"/>
          <w:ilvl w:val="1"/>
        </w:numPr>
      </w:pPr>
      <w:r>
        <w:t xml:space="preserve">High throughput</w:t>
      </w:r>
    </w:p>
    <w:p>
      <w:pPr>
        <w:pStyle w:val="Compact"/>
        <w:numPr>
          <w:numId w:val="1006"/>
          <w:ilvl w:val="1"/>
        </w:numPr>
      </w:pPr>
      <w:r>
        <w:t xml:space="preserve">Easy</w:t>
      </w:r>
    </w:p>
    <w:p>
      <w:pPr>
        <w:pStyle w:val="Compact"/>
        <w:numPr>
          <w:numId w:val="1006"/>
          <w:ilvl w:val="1"/>
        </w:numPr>
      </w:pPr>
      <w:r>
        <w:t xml:space="preserve">Unbiased</w:t>
      </w:r>
    </w:p>
    <w:p>
      <w:pPr>
        <w:pStyle w:val="Compact"/>
        <w:numPr>
          <w:numId w:val="1006"/>
          <w:ilvl w:val="1"/>
        </w:numPr>
      </w:pPr>
      <w:r>
        <w:t xml:space="preserve">Complete</w:t>
      </w:r>
    </w:p>
    <w:p>
      <w:pPr>
        <w:pStyle w:val="Compact"/>
        <w:numPr>
          <w:numId w:val="1006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7"/>
          <w:ilvl w:val="0"/>
        </w:numPr>
      </w:pPr>
      <w:r>
        <w:t xml:space="preserve">PolyA capture</w:t>
      </w:r>
    </w:p>
    <w:p>
      <w:pPr>
        <w:pStyle w:val="Compact"/>
        <w:numPr>
          <w:numId w:val="1007"/>
          <w:ilvl w:val="0"/>
        </w:numPr>
      </w:pPr>
      <w:r>
        <w:t xml:space="preserve">Ribosomal depletion</w:t>
      </w:r>
    </w:p>
    <w:p>
      <w:pPr>
        <w:pStyle w:val="SourceCode"/>
      </w:pPr>
      <w:r>
        <w:rPr>
          <w:rStyle w:val="VerbatimChar"/>
        </w:rPr>
        <w:t xml:space="preserve">RNA is less stable than DNA and can easily be degraded. RNA-seq depends on a</w:t>
      </w:r>
      <w:r>
        <w:br w:type="textWrapping"/>
      </w:r>
      <w:r>
        <w:rPr>
          <w:rStyle w:val="VerbatimChar"/>
        </w:rPr>
        <w:t xml:space="preserve">pure and high quality sample, therefore it is important that care is taken</w:t>
      </w:r>
      <w:r>
        <w:br w:type="textWrapping"/>
      </w:r>
      <w:r>
        <w:rPr>
          <w:rStyle w:val="VerbatimChar"/>
        </w:rPr>
        <w:t xml:space="preserve">during preparation steps. This includes use of a stabilizing agent, rapid</w:t>
      </w:r>
      <w:r>
        <w:br w:type="textWrapping"/>
      </w:r>
      <w:r>
        <w:rPr>
          <w:rStyle w:val="VerbatimChar"/>
        </w:rPr>
        <w:t xml:space="preserve">freezing of samples and maintaining a clean working environment. The first step</w:t>
      </w:r>
      <w:r>
        <w:br w:type="textWrapping"/>
      </w:r>
      <w:r>
        <w:rPr>
          <w:rStyle w:val="VerbatimChar"/>
        </w:rPr>
        <w:t xml:space="preserve">in sample preparation is to chemically lyse cells and perform mechanical</w:t>
      </w:r>
      <w:r>
        <w:br w:type="textWrapping"/>
      </w:r>
      <w:r>
        <w:rPr>
          <w:rStyle w:val="VerbatimChar"/>
        </w:rPr>
        <w:t xml:space="preserve">homogenisation, disrupting cell structures and releasing the molecules inside.</w:t>
      </w:r>
      <w:r>
        <w:br w:type="textWrapping"/>
      </w:r>
      <w:r>
        <w:rPr>
          <w:rStyle w:val="VerbatimChar"/>
        </w:rPr>
        <w:t xml:space="preserve">RNA can then be isolated, typically using phenol/chloroform extraction although</w:t>
      </w:r>
      <w:r>
        <w:br w:type="textWrapping"/>
      </w:r>
      <w:r>
        <w:rPr>
          <w:rStyle w:val="VerbatimChar"/>
        </w:rPr>
        <w:t xml:space="preserve">solid-phase extraction using a silica column is also possible.</w:t>
      </w:r>
      <w:r>
        <w:br w:type="textWrapping"/>
      </w:r>
      <w:r>
        <w:br w:type="textWrapping"/>
      </w:r>
      <w:r>
        <w:rPr>
          <w:rStyle w:val="VerbatimChar"/>
        </w:rPr>
        <w:t xml:space="preserve">The total RNA sample obtained in this way typically contains more than 80</w:t>
      </w:r>
      <w:r>
        <w:br w:type="textWrapping"/>
      </w:r>
      <w:r>
        <w:rPr>
          <w:rStyle w:val="VerbatimChar"/>
        </w:rPr>
        <w:t xml:space="preserve">percent ribosomal RNA (rRNA)\cite{raz2011}. This is typically not of interest,</w:t>
      </w:r>
      <w:r>
        <w:br w:type="textWrapping"/>
      </w:r>
      <w:r>
        <w:rPr>
          <w:rStyle w:val="VerbatimChar"/>
        </w:rPr>
        <w:t xml:space="preserve">so to increase the proportion of other RNA types in the sample an optional</w:t>
      </w:r>
      <w:r>
        <w:br w:type="textWrapping"/>
      </w:r>
      <w:r>
        <w:rPr>
          <w:rStyle w:val="VerbatimChar"/>
        </w:rPr>
        <w:t xml:space="preserve">target enrichment step can be performed. Mature messenger RNA (mRNA) molecules</w:t>
      </w:r>
      <w:r>
        <w:br w:type="textWrapping"/>
      </w:r>
      <w:r>
        <w:rPr>
          <w:rStyle w:val="VerbatimChar"/>
        </w:rPr>
        <w:t xml:space="preserve">have a poly-A tail, a sequence of repeated adenine bases, at the 3' end which</w:t>
      </w:r>
      <w:r>
        <w:br w:type="textWrapping"/>
      </w:r>
      <w:r>
        <w:rPr>
          <w:rStyle w:val="VerbatimChar"/>
        </w:rPr>
        <w:t xml:space="preserve">can be selected for by hybridisation to an appropriate oligonucleotide.</w:t>
      </w:r>
      <w:r>
        <w:br w:type="textWrapping"/>
      </w:r>
      <w:r>
        <w:rPr>
          <w:rStyle w:val="VerbatimChar"/>
        </w:rPr>
        <w:t xml:space="preserve">However, this process ignores immature mRNA molecules and non-coding RNA.</w:t>
      </w:r>
      <w:r>
        <w:br w:type="textWrapping"/>
      </w:r>
      <w:r>
        <w:rPr>
          <w:rStyle w:val="VerbatimChar"/>
        </w:rPr>
        <w:t xml:space="preserve">Alternatively, rRNA can be selectively removed, again by hybridising to</w:t>
      </w:r>
      <w:r>
        <w:br w:type="textWrapping"/>
      </w:r>
      <w:r>
        <w:rPr>
          <w:rStyle w:val="VerbatimChar"/>
        </w:rPr>
        <w:t xml:space="preserve">specially designed oligonucleotides specific to the organism. It has been shown</w:t>
      </w:r>
      <w:r>
        <w:br w:type="textWrapping"/>
      </w:r>
      <w:r>
        <w:rPr>
          <w:rStyle w:val="VerbatimChar"/>
        </w:rPr>
        <w:t xml:space="preserve">that the choice of selection method can influence the resulting sequencing</w:t>
      </w:r>
      <w:r>
        <w:br w:type="textWrapping"/>
      </w:r>
      <w:r>
        <w:rPr>
          <w:rStyle w:val="VerbatimChar"/>
        </w:rPr>
        <w:t xml:space="preserve">data, potentially introducing biases that analysts should be aware</w:t>
      </w:r>
      <w:r>
        <w:br w:type="textWrapping"/>
      </w:r>
      <w:r>
        <w:rPr>
          <w:rStyle w:val="VerbatimChar"/>
        </w:rPr>
        <w:t xml:space="preserve">of\cite{sultan2014}.</w:t>
      </w:r>
      <w:r>
        <w:br w:type="textWrapping"/>
      </w:r>
      <w:r>
        <w:br w:type="textWrapping"/>
      </w:r>
      <w:r>
        <w:rPr>
          <w:rStyle w:val="VerbatimChar"/>
        </w:rPr>
        <w:t xml:space="preserve">RNA-seq platforms are generally only capable of producing relatively short</w:t>
      </w:r>
      <w:r>
        <w:br w:type="textWrapping"/>
      </w:r>
      <w:r>
        <w:rPr>
          <w:rStyle w:val="VerbatimChar"/>
        </w:rPr>
        <w:t xml:space="preserve">(approximately 40-400 bp depending on the system and protocol) reads, therefore</w:t>
      </w:r>
      <w:r>
        <w:br w:type="textWrapping"/>
      </w:r>
      <w:r>
        <w:rPr>
          <w:rStyle w:val="VerbatimChar"/>
        </w:rPr>
        <w:t xml:space="preserve">to enable complete coverage of the transcriptome the selected RNA molecules</w:t>
      </w:r>
      <w:r>
        <w:br w:type="textWrapping"/>
      </w:r>
      <w:r>
        <w:rPr>
          <w:rStyle w:val="VerbatimChar"/>
        </w:rPr>
        <w:t xml:space="preserve">must first be fragmented. This can be done using enzyme, metal ion, heat or</w:t>
      </w:r>
      <w:r>
        <w:br w:type="textWrapping"/>
      </w:r>
      <w:r>
        <w:rPr>
          <w:rStyle w:val="VerbatimChar"/>
        </w:rPr>
        <w:t xml:space="preserve">sonication methods to produce a population of fragments approximately equal in</w:t>
      </w:r>
      <w:r>
        <w:br w:type="textWrapping"/>
      </w:r>
      <w:r>
        <w:rPr>
          <w:rStyle w:val="VerbatimChar"/>
        </w:rPr>
        <w:t xml:space="preserve">length. As with any lab process it is important to perform validation and</w:t>
      </w:r>
      <w:r>
        <w:br w:type="textWrapping"/>
      </w:r>
      <w:r>
        <w:rPr>
          <w:rStyle w:val="VerbatimChar"/>
        </w:rPr>
        <w:t xml:space="preserve">quality assessment procedures after each stage using techniques such as</w:t>
      </w:r>
      <w:r>
        <w:br w:type="textWrapping"/>
      </w:r>
      <w:r>
        <w:rPr>
          <w:rStyle w:val="VerbatimChar"/>
        </w:rPr>
        <w:t xml:space="preserve">fluorimetry\cite{arandaiv2009}, spectrophotometry, or the Agilent</w:t>
      </w:r>
      <w:r>
        <w:br w:type="textWrapping"/>
      </w:r>
      <w:r>
        <w:rPr>
          <w:rStyle w:val="VerbatimChar"/>
        </w:rPr>
        <w:t xml:space="preserve">Bioanalyzer\cite{panaro2000} in order to ensure high-quality starting material.</w:t>
      </w:r>
      <w:r>
        <w:br w:type="textWrapping"/>
      </w:r>
      <w:r>
        <w:br w:type="textWrapping"/>
      </w:r>
      <w:r>
        <w:rPr>
          <w:rStyle w:val="VerbatimChar"/>
        </w:rPr>
        <w:t xml:space="preserve">After obtaining an appropriate RNA sample it must be converted to double</w:t>
      </w:r>
      <w:r>
        <w:br w:type="textWrapping"/>
      </w:r>
      <w:r>
        <w:rPr>
          <w:rStyle w:val="VerbatimChar"/>
        </w:rPr>
        <w:t xml:space="preserve">stranded complementary DNA (cDNA) in preparation for sequencing. A retroviral</w:t>
      </w:r>
      <w:r>
        <w:br w:type="textWrapping"/>
      </w:r>
      <w:r>
        <w:rPr>
          <w:rStyle w:val="VerbatimChar"/>
        </w:rPr>
        <w:t xml:space="preserve">reverse transcriptase enzyme is used to produce a single strand of DNA from the</w:t>
      </w:r>
      <w:r>
        <w:br w:type="textWrapping"/>
      </w:r>
      <w:r>
        <w:rPr>
          <w:rStyle w:val="VerbatimChar"/>
        </w:rPr>
        <w:t xml:space="preserve">RNA template. This requires a primer sequence to first be annealed to the</w:t>
      </w:r>
      <w:r>
        <w:br w:type="textWrapping"/>
      </w:r>
      <w:r>
        <w:rPr>
          <w:rStyle w:val="VerbatimChar"/>
        </w:rPr>
        <w:t xml:space="preserve">template in order to initiate polymerisation. Several priming options exist,</w:t>
      </w:r>
      <w:r>
        <w:br w:type="textWrapping"/>
      </w:r>
      <w:r>
        <w:rPr>
          <w:rStyle w:val="VerbatimChar"/>
        </w:rPr>
        <w:t xml:space="preserve">with each having its own advantages and disadvantages. For example, using an</w:t>
      </w:r>
      <w:r>
        <w:br w:type="textWrapping"/>
      </w:r>
      <w:r>
        <w:rPr>
          <w:rStyle w:val="VerbatimChar"/>
        </w:rPr>
        <w:t xml:space="preserve">oligonucletide to bind to the poly-A tail is reliable but is specific to mRNA</w:t>
      </w:r>
      <w:r>
        <w:br w:type="textWrapping"/>
      </w:r>
      <w:r>
        <w:rPr>
          <w:rStyle w:val="VerbatimChar"/>
        </w:rPr>
        <w:t xml:space="preserve">and has a bias towards the 3' end. Alternatively, random primer sequences can</w:t>
      </w:r>
      <w:r>
        <w:br w:type="textWrapping"/>
      </w:r>
      <w:r>
        <w:rPr>
          <w:rStyle w:val="VerbatimChar"/>
        </w:rPr>
        <w:t xml:space="preserve">be used, but preferred priming regions have been observed which may introduce</w:t>
      </w:r>
      <w:r>
        <w:br w:type="textWrapping"/>
      </w:r>
      <w:r>
        <w:rPr>
          <w:rStyle w:val="VerbatimChar"/>
        </w:rPr>
        <w:t xml:space="preserve">an alternative source of bias to be accounted for\cite{roberts2011}. The second</w:t>
      </w:r>
      <w:r>
        <w:br w:type="textWrapping"/>
      </w:r>
      <w:r>
        <w:rPr>
          <w:rStyle w:val="VerbatimChar"/>
        </w:rPr>
        <w:t xml:space="preserve">strand is then synthesised using a DNA polymerase, for example by using the</w:t>
      </w:r>
      <w:r>
        <w:br w:type="textWrapping"/>
      </w:r>
      <w:r>
        <w:rPr>
          <w:rStyle w:val="VerbatimChar"/>
        </w:rPr>
        <w:t xml:space="preserve">SMART (Switching Mechanism At the 5' end of the RNA Transcript) approach, which</w:t>
      </w:r>
      <w:r>
        <w:br w:type="textWrapping"/>
      </w:r>
      <w:r>
        <w:rPr>
          <w:rStyle w:val="VerbatimChar"/>
        </w:rPr>
        <w:t xml:space="preserve">takes advantage of the template-switching ability of the Moloney murine</w:t>
      </w:r>
      <w:r>
        <w:br w:type="textWrapping"/>
      </w:r>
      <w:r>
        <w:rPr>
          <w:rStyle w:val="VerbatimChar"/>
        </w:rPr>
        <w:t xml:space="preserve">leukemia virus reverse transcriptase\cite{zhu2001}. Some platforms require that</w:t>
      </w:r>
      <w:r>
        <w:br w:type="textWrapping"/>
      </w:r>
      <w:r>
        <w:rPr>
          <w:rStyle w:val="VerbatimChar"/>
        </w:rPr>
        <w:t xml:space="preserve">fragmentation occurs after cDNA conversion rather than at the RNA stage.</w:t>
      </w:r>
      <w:r>
        <w:br w:type="textWrapping"/>
      </w:r>
      <w:r>
        <w:br w:type="textWrapping"/>
      </w:r>
      <w:r>
        <w:rPr>
          <w:rStyle w:val="VerbatimChar"/>
        </w:rPr>
        <w:t xml:space="preserve">Current sequencing platforms require specific adaptor sequences to be present</w:t>
      </w:r>
      <w:r>
        <w:br w:type="textWrapping"/>
      </w:r>
      <w:r>
        <w:rPr>
          <w:rStyle w:val="VerbatimChar"/>
        </w:rPr>
        <w:t xml:space="preserve">at the ends of cDNA fragments. These allow attachment to solid supports, clonal</w:t>
      </w:r>
      <w:r>
        <w:br w:type="textWrapping"/>
      </w:r>
      <w:r>
        <w:rPr>
          <w:rStyle w:val="VerbatimChar"/>
        </w:rPr>
        <w:t xml:space="preserve">amplification and initiation of sequencing. Optionally, index or barcode</w:t>
      </w:r>
      <w:r>
        <w:br w:type="textWrapping"/>
      </w:r>
      <w:r>
        <w:rPr>
          <w:rStyle w:val="VerbatimChar"/>
        </w:rPr>
        <w:t xml:space="preserve">sequences can also be added, which allow multiplexing of multiple samples in a</w:t>
      </w:r>
      <w:r>
        <w:br w:type="textWrapping"/>
      </w:r>
      <w:r>
        <w:rPr>
          <w:rStyle w:val="VerbatimChar"/>
        </w:rPr>
        <w:t xml:space="preserve">single run. Paired-end sequencing can be achieved by the addition of a second</w:t>
      </w:r>
      <w:r>
        <w:br w:type="textWrapping"/>
      </w:r>
      <w:r>
        <w:rPr>
          <w:rStyle w:val="VerbatimChar"/>
        </w:rPr>
        <w:t xml:space="preserve">sequencing primer that allows two reads to be produced from each fragment by</w:t>
      </w:r>
      <w:r>
        <w:br w:type="textWrapping"/>
      </w:r>
      <w:r>
        <w:rPr>
          <w:rStyle w:val="VerbatimChar"/>
        </w:rPr>
        <w:t xml:space="preserve">reading from the 5' end of each strand (\cref{fig:adaptors}). Information about</w:t>
      </w:r>
      <w:r>
        <w:br w:type="textWrapping"/>
      </w:r>
      <w:r>
        <w:rPr>
          <w:rStyle w:val="VerbatimChar"/>
        </w:rPr>
        <w:t xml:space="preserve">a transcript's strand is lost during the standard process, however if this is</w:t>
      </w:r>
      <w:r>
        <w:br w:type="textWrapping"/>
      </w:r>
      <w:r>
        <w:rPr>
          <w:rStyle w:val="VerbatimChar"/>
        </w:rPr>
        <w:t xml:space="preserve">required for the experiment it can be retained by the use of specific primers</w:t>
      </w:r>
      <w:r>
        <w:br w:type="textWrapping"/>
      </w:r>
      <w:r>
        <w:rPr>
          <w:rStyle w:val="VerbatimChar"/>
        </w:rPr>
        <w:t xml:space="preserve">and polymerase enzymes\cite{levin2010}.</w:t>
      </w:r>
      <w:r>
        <w:br w:type="textWrapping"/>
      </w:r>
      <w:r>
        <w:br w:type="textWrapping"/>
      </w:r>
      <w:r>
        <w:rPr>
          <w:rStyle w:val="VerbatimChar"/>
        </w:rPr>
        <w:t xml:space="preserve">Several procedures are available for adapter ligation depending on sequencing</w:t>
      </w:r>
      <w:r>
        <w:br w:type="textWrapping"/>
      </w:r>
      <w:r>
        <w:rPr>
          <w:rStyle w:val="VerbatimChar"/>
        </w:rPr>
        <w:t xml:space="preserve">platform and library preparation kit. Prior to sequencing it is vital to</w:t>
      </w:r>
      <w:r>
        <w:br w:type="textWrapping"/>
      </w:r>
      <w:r>
        <w:rPr>
          <w:rStyle w:val="VerbatimChar"/>
        </w:rPr>
        <w:t xml:space="preserve">perform a validation step to ensure library quality and accurately quantify the</w:t>
      </w:r>
      <w:r>
        <w:br w:type="textWrapping"/>
      </w:r>
      <w:r>
        <w:rPr>
          <w:rStyle w:val="VerbatimChar"/>
        </w:rPr>
        <w:t xml:space="preserve">amount of sequencing-ready cDNA produced. Once a high-quality cDNA library has</w:t>
      </w:r>
      <w:r>
        <w:br w:type="textWrapping"/>
      </w:r>
      <w:r>
        <w:rPr>
          <w:rStyle w:val="VerbatimChar"/>
        </w:rPr>
        <w:t xml:space="preserve">been produced it is loaded onto a sequencing machine.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Illumina sequencing</w:t>
      </w:r>
    </w:p>
    <w:p>
      <w:pPr>
        <w:pStyle w:val="Compact"/>
        <w:numPr>
          <w:numId w:val="1009"/>
          <w:ilvl w:val="1"/>
        </w:numPr>
      </w:pPr>
      <w:r>
        <w:t xml:space="preserve">Sequence by synthesis</w:t>
      </w:r>
    </w:p>
    <w:p>
      <w:pPr>
        <w:pStyle w:val="Compact"/>
        <w:numPr>
          <w:numId w:val="1009"/>
          <w:ilvl w:val="1"/>
        </w:numPr>
      </w:pPr>
      <w:r>
        <w:t xml:space="preserve">Paired end</w:t>
      </w:r>
    </w:p>
    <w:p>
      <w:pPr>
        <w:pStyle w:val="SourceCode"/>
      </w:pPr>
      <w:r>
        <w:rPr>
          <w:rStyle w:val="VerbatimChar"/>
        </w:rPr>
        <w:t xml:space="preserve">Sequencing is currently dominated by Illumina's platforms and their Sequence by</w:t>
      </w:r>
      <w:r>
        <w:br w:type="textWrapping"/>
      </w:r>
      <w:r>
        <w:rPr>
          <w:rStyle w:val="VerbatimChar"/>
        </w:rPr>
        <w:t xml:space="preserve">Synthesis technology. In this process, fragments in the DNA library are</w:t>
      </w:r>
      <w:r>
        <w:br w:type="textWrapping"/>
      </w:r>
      <w:r>
        <w:rPr>
          <w:rStyle w:val="VerbatimChar"/>
        </w:rPr>
        <w:t xml:space="preserve">denatured and one strand attached to a flow cell (a glass slide coated in two</w:t>
      </w:r>
      <w:r>
        <w:br w:type="textWrapping"/>
      </w:r>
      <w:r>
        <w:rPr>
          <w:rStyle w:val="VerbatimChar"/>
        </w:rPr>
        <w:t xml:space="preserve">types of oligonucleotides) using the adaptor sequences. The other adaptor can</w:t>
      </w:r>
      <w:r>
        <w:br w:type="textWrapping"/>
      </w:r>
      <w:r>
        <w:rPr>
          <w:rStyle w:val="VerbatimChar"/>
        </w:rPr>
        <w:t xml:space="preserve">hybridise to the second oligonucleotide, forming a bridge structure. By</w:t>
      </w:r>
      <w:r>
        <w:br w:type="textWrapping"/>
      </w:r>
      <w:r>
        <w:rPr>
          <w:rStyle w:val="VerbatimChar"/>
        </w:rPr>
        <w:t xml:space="preserve">repeated synthesis and denaturation, clusters of copies of each original</w:t>
      </w:r>
      <w:r>
        <w:br w:type="textWrapping"/>
      </w:r>
      <w:r>
        <w:rPr>
          <w:rStyle w:val="VerbatimChar"/>
        </w:rPr>
        <w:t xml:space="preserve">fragment are formed. One of the adaptor sequences is cleaved, leaving</w:t>
      </w:r>
      <w:r>
        <w:br w:type="textWrapping"/>
      </w:r>
      <w:r>
        <w:rPr>
          <w:rStyle w:val="VerbatimChar"/>
        </w:rPr>
        <w:t xml:space="preserve">single-stranded DNA attached at one end to the flow cell.</w:t>
      </w:r>
      <w:r>
        <w:br w:type="textWrapping"/>
      </w:r>
      <w:r>
        <w:br w:type="textWrapping"/>
      </w:r>
      <w:r>
        <w:rPr>
          <w:rStyle w:val="VerbatimChar"/>
        </w:rPr>
        <w:t xml:space="preserve">The Illumina Sequencing by Synthesis process. RNA is attached using adapter</w:t>
      </w:r>
      <w:r>
        <w:br w:type="textWrapping"/>
      </w:r>
      <w:r>
        <w:rPr>
          <w:rStyle w:val="VerbatimChar"/>
        </w:rPr>
        <w:t xml:space="preserve">sequences and is amplified before fluorescently tagged nucleotides are added to</w:t>
      </w:r>
      <w:r>
        <w:br w:type="textWrapping"/>
      </w:r>
      <w:r>
        <w:rPr>
          <w:rStyle w:val="VerbatimChar"/>
        </w:rPr>
        <w:t xml:space="preserve">the flow cell with DNA polymerase to extend the strands. The lanes of the flow</w:t>
      </w:r>
      <w:r>
        <w:br w:type="textWrapping"/>
      </w:r>
      <w:r>
        <w:rPr>
          <w:rStyle w:val="VerbatimChar"/>
        </w:rPr>
        <w:t xml:space="preserve">cell are then scanned to produce an image. Fluorescent tags are cleaved and</w:t>
      </w:r>
      <w:r>
        <w:br w:type="textWrapping"/>
      </w:r>
      <w:r>
        <w:rPr>
          <w:rStyle w:val="VerbatimChar"/>
        </w:rPr>
        <w:t xml:space="preserve">3'-OH blocking groups are added, preparing the strands for another round of</w:t>
      </w:r>
      <w:r>
        <w:br w:type="textWrapping"/>
      </w:r>
      <w:r>
        <w:rPr>
          <w:rStyle w:val="VerbatimChar"/>
        </w:rPr>
        <w:t xml:space="preserve">nucleotide incorporation. Image from Mardis, Next-Generation DNA Sequencing</w:t>
      </w:r>
      <w:r>
        <w:br w:type="textWrapping"/>
      </w:r>
      <w:r>
        <w:rPr>
          <w:rStyle w:val="VerbatimChar"/>
        </w:rPr>
        <w:t xml:space="preserve">Methods\cite{mardis2008}. \label{fig:sequencing}</w:t>
      </w:r>
      <w:r>
        <w:br w:type="textWrapping"/>
      </w:r>
      <w:r>
        <w:br w:type="textWrapping"/>
      </w:r>
      <w:r>
        <w:rPr>
          <w:rStyle w:val="VerbatimChar"/>
        </w:rPr>
        <w:t xml:space="preserve">The sequencing process can now begin. Primers are added to the sequencing</w:t>
      </w:r>
      <w:r>
        <w:br w:type="textWrapping"/>
      </w:r>
      <w:r>
        <w:rPr>
          <w:rStyle w:val="VerbatimChar"/>
        </w:rPr>
        <w:t xml:space="preserve">primer regions and a single fluorescently tagged nucleotide is joined to the</w:t>
      </w:r>
      <w:r>
        <w:br w:type="textWrapping"/>
      </w:r>
      <w:r>
        <w:rPr>
          <w:rStyle w:val="VerbatimChar"/>
        </w:rPr>
        <w:t xml:space="preserve">growing chain. A laser excites the tag and an image is taken. This process is</w:t>
      </w:r>
      <w:r>
        <w:br w:type="textWrapping"/>
      </w:r>
      <w:r>
        <w:rPr>
          <w:rStyle w:val="VerbatimChar"/>
        </w:rPr>
        <w:t xml:space="preserve">repeated until the desired read length is reached. The four nucleotide types</w:t>
      </w:r>
      <w:r>
        <w:br w:type="textWrapping"/>
      </w:r>
      <w:r>
        <w:rPr>
          <w:rStyle w:val="VerbatimChar"/>
        </w:rPr>
        <w:t xml:space="preserve">are tagged with different colours and compete for each position, thereby</w:t>
      </w:r>
      <w:r>
        <w:br w:type="textWrapping"/>
      </w:r>
      <w:r>
        <w:rPr>
          <w:rStyle w:val="VerbatimChar"/>
        </w:rPr>
        <w:t xml:space="preserve">reducing the chance of an incorrect addition. A similar process is then used to</w:t>
      </w:r>
      <w:r>
        <w:br w:type="textWrapping"/>
      </w:r>
      <w:r>
        <w:rPr>
          <w:rStyle w:val="VerbatimChar"/>
        </w:rPr>
        <w:t xml:space="preserve">read any index sequences, while barcodes are read as part of the main read. For</w:t>
      </w:r>
      <w:r>
        <w:br w:type="textWrapping"/>
      </w:r>
      <w:r>
        <w:rPr>
          <w:rStyle w:val="VerbatimChar"/>
        </w:rPr>
        <w:t xml:space="preserve">paired-end sequencing, the second flow-cell oligonucleotide allows the DNA</w:t>
      </w:r>
      <w:r>
        <w:br w:type="textWrapping"/>
      </w:r>
      <w:r>
        <w:rPr>
          <w:rStyle w:val="VerbatimChar"/>
        </w:rPr>
        <w:t xml:space="preserve">molecules to be flipped and sequencing repeated on the other strand. The output</w:t>
      </w:r>
      <w:r>
        <w:br w:type="textWrapping"/>
      </w:r>
      <w:r>
        <w:rPr>
          <w:rStyle w:val="VerbatimChar"/>
        </w:rPr>
        <w:t xml:space="preserve">of a sequencing experiment is of millions of short nucleotide sequences, known</w:t>
      </w:r>
      <w:r>
        <w:br w:type="textWrapping"/>
      </w:r>
      <w:r>
        <w:rPr>
          <w:rStyle w:val="VerbatimChar"/>
        </w:rPr>
        <w:t xml:space="preserve">as reads, that are the starting point for computational analysis.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Experimental design</w:t>
      </w:r>
    </w:p>
    <w:p>
      <w:pPr>
        <w:pStyle w:val="Compact"/>
        <w:numPr>
          <w:numId w:val="1010"/>
          <w:ilvl w:val="0"/>
        </w:numPr>
      </w:pPr>
      <w:r>
        <w:t xml:space="preserve">Alignment</w:t>
      </w:r>
    </w:p>
    <w:p>
      <w:pPr>
        <w:pStyle w:val="Compact"/>
        <w:numPr>
          <w:numId w:val="1010"/>
          <w:ilvl w:val="0"/>
        </w:numPr>
      </w:pPr>
      <w:r>
        <w:t xml:space="preserve">Quantification</w:t>
      </w:r>
    </w:p>
    <w:p>
      <w:pPr>
        <w:pStyle w:val="Compact"/>
        <w:numPr>
          <w:numId w:val="1010"/>
          <w:ilvl w:val="0"/>
        </w:numPr>
      </w:pPr>
      <w:r>
        <w:t xml:space="preserve">Negative binomial</w:t>
      </w:r>
    </w:p>
    <w:p>
      <w:pPr>
        <w:pStyle w:val="Compact"/>
        <w:numPr>
          <w:numId w:val="1010"/>
          <w:ilvl w:val="0"/>
        </w:numPr>
      </w:pPr>
      <w:r>
        <w:t xml:space="preserve">Normalisation</w:t>
      </w:r>
    </w:p>
    <w:p>
      <w:pPr>
        <w:pStyle w:val="Compact"/>
        <w:numPr>
          <w:numId w:val="1010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0"/>
          <w:ilvl w:val="0"/>
        </w:numPr>
      </w:pPr>
      <w:r>
        <w:t xml:space="preserve">Proportions</w:t>
      </w:r>
    </w:p>
    <w:p>
      <w:pPr>
        <w:pStyle w:val="SourceCode"/>
      </w:pPr>
      <w:r>
        <w:rPr>
          <w:rStyle w:val="VerbatimChar"/>
        </w:rPr>
        <w:t xml:space="preserve">It is possible to perform a wide variety of analysis on RNA-seq data, such</w:t>
      </w:r>
      <w:r>
        <w:br w:type="textWrapping"/>
      </w:r>
      <w:r>
        <w:rPr>
          <w:rStyle w:val="VerbatimChar"/>
        </w:rPr>
        <w:t xml:space="preserve">as variant identification or novel isoform detection, but the most common</w:t>
      </w:r>
      <w:r>
        <w:br w:type="textWrapping"/>
      </w:r>
      <w:r>
        <w:rPr>
          <w:rStyle w:val="VerbatimChar"/>
        </w:rPr>
        <w:t xml:space="preserve">approach is to look for differences in expression between groups. Reads are</w:t>
      </w:r>
      <w:r>
        <w:br w:type="textWrapping"/>
      </w:r>
      <w:r>
        <w:rPr>
          <w:rStyle w:val="VerbatimChar"/>
        </w:rPr>
        <w:t xml:space="preserve">aligned to a reference genome and the number overlapping each gene is counted.</w:t>
      </w:r>
      <w:r>
        <w:br w:type="textWrapping"/>
      </w:r>
      <w:r>
        <w:rPr>
          <w:rStyle w:val="VerbatimChar"/>
        </w:rPr>
        <w:t xml:space="preserve">Statistical methods can be used to compare gene expression between conditions</w:t>
      </w:r>
      <w:r>
        <w:br w:type="textWrapping"/>
      </w:r>
      <w:r>
        <w:rPr>
          <w:rStyle w:val="VerbatimChar"/>
        </w:rPr>
        <w:t xml:space="preserve">and identify genes that are differently regulated, with further analysis able</w:t>
      </w:r>
      <w:r>
        <w:br w:type="textWrapping"/>
      </w:r>
      <w:r>
        <w:rPr>
          <w:rStyle w:val="VerbatimChar"/>
        </w:rPr>
        <w:t xml:space="preserve">to examine pathways that have changed between groups.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11"/>
          <w:ilvl w:val="0"/>
        </w:numPr>
      </w:pPr>
      <w:r>
        <w:t xml:space="preserve">First protocol</w:t>
      </w:r>
    </w:p>
    <w:p>
      <w:pPr>
        <w:pStyle w:val="Compact"/>
        <w:numPr>
          <w:numId w:val="1011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12"/>
          <w:ilvl w:val="0"/>
        </w:numPr>
      </w:pPr>
      <w:r>
        <w:t xml:space="preserve">Drop-seq</w:t>
      </w:r>
    </w:p>
    <w:p>
      <w:pPr>
        <w:pStyle w:val="Compact"/>
        <w:numPr>
          <w:numId w:val="1012"/>
          <w:ilvl w:val="0"/>
        </w:numPr>
      </w:pPr>
      <w:r>
        <w:t xml:space="preserve">Indrop</w:t>
      </w:r>
    </w:p>
    <w:p>
      <w:pPr>
        <w:pStyle w:val="Compact"/>
        <w:numPr>
          <w:numId w:val="1012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Why?</w:t>
      </w:r>
    </w:p>
    <w:p>
      <w:pPr>
        <w:pStyle w:val="Compact"/>
        <w:numPr>
          <w:numId w:val="1013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New capture methods</w:t>
      </w:r>
    </w:p>
    <w:p>
      <w:pPr>
        <w:pStyle w:val="Compact"/>
        <w:numPr>
          <w:numId w:val="1014"/>
          <w:ilvl w:val="0"/>
        </w:numPr>
      </w:pPr>
      <w:r>
        <w:t xml:space="preserve">CITE-seq</w:t>
      </w:r>
    </w:p>
    <w:p>
      <w:pPr>
        <w:pStyle w:val="Compact"/>
        <w:numPr>
          <w:numId w:val="1014"/>
          <w:ilvl w:val="0"/>
        </w:numPr>
      </w:pPr>
      <w:r>
        <w:t xml:space="preserve">Cell hashing</w:t>
      </w:r>
    </w:p>
    <w:p>
      <w:pPr>
        <w:pStyle w:val="Compact"/>
        <w:numPr>
          <w:numId w:val="1014"/>
          <w:ilvl w:val="0"/>
        </w:numPr>
      </w:pPr>
      <w:r>
        <w:t xml:space="preserve">CRISPR</w:t>
      </w:r>
    </w:p>
    <w:p>
      <w:pPr>
        <w:pStyle w:val="Compact"/>
        <w:numPr>
          <w:numId w:val="1014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Low counts</w:t>
      </w:r>
    </w:p>
    <w:p>
      <w:pPr>
        <w:pStyle w:val="Compact"/>
        <w:numPr>
          <w:numId w:val="1016"/>
          <w:ilvl w:val="1"/>
        </w:numPr>
      </w:pPr>
      <w:r>
        <w:t xml:space="preserve">Dropout</w:t>
      </w:r>
    </w:p>
    <w:p>
      <w:pPr>
        <w:pStyle w:val="Compact"/>
        <w:numPr>
          <w:numId w:val="1016"/>
          <w:ilvl w:val="1"/>
        </w:numPr>
      </w:pPr>
      <w:r>
        <w:t xml:space="preserve">Bursting</w:t>
      </w:r>
    </w:p>
    <w:p>
      <w:pPr>
        <w:pStyle w:val="Compact"/>
        <w:numPr>
          <w:numId w:val="1016"/>
          <w:ilvl w:val="1"/>
        </w:numPr>
      </w:pPr>
      <w:r>
        <w:t xml:space="preserve">Biology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Alignment</w:t>
      </w:r>
    </w:p>
    <w:p>
      <w:pPr>
        <w:pStyle w:val="Compact"/>
        <w:numPr>
          <w:numId w:val="1017"/>
          <w:ilvl w:val="0"/>
        </w:numPr>
      </w:pPr>
      <w:r>
        <w:t xml:space="preserve">Droplet selection</w:t>
      </w:r>
    </w:p>
    <w:p>
      <w:pPr>
        <w:pStyle w:val="Compact"/>
        <w:numPr>
          <w:numId w:val="1017"/>
          <w:ilvl w:val="0"/>
        </w:numPr>
      </w:pPr>
      <w:r>
        <w:t xml:space="preserve">UMIs</w:t>
      </w:r>
    </w:p>
    <w:p>
      <w:pPr>
        <w:pStyle w:val="Compact"/>
        <w:numPr>
          <w:numId w:val="1017"/>
          <w:ilvl w:val="0"/>
        </w:numPr>
      </w:pPr>
      <w:r>
        <w:t xml:space="preserve">Doublet detection</w:t>
      </w:r>
    </w:p>
    <w:p>
      <w:pPr>
        <w:pStyle w:val="Compact"/>
        <w:numPr>
          <w:numId w:val="1017"/>
          <w:ilvl w:val="0"/>
        </w:numPr>
      </w:pPr>
      <w:r>
        <w:t xml:space="preserve">Bad cells</w:t>
      </w:r>
    </w:p>
    <w:p>
      <w:pPr>
        <w:pStyle w:val="Compact"/>
        <w:numPr>
          <w:numId w:val="1017"/>
          <w:ilvl w:val="0"/>
        </w:numPr>
      </w:pPr>
      <w:r>
        <w:t xml:space="preserve">Gene filtering</w:t>
      </w:r>
    </w:p>
    <w:p>
      <w:pPr>
        <w:pStyle w:val="Compact"/>
        <w:numPr>
          <w:numId w:val="1017"/>
          <w:ilvl w:val="0"/>
        </w:numPr>
      </w:pPr>
      <w:r>
        <w:t xml:space="preserve">Cell ranger</w:t>
      </w:r>
    </w:p>
    <w:p>
      <w:pPr>
        <w:pStyle w:val="Compact"/>
        <w:numPr>
          <w:numId w:val="1017"/>
          <w:ilvl w:val="0"/>
        </w:numPr>
      </w:pPr>
      <w:r>
        <w:t xml:space="preserve">scater</w:t>
      </w:r>
    </w:p>
    <w:p>
      <w:pPr>
        <w:pStyle w:val="Compact"/>
        <w:numPr>
          <w:numId w:val="1017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8"/>
          <w:ilvl w:val="0"/>
        </w:numPr>
      </w:pPr>
      <w:r>
        <w:t xml:space="preserve">Why?</w:t>
      </w:r>
    </w:p>
    <w:p>
      <w:pPr>
        <w:pStyle w:val="Compact"/>
        <w:numPr>
          <w:numId w:val="1018"/>
          <w:ilvl w:val="0"/>
        </w:numPr>
      </w:pPr>
      <w:r>
        <w:t xml:space="preserve">Seurat CCA</w:t>
      </w:r>
    </w:p>
    <w:p>
      <w:pPr>
        <w:pStyle w:val="Compact"/>
        <w:numPr>
          <w:numId w:val="1018"/>
          <w:ilvl w:val="0"/>
        </w:numPr>
      </w:pPr>
      <w:r>
        <w:t xml:space="preserve">New methods</w:t>
      </w:r>
    </w:p>
    <w:p>
      <w:pPr>
        <w:pStyle w:val="Compact"/>
        <w:numPr>
          <w:numId w:val="1018"/>
          <w:ilvl w:val="0"/>
        </w:numPr>
      </w:pPr>
      <w:r>
        <w:t xml:space="preserve">Tung?</w:t>
      </w:r>
    </w:p>
    <w:p>
      <w:pPr>
        <w:pStyle w:val="Compact"/>
        <w:numPr>
          <w:numId w:val="1018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9"/>
          <w:ilvl w:val="0"/>
        </w:numPr>
      </w:pPr>
      <w:r>
        <w:t xml:space="preserve">Clustering</w:t>
      </w:r>
    </w:p>
    <w:p>
      <w:pPr>
        <w:pStyle w:val="Compact"/>
        <w:numPr>
          <w:numId w:val="1019"/>
          <w:ilvl w:val="0"/>
        </w:numPr>
      </w:pPr>
      <w:r>
        <w:t xml:space="preserve">Seurat</w:t>
      </w:r>
    </w:p>
    <w:p>
      <w:pPr>
        <w:pStyle w:val="Compact"/>
        <w:numPr>
          <w:numId w:val="1019"/>
          <w:ilvl w:val="0"/>
        </w:numPr>
      </w:pPr>
      <w:r>
        <w:t xml:space="preserve">Other approaches</w:t>
      </w:r>
    </w:p>
    <w:p>
      <w:pPr>
        <w:pStyle w:val="Compact"/>
        <w:numPr>
          <w:numId w:val="1019"/>
          <w:ilvl w:val="0"/>
        </w:numPr>
      </w:pPr>
      <w:r>
        <w:t xml:space="preserve">Comparison</w:t>
      </w:r>
    </w:p>
    <w:p>
      <w:pPr>
        <w:pStyle w:val="Compact"/>
        <w:numPr>
          <w:numId w:val="1019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20"/>
          <w:ilvl w:val="0"/>
        </w:numPr>
      </w:pPr>
      <w:r>
        <w:t xml:space="preserve">Pseudotime</w:t>
      </w:r>
    </w:p>
    <w:p>
      <w:pPr>
        <w:pStyle w:val="Compact"/>
        <w:numPr>
          <w:numId w:val="1020"/>
          <w:ilvl w:val="0"/>
        </w:numPr>
      </w:pPr>
      <w:r>
        <w:t xml:space="preserve">Monocle</w:t>
      </w:r>
    </w:p>
    <w:p>
      <w:pPr>
        <w:pStyle w:val="Compact"/>
        <w:numPr>
          <w:numId w:val="1020"/>
          <w:ilvl w:val="0"/>
        </w:numPr>
      </w:pPr>
      <w:r>
        <w:t xml:space="preserve">Other approaches</w:t>
      </w:r>
    </w:p>
    <w:p>
      <w:pPr>
        <w:pStyle w:val="Compact"/>
        <w:numPr>
          <w:numId w:val="1020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21"/>
          <w:ilvl w:val="0"/>
        </w:numPr>
      </w:pPr>
      <w:r>
        <w:t xml:space="preserve">DE</w:t>
      </w:r>
    </w:p>
    <w:p>
      <w:pPr>
        <w:pStyle w:val="Compact"/>
        <w:numPr>
          <w:numId w:val="1021"/>
          <w:ilvl w:val="0"/>
        </w:numPr>
      </w:pPr>
      <w:r>
        <w:t xml:space="preserve">Marker genes</w:t>
      </w:r>
    </w:p>
    <w:p>
      <w:pPr>
        <w:pStyle w:val="Compact"/>
        <w:numPr>
          <w:numId w:val="1022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1"/>
          <w:ilvl w:val="0"/>
        </w:numPr>
      </w:pPr>
      <w:r>
        <w:t xml:space="preserve">Reviews</w:t>
      </w:r>
    </w:p>
    <w:p>
      <w:pPr>
        <w:pStyle w:val="Compact"/>
        <w:numPr>
          <w:numId w:val="1021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23"/>
          <w:ilvl w:val="0"/>
        </w:numPr>
      </w:pPr>
      <w:r>
        <w:t xml:space="preserve">Variant detection</w:t>
      </w:r>
    </w:p>
    <w:p>
      <w:pPr>
        <w:pStyle w:val="Compact"/>
        <w:numPr>
          <w:numId w:val="1023"/>
          <w:ilvl w:val="0"/>
        </w:numPr>
      </w:pPr>
      <w:r>
        <w:t xml:space="preserve">Cancer</w:t>
      </w:r>
    </w:p>
    <w:p>
      <w:pPr>
        <w:pStyle w:val="Compact"/>
        <w:numPr>
          <w:numId w:val="1023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Kidney structure</w:t>
      </w:r>
    </w:p>
    <w:p>
      <w:pPr>
        <w:pStyle w:val="Compact"/>
        <w:numPr>
          <w:numId w:val="1024"/>
          <w:ilvl w:val="0"/>
        </w:numPr>
      </w:pPr>
      <w:r>
        <w:t xml:space="preserve">Nephron structure</w:t>
      </w:r>
    </w:p>
    <w:p>
      <w:pPr>
        <w:pStyle w:val="Compact"/>
        <w:numPr>
          <w:numId w:val="1024"/>
          <w:ilvl w:val="0"/>
        </w:numPr>
      </w:pPr>
      <w:r>
        <w:t xml:space="preserve">Important cell types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Lineage</w:t>
      </w:r>
    </w:p>
    <w:p>
      <w:pPr>
        <w:pStyle w:val="Compact"/>
        <w:numPr>
          <w:numId w:val="1025"/>
          <w:ilvl w:val="0"/>
        </w:numPr>
      </w:pPr>
      <w:r>
        <w:t xml:space="preserve">Important genes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Why?</w:t>
      </w:r>
    </w:p>
    <w:p>
      <w:pPr>
        <w:pStyle w:val="Compact"/>
        <w:numPr>
          <w:numId w:val="1027"/>
          <w:ilvl w:val="1"/>
        </w:numPr>
      </w:pPr>
      <w:r>
        <w:t xml:space="preserve">Disease modelling</w:t>
      </w:r>
    </w:p>
    <w:p>
      <w:pPr>
        <w:pStyle w:val="Compact"/>
        <w:numPr>
          <w:numId w:val="1026"/>
          <w:ilvl w:val="0"/>
        </w:numPr>
      </w:pPr>
      <w:r>
        <w:t xml:space="preserve">Protocol</w:t>
      </w:r>
    </w:p>
    <w:p>
      <w:pPr>
        <w:pStyle w:val="Compact"/>
        <w:numPr>
          <w:numId w:val="1026"/>
          <w:ilvl w:val="0"/>
        </w:numPr>
      </w:pPr>
      <w:r>
        <w:t xml:space="preserve">Growth factors</w:t>
      </w:r>
    </w:p>
    <w:p>
      <w:pPr>
        <w:pStyle w:val="Compact"/>
        <w:numPr>
          <w:numId w:val="1026"/>
          <w:ilvl w:val="0"/>
        </w:numPr>
      </w:pPr>
      <w:r>
        <w:t xml:space="preserve">Characterisation</w:t>
      </w:r>
    </w:p>
    <w:p>
      <w:pPr>
        <w:pStyle w:val="Compact"/>
        <w:numPr>
          <w:numId w:val="1026"/>
          <w:ilvl w:val="0"/>
        </w:numPr>
      </w:pPr>
      <w:r>
        <w:t xml:space="preserve">Reproducibility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Heading2"/>
      </w:pPr>
      <w:bookmarkStart w:id="57" w:name="splatter-publication"/>
      <w:r>
        <w:t xml:space="preserve">Splatter publication</w:t>
      </w:r>
      <w:bookmarkEnd w:id="5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9" w:name="visualising-clustering-across-resolutions"/>
      <w:r>
        <w:t xml:space="preserve">Visualising clustering across resolutions</w:t>
      </w:r>
      <w:bookmarkEnd w:id="59"/>
    </w:p>
    <w:p>
      <w:pPr>
        <w:pStyle w:val="Heading1"/>
      </w:pPr>
      <w:bookmarkStart w:id="60" w:name="analysis-of-kidney-organoid-scrna-seq-data"/>
      <w:r>
        <w:t xml:space="preserve">Analysis of kidney organoid scRNA-seq data</w:t>
      </w:r>
      <w:bookmarkEnd w:id="60"/>
    </w:p>
    <w:p>
      <w:pPr>
        <w:pStyle w:val="Heading1"/>
      </w:pPr>
      <w:bookmarkStart w:id="61" w:name="conclusion"/>
      <w:r>
        <w:t xml:space="preserve">Conclusion</w:t>
      </w:r>
      <w:bookmarkEnd w:id="61"/>
    </w:p>
    <w:p>
      <w:pPr>
        <w:pStyle w:val="Heading1"/>
      </w:pPr>
      <w:bookmarkStart w:id="62" w:name="references"/>
      <w:r>
        <w:t xml:space="preserve">References</w:t>
      </w:r>
      <w:bookmarkEnd w:id="62"/>
    </w:p>
    <w:bookmarkStart w:id="63" w:name="refs"/>
    <w:bookmarkEnd w:id="6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5be617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c743f28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c36dd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2018-11-24T06:12:15Z</dcterms:created>
  <dcterms:modified xsi:type="dcterms:W3CDTF">2018-11-24T06:12:15Z</dcterms:modified>
</cp:coreProperties>
</file>