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4.png" ContentType="image/png"/>
  <Override PartName="/word/media/image3.jpg" ContentType="image/jpeg"/>
  <Override PartName="/word/media/image2.png" ContentType="image/png"/>
  <Override PartName="/word/media/image5.emf" ContentType="image/x-e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Tools</w:t>
      </w:r>
      <w:r>
        <w:t xml:space="preserve"> </w:t>
      </w:r>
      <w:r>
        <w:t xml:space="preserve">and</w:t>
      </w:r>
      <w:r>
        <w:t xml:space="preserve"> </w:t>
      </w:r>
      <w:r>
        <w:t xml:space="preserve">techniques</w:t>
      </w:r>
      <w:r>
        <w:t xml:space="preserve"> </w:t>
      </w:r>
      <w:r>
        <w:t xml:space="preserve">for</w:t>
      </w:r>
      <w:r>
        <w:t xml:space="preserve"> </w:t>
      </w:r>
      <w:r>
        <w:t xml:space="preserve">single-cell</w:t>
      </w:r>
      <w:r>
        <w:t xml:space="preserve"> </w:t>
      </w:r>
      <w:r>
        <w:t xml:space="preserve">RNA-seq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Luke</w:t>
      </w:r>
      <w:r>
        <w:t xml:space="preserve"> </w:t>
      </w:r>
      <w:r>
        <w:t xml:space="preserve">Zappia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9"/>
      </w:pPr>
      <w:bookmarkStart w:id="21" w:name="abstract"/>
      <w:r>
        <w:t xml:space="preserve">Abstract</w:t>
      </w:r>
      <w:bookmarkEnd w:id="21"/>
    </w:p>
    <w:p>
      <w:pPr>
        <w:pStyle w:val="Compact"/>
      </w:pPr>
      <w:r>
        <w:t xml:space="preserve">The preface pretty much says it all.</w:t>
      </w:r>
    </w:p>
    <w:p>
      <w:pPr>
        <w:pStyle w:val="BodyText"/>
      </w:pPr>
      <w:r>
        <w:t xml:space="preserve">Second paragraph of abstract starts here.</w:t>
      </w:r>
    </w:p>
    <w:p>
      <w:pPr>
        <w:pStyle w:val="Heading9"/>
      </w:pPr>
      <w:bookmarkStart w:id="22" w:name="declaration"/>
      <w:r>
        <w:t xml:space="preserve">Declaration</w:t>
      </w:r>
      <w:bookmarkEnd w:id="22"/>
    </w:p>
    <w:p>
      <w:pPr>
        <w:pStyle w:val="FirstParagraph"/>
      </w:pPr>
      <w:r>
        <w:t xml:space="preserve">This is to certify that:</w:t>
      </w:r>
    </w:p>
    <w:p>
      <w:pPr>
        <w:pStyle w:val="Compact"/>
        <w:numPr>
          <w:numId w:val="1001"/>
          <w:ilvl w:val="0"/>
        </w:numPr>
      </w:pPr>
      <w:r>
        <w:t xml:space="preserve">the thesis comprises only their original work towards the [name of</w:t>
      </w:r>
      <w:r>
        <w:t xml:space="preserve"> </w:t>
      </w:r>
      <w:r>
        <w:t xml:space="preserve">the award] except where indicated in the preface;</w:t>
      </w:r>
    </w:p>
    <w:p>
      <w:pPr>
        <w:pStyle w:val="Compact"/>
        <w:numPr>
          <w:numId w:val="1001"/>
          <w:ilvl w:val="0"/>
        </w:numPr>
      </w:pPr>
      <w:r>
        <w:t xml:space="preserve">due acknowledgement has been made in the text to all other material</w:t>
      </w:r>
      <w:r>
        <w:t xml:space="preserve"> </w:t>
      </w:r>
      <w:r>
        <w:t xml:space="preserve">used; and</w:t>
      </w:r>
    </w:p>
    <w:p>
      <w:pPr>
        <w:pStyle w:val="Compact"/>
        <w:numPr>
          <w:numId w:val="1001"/>
          <w:ilvl w:val="0"/>
        </w:numPr>
      </w:pPr>
      <w:r>
        <w:t xml:space="preserve">the thesis is fewer than the maximum word limit in length, exclusive of</w:t>
      </w:r>
      <w:r>
        <w:t xml:space="preserve"> </w:t>
      </w:r>
      <w:r>
        <w:t xml:space="preserve">tables, maps, bibliographies and appendices or that the thesis is [number</w:t>
      </w:r>
      <w:r>
        <w:t xml:space="preserve"> </w:t>
      </w:r>
      <w:r>
        <w:t xml:space="preserve">of words] as approved by the Research Higher Degrees Committee.</w:t>
      </w:r>
    </w:p>
    <w:p>
      <w:pPr>
        <w:pStyle w:val="FirstParagraph"/>
      </w:pPr>
    </w:p>
    <w:p>
      <w:pPr>
        <w:pStyle w:val="Heading9"/>
      </w:pPr>
      <w:bookmarkStart w:id="23" w:name="preface"/>
      <w:r>
        <w:t xml:space="preserve">Preface</w:t>
      </w:r>
      <w:bookmarkEnd w:id="23"/>
    </w:p>
    <w:p>
      <w:pPr>
        <w:pStyle w:val="FirstParagraph"/>
      </w:pPr>
      <w:r>
        <w:t xml:space="preserve">This is an example of a thesis setup to use the reed thesis document class (for</w:t>
      </w:r>
      <w:r>
        <w:t xml:space="preserve"> </w:t>
      </w:r>
      <w:r>
        <w:t xml:space="preserve">LaTeX) and the R bookdown package, in general.</w:t>
      </w:r>
    </w:p>
    <w:p>
      <w:pPr>
        <w:pStyle w:val="Heading9"/>
      </w:pPr>
      <w:bookmarkStart w:id="24" w:name="acknowledgements"/>
      <w:r>
        <w:t xml:space="preserve">Acknowledgements</w:t>
      </w:r>
      <w:bookmarkEnd w:id="24"/>
    </w:p>
    <w:p>
      <w:pPr>
        <w:pStyle w:val="FirstParagraph"/>
      </w:pPr>
      <w:r>
        <w:t xml:space="preserve">This template is based on thesisdown (</w:t>
      </w:r>
      <w:hyperlink r:id="rId25">
        <w:r>
          <w:rPr>
            <w:rStyle w:val="Hyperlink"/>
          </w:rPr>
          <w:t xml:space="preserve">https://github.com/ismayc/thesisdown</w:t>
        </w:r>
      </w:hyperlink>
      <w:r>
        <w:t xml:space="preserve">) and</w:t>
      </w:r>
      <w:r>
        <w:t xml:space="preserve"> </w:t>
      </w:r>
      <w:r>
        <w:t xml:space="preserve">makes use of RMarkdown (</w:t>
      </w:r>
      <w:hyperlink r:id="rId26">
        <w:r>
          <w:rPr>
            <w:rStyle w:val="Hyperlink"/>
          </w:rPr>
          <w:t xml:space="preserve">https://rmarkdown.rstudio.com/</w:t>
        </w:r>
      </w:hyperlink>
      <w:r>
        <w:t xml:space="preserve">) and bookdown</w:t>
      </w:r>
      <w:r>
        <w:t xml:space="preserve"> </w:t>
      </w:r>
      <w:hyperlink r:id="rId27">
        <w:r>
          <w:rPr>
            <w:rStyle w:val="Hyperlink"/>
          </w:rPr>
          <w:t xml:space="preserve">https://bookdown.org/yihui/bookdown/</w:t>
        </w:r>
      </w:hyperlink>
      <w:r>
        <w:t xml:space="preserve">. The LaTeX template is based on John</w:t>
      </w:r>
      <w:r>
        <w:t xml:space="preserve"> </w:t>
      </w:r>
      <w:r>
        <w:t xml:space="preserve">Papandriopoulos’ University of Melbourne thesis template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https://github.com/jpap/phd-thesis-template</w:t>
        </w:r>
      </w:hyperlink>
      <w:r>
        <w:t xml:space="preserve">). Inspriation also comes from</w:t>
      </w:r>
      <w:r>
        <w:t xml:space="preserve"> </w:t>
      </w:r>
      <w:r>
        <w:t xml:space="preserve">similar projects including beaverdown (</w:t>
      </w:r>
      <w:hyperlink r:id="rId29">
        <w:r>
          <w:rPr>
            <w:rStyle w:val="Hyperlink"/>
          </w:rPr>
          <w:t xml:space="preserve">https://github.com/zkamvar/beaverdown</w:t>
        </w:r>
      </w:hyperlink>
      <w:r>
        <w:t xml:space="preserve">),</w:t>
      </w:r>
      <w:r>
        <w:t xml:space="preserve"> </w:t>
      </w:r>
      <w:r>
        <w:t xml:space="preserve">aggidown (</w:t>
      </w:r>
      <w:hyperlink r:id="rId30">
        <w:r>
          <w:rPr>
            <w:rStyle w:val="Hyperlink"/>
          </w:rPr>
          <w:t xml:space="preserve">https://github.com/ryanpeek/aggiedown</w:t>
        </w:r>
      </w:hyperlink>
      <w:r>
        <w:t xml:space="preserve">),</w:t>
      </w:r>
      <w:r>
        <w:t xml:space="preserve"> </w:t>
      </w:r>
      <w:r>
        <w:t xml:space="preserve">huskydown (</w:t>
      </w:r>
      <w:hyperlink r:id="rId31">
        <w:r>
          <w:rPr>
            <w:rStyle w:val="Hyperlink"/>
          </w:rPr>
          <w:t xml:space="preserve">https://github.com/benmarwick/huskydown</w:t>
        </w:r>
      </w:hyperlink>
      <w:r>
        <w:t xml:space="preserve">) and jayhawkdown</w:t>
      </w:r>
      <w:r>
        <w:t xml:space="preserve"> </w:t>
      </w:r>
      <w:r>
        <w:t xml:space="preserve">(</w:t>
      </w:r>
      <w:hyperlink r:id="rId32">
        <w:r>
          <w:rPr>
            <w:rStyle w:val="Hyperlink"/>
          </w:rPr>
          <w:t xml:space="preserve">https://github.com/wjakethompson/jayhawkdown</w:t>
        </w:r>
      </w:hyperlink>
      <w:r>
        <w:t xml:space="preserve">).</w:t>
      </w:r>
    </w:p>
    <w:p>
      <w:pPr>
        <w:pStyle w:val="Heading1"/>
      </w:pPr>
      <w:bookmarkStart w:id="33" w:name="introduction"/>
      <w:r>
        <w:t xml:space="preserve">Introduction</w:t>
      </w:r>
      <w:bookmarkEnd w:id="33"/>
    </w:p>
    <w:p>
      <w:pPr>
        <w:pStyle w:val="Heading2"/>
      </w:pPr>
      <w:bookmarkStart w:id="34" w:name="rna-sequencing"/>
      <w:r>
        <w:t xml:space="preserve">RNA sequencing</w:t>
      </w:r>
      <w:bookmarkEnd w:id="34"/>
    </w:p>
    <w:p>
      <w:pPr>
        <w:pStyle w:val="Compact"/>
        <w:numPr>
          <w:numId w:val="1002"/>
          <w:ilvl w:val="0"/>
        </w:numPr>
      </w:pPr>
      <w:r>
        <w:t xml:space="preserve">Central dogma</w:t>
      </w:r>
    </w:p>
    <w:p>
      <w:pPr>
        <w:pStyle w:val="Compact"/>
        <w:numPr>
          <w:numId w:val="1002"/>
          <w:ilvl w:val="0"/>
        </w:numPr>
      </w:pPr>
      <w:r>
        <w:t xml:space="preserve">Why RNA-seq?</w:t>
      </w:r>
    </w:p>
    <w:p>
      <w:pPr>
        <w:pStyle w:val="Heading3"/>
      </w:pPr>
      <w:bookmarkStart w:id="35" w:name="capture-and-reverse-transcription"/>
      <w:r>
        <w:t xml:space="preserve">Capture and reverse transcription</w:t>
      </w:r>
      <w:bookmarkEnd w:id="35"/>
    </w:p>
    <w:p>
      <w:pPr>
        <w:pStyle w:val="Compact"/>
        <w:numPr>
          <w:numId w:val="1003"/>
          <w:ilvl w:val="0"/>
        </w:numPr>
      </w:pPr>
      <w:r>
        <w:t xml:space="preserve">PolyA capture</w:t>
      </w:r>
    </w:p>
    <w:p>
      <w:pPr>
        <w:pStyle w:val="Compact"/>
        <w:numPr>
          <w:numId w:val="1003"/>
          <w:ilvl w:val="0"/>
        </w:numPr>
      </w:pPr>
      <w:r>
        <w:t xml:space="preserve">Ribosomal depletion</w:t>
      </w:r>
    </w:p>
    <w:p>
      <w:pPr>
        <w:pStyle w:val="Heading3"/>
      </w:pPr>
      <w:bookmarkStart w:id="36" w:name="high-throughput-sequencing"/>
      <w:r>
        <w:t xml:space="preserve">High-throughput sequencing</w:t>
      </w:r>
      <w:bookmarkEnd w:id="36"/>
    </w:p>
    <w:p>
      <w:pPr>
        <w:pStyle w:val="Compact"/>
        <w:numPr>
          <w:numId w:val="1004"/>
          <w:ilvl w:val="0"/>
        </w:numPr>
      </w:pPr>
      <w:r>
        <w:t xml:space="preserve">Illumina sequencing</w:t>
      </w:r>
    </w:p>
    <w:p>
      <w:pPr>
        <w:pStyle w:val="Compact"/>
        <w:numPr>
          <w:numId w:val="1005"/>
          <w:ilvl w:val="1"/>
        </w:numPr>
      </w:pPr>
      <w:r>
        <w:t xml:space="preserve">Sequence by synthesis</w:t>
      </w:r>
    </w:p>
    <w:p>
      <w:pPr>
        <w:pStyle w:val="Heading3"/>
      </w:pPr>
      <w:bookmarkStart w:id="37" w:name="analysis-of-rna-seq-data"/>
      <w:r>
        <w:t xml:space="preserve">Analysis of RNA-seq data</w:t>
      </w:r>
      <w:bookmarkEnd w:id="37"/>
    </w:p>
    <w:p>
      <w:pPr>
        <w:pStyle w:val="Compact"/>
        <w:numPr>
          <w:numId w:val="1006"/>
          <w:ilvl w:val="0"/>
        </w:numPr>
      </w:pPr>
      <w:r>
        <w:t xml:space="preserve">Experimental design</w:t>
      </w:r>
    </w:p>
    <w:p>
      <w:pPr>
        <w:pStyle w:val="Compact"/>
        <w:numPr>
          <w:numId w:val="1006"/>
          <w:ilvl w:val="0"/>
        </w:numPr>
      </w:pPr>
      <w:r>
        <w:t xml:space="preserve">Negative binomial</w:t>
      </w:r>
    </w:p>
    <w:p>
      <w:pPr>
        <w:pStyle w:val="Compact"/>
        <w:numPr>
          <w:numId w:val="1006"/>
          <w:ilvl w:val="0"/>
        </w:numPr>
      </w:pPr>
      <w:r>
        <w:t xml:space="preserve">Normalisation</w:t>
      </w:r>
    </w:p>
    <w:p>
      <w:pPr>
        <w:pStyle w:val="Compact"/>
        <w:numPr>
          <w:numId w:val="1006"/>
          <w:ilvl w:val="0"/>
        </w:numPr>
      </w:pPr>
      <w:r>
        <w:t xml:space="preserve">Differential expression testing</w:t>
      </w:r>
    </w:p>
    <w:p>
      <w:pPr>
        <w:pStyle w:val="Heading2"/>
      </w:pPr>
      <w:bookmarkStart w:id="38" w:name="single-cell-rna-sequencing"/>
      <w:r>
        <w:t xml:space="preserve">Single-cell RNA-sequencing</w:t>
      </w:r>
      <w:bookmarkEnd w:id="38"/>
    </w:p>
    <w:p>
      <w:pPr>
        <w:pStyle w:val="FirstParagraph"/>
      </w:pPr>
      <w:r>
        <w:t xml:space="preserve">Traditional bulk RNA-seq experiments average the transcriptome across the many</w:t>
      </w:r>
      <w:r>
        <w:t xml:space="preserve"> </w:t>
      </w:r>
      <w:r>
        <w:t xml:space="preserve">cells in a sample but recently it has become possible to perform single-cell</w:t>
      </w:r>
      <w:r>
        <w:t xml:space="preserve"> </w:t>
      </w:r>
      <w:r>
        <w:t xml:space="preserve">RNA-sequencing (scRNA-seq) and investigate the transcriptome at the resolution</w:t>
      </w:r>
      <w:r>
        <w:t xml:space="preserve"> </w:t>
      </w:r>
      <w:r>
        <w:t xml:space="preserve">of individual cell. There are many situations were it is important to</w:t>
      </w:r>
      <w:r>
        <w:t xml:space="preserve"> </w:t>
      </w:r>
      <w:r>
        <w:t xml:space="preserve">understand how specific cell types react and where analyses may be affected by</w:t>
      </w:r>
      <w:r>
        <w:t xml:space="preserve"> </w:t>
      </w:r>
      <w:r>
        <w:t xml:space="preserve">the unknown proportions of cell types in a sample. Studies into gene expression</w:t>
      </w:r>
      <w:r>
        <w:t xml:space="preserve"> </w:t>
      </w:r>
      <w:r>
        <w:t xml:space="preserve">in specific cell types previously required a way to select and isolate the</w:t>
      </w:r>
      <w:r>
        <w:t xml:space="preserve"> </w:t>
      </w:r>
      <w:r>
        <w:t xml:space="preserve">cells they were interested which removed them from the other cell types they</w:t>
      </w:r>
      <w:r>
        <w:t xml:space="preserve"> </w:t>
      </w:r>
      <w:r>
        <w:t xml:space="preserve">are usually associated with and made it impossible to investigate how they</w:t>
      </w:r>
      <w:r>
        <w:t xml:space="preserve"> </w:t>
      </w:r>
      <w:r>
        <w:t xml:space="preserve">interact. With scRNA-seq technologies it is now possible to look at the</w:t>
      </w:r>
      <w:r>
        <w:t xml:space="preserve"> </w:t>
      </w:r>
      <w:r>
        <w:t xml:space="preserve">transcriptome of all the cell types in a tissue simultaneously which has lead</w:t>
      </w:r>
      <w:r>
        <w:t xml:space="preserve"> </w:t>
      </w:r>
      <w:r>
        <w:t xml:space="preserve">to a better understanding of what makes cell types distinct and the discovery</w:t>
      </w:r>
      <w:r>
        <w:t xml:space="preserve"> </w:t>
      </w:r>
      <w:r>
        <w:t xml:space="preserve">of previously unknown cell types.</w:t>
      </w:r>
    </w:p>
    <w:p>
      <w:pPr>
        <w:pStyle w:val="BodyText"/>
      </w:pPr>
      <w:r>
        <w:t xml:space="preserve">One area that has particularly benefitted from the rise of scRNA-seq is</w:t>
      </w:r>
      <w:r>
        <w:t xml:space="preserve"> </w:t>
      </w:r>
      <w:r>
        <w:t xml:space="preserve">developmental biology. Although the genes involved in the development of</w:t>
      </w:r>
      <w:r>
        <w:t xml:space="preserve"> </w:t>
      </w:r>
      <w:r>
        <w:t xml:space="preserve">many organs are now well understood arriving at this knowledge has required many</w:t>
      </w:r>
      <w:r>
        <w:t xml:space="preserve"> </w:t>
      </w:r>
      <w:r>
        <w:t xml:space="preserve">painstaking experiments. During development cells are participating in a</w:t>
      </w:r>
      <w:r>
        <w:t xml:space="preserve"> </w:t>
      </w:r>
      <w:r>
        <w:t xml:space="preserve">continuous dynamic process involving the maturation from one cell type to</w:t>
      </w:r>
      <w:r>
        <w:t xml:space="preserve"> </w:t>
      </w:r>
      <w:r>
        <w:t xml:space="preserve">another and the creation of new cell types. Single-cell RNA-seq captures a</w:t>
      </w:r>
      <w:r>
        <w:t xml:space="preserve"> </w:t>
      </w:r>
      <w:r>
        <w:t xml:space="preserve">snapshot of this process allow the transcriptome of intermediate and mature</w:t>
      </w:r>
      <w:r>
        <w:t xml:space="preserve"> </w:t>
      </w:r>
      <w:r>
        <w:t xml:space="preserve">cells to be studied. This has revealed that some of the genes thought to be</w:t>
      </w:r>
      <w:r>
        <w:t xml:space="preserve"> </w:t>
      </w:r>
      <w:r>
        <w:t xml:space="preserve">markers of specific cell types are more widely expressed or involved in other</w:t>
      </w:r>
      <w:r>
        <w:t xml:space="preserve"> </w:t>
      </w:r>
      <w:r>
        <w:t xml:space="preserve">processes.</w:t>
      </w:r>
    </w:p>
    <w:p>
      <w:pPr>
        <w:pStyle w:val="Heading2"/>
      </w:pPr>
      <w:bookmarkStart w:id="39" w:name="single-cell-capture-technologies"/>
      <w:r>
        <w:t xml:space="preserve">Single-cell capture technologies</w:t>
      </w:r>
      <w:bookmarkEnd w:id="39"/>
    </w:p>
    <w:p>
      <w:pPr>
        <w:pStyle w:val="Compact"/>
        <w:numPr>
          <w:numId w:val="1007"/>
          <w:ilvl w:val="0"/>
        </w:numPr>
      </w:pPr>
      <w:r>
        <w:t xml:space="preserve">First protocol</w:t>
      </w:r>
    </w:p>
    <w:p>
      <w:pPr>
        <w:pStyle w:val="Compact"/>
        <w:numPr>
          <w:numId w:val="1007"/>
          <w:ilvl w:val="0"/>
        </w:numPr>
      </w:pPr>
      <w:r>
        <w:t xml:space="preserve">Fluidigm</w:t>
      </w:r>
    </w:p>
    <w:p>
      <w:pPr>
        <w:pStyle w:val="FirstParagraph"/>
      </w:pPr>
      <w:r>
        <w:t xml:space="preserve">The first scRNA-seq protocol was published in 2009, just a year after the first</w:t>
      </w:r>
      <w:r>
        <w:t xml:space="preserve"> </w:t>
      </w:r>
      <w:r>
        <w:t xml:space="preserve">bulk RNA-seq publication. While this approach allowed measurements of the</w:t>
      </w:r>
      <w:r>
        <w:t xml:space="preserve"> </w:t>
      </w:r>
      <w:r>
        <w:t xml:space="preserve">transcriptome in individual cells it required manual manipulation and was</w:t>
      </w:r>
      <w:r>
        <w:t xml:space="preserve"> </w:t>
      </w:r>
      <w:r>
        <w:t xml:space="preserve">restricted to inspecting a few precious cells. Further studies quickly showed</w:t>
      </w:r>
      <w:r>
        <w:t xml:space="preserve"> </w:t>
      </w:r>
      <w:r>
        <w:t xml:space="preserve">that cell types could be identified without sorting cells and approaches were</w:t>
      </w:r>
      <w:r>
        <w:t xml:space="preserve"> </w:t>
      </w:r>
      <w:r>
        <w:t xml:space="preserve">developed to allow unbiased capture of the whole transcriptome. Since then many</w:t>
      </w:r>
      <w:r>
        <w:t xml:space="preserve"> </w:t>
      </w:r>
      <w:r>
        <w:t xml:space="preserve">scRNA-seq protocols have been developed including …. The first commercially</w:t>
      </w:r>
      <w:r>
        <w:t xml:space="preserve"> </w:t>
      </w:r>
      <w:r>
        <w:t xml:space="preserve">available cell capture platform was the Fluidigm C1. This system uses</w:t>
      </w:r>
      <w:r>
        <w:t xml:space="preserve"> </w:t>
      </w:r>
      <w:r>
        <w:t xml:space="preserve">microfluidics to passively separate cells into individual wells on a plate</w:t>
      </w:r>
      <w:r>
        <w:t xml:space="preserve"> </w:t>
      </w:r>
      <w:r>
        <w:t xml:space="preserve">where they are lysed, reverse-transcribed and the collected cDNA is PCR</w:t>
      </w:r>
      <w:r>
        <w:t xml:space="preserve"> </w:t>
      </w:r>
      <w:r>
        <w:t xml:space="preserve">amplified. After this stage the product is extracted from the plate and</w:t>
      </w:r>
      <w:r>
        <w:t xml:space="preserve"> </w:t>
      </w:r>
      <w:r>
        <w:t xml:space="preserve">libraries prepared for Illumina sequencing. Most C1 data has been produced</w:t>
      </w:r>
      <w:r>
        <w:t xml:space="preserve"> </w:t>
      </w:r>
      <w:r>
        <w:t xml:space="preserve">using a 96 well plate but more recently an 800 well plate has become available,</w:t>
      </w:r>
      <w:r>
        <w:t xml:space="preserve"> </w:t>
      </w:r>
      <w:r>
        <w:t xml:space="preserve">greatly increasing the number of cells that can be captured at a time. One of</w:t>
      </w:r>
      <w:r>
        <w:t xml:space="preserve"> </w:t>
      </w:r>
      <w:r>
        <w:t xml:space="preserve">the disadvantages of microfluidic cell capture technologies is that the chips</w:t>
      </w:r>
      <w:r>
        <w:t xml:space="preserve"> </w:t>
      </w:r>
      <w:r>
        <w:t xml:space="preserve">have a fixed size window, meaning that only cells of a particular sizes can be</w:t>
      </w:r>
      <w:r>
        <w:t xml:space="preserve"> </w:t>
      </w:r>
      <w:r>
        <w:t xml:space="preserve">captured in a single run. However, as cells are captured in individual wells</w:t>
      </w:r>
      <w:r>
        <w:t xml:space="preserve"> </w:t>
      </w:r>
      <w:r>
        <w:t xml:space="preserve">they can be imaged before lysis, potentially identifying damaged or broken</w:t>
      </w:r>
      <w:r>
        <w:t xml:space="preserve"> </w:t>
      </w:r>
      <w:r>
        <w:t xml:space="preserve">cells, empty wells or wells containing more than one cell. Capturing multiple</w:t>
      </w:r>
      <w:r>
        <w:t xml:space="preserve"> </w:t>
      </w:r>
      <w:r>
        <w:t xml:space="preserve">cells is a known issue, with Macosko et al. finding that when preparing a</w:t>
      </w:r>
      <w:r>
        <w:t xml:space="preserve"> </w:t>
      </w:r>
      <w:r>
        <w:t xml:space="preserve">mixture of mouse and human cells 30 percent of the resulting libraries</w:t>
      </w:r>
      <w:r>
        <w:t xml:space="preserve"> </w:t>
      </w:r>
      <w:r>
        <w:t xml:space="preserve">contained transcripts from both species but only about a third of these</w:t>
      </w:r>
      <w:r>
        <w:t xml:space="preserve"> </w:t>
      </w:r>
      <w:r>
        <w:t xml:space="preserve">doublets were visible in microscopy images[Macosko2015-rl]. The newer Polaris</w:t>
      </w:r>
      <w:r>
        <w:t xml:space="preserve"> </w:t>
      </w:r>
      <w:r>
        <w:t xml:space="preserve">system from Fluidigm also uses microfluidics to capture cells but can select</w:t>
      </w:r>
      <w:r>
        <w:t xml:space="preserve"> </w:t>
      </w:r>
      <w:r>
        <w:t xml:space="preserve">particular cells based on staining or fluorescent reporter expression and then</w:t>
      </w:r>
      <w:r>
        <w:t xml:space="preserve"> </w:t>
      </w:r>
      <w:r>
        <w:t xml:space="preserve">hold them for up to 24 hours while introducing various stimuli. The cells can be</w:t>
      </w:r>
      <w:r>
        <w:t xml:space="preserve"> </w:t>
      </w:r>
      <w:r>
        <w:t xml:space="preserve">imaged during this time before being lysed and prepared for RNA sequencing. This</w:t>
      </w:r>
      <w:r>
        <w:t xml:space="preserve"> </w:t>
      </w:r>
      <w:r>
        <w:t xml:space="preserve">platform provides opportunities for a range of experiments that aren’t possible</w:t>
      </w:r>
      <w:r>
        <w:t xml:space="preserve"> </w:t>
      </w:r>
      <w:r>
        <w:t xml:space="preserve">using other capture technologies.</w:t>
      </w:r>
    </w:p>
    <w:p>
      <w:pPr>
        <w:pStyle w:val="Heading3"/>
      </w:pPr>
      <w:bookmarkStart w:id="40" w:name="droplet-based-cell-capture"/>
      <w:r>
        <w:t xml:space="preserve">Droplet based cell capture</w:t>
      </w:r>
      <w:bookmarkEnd w:id="40"/>
    </w:p>
    <w:p>
      <w:pPr>
        <w:pStyle w:val="Compact"/>
        <w:numPr>
          <w:numId w:val="1008"/>
          <w:ilvl w:val="0"/>
        </w:numPr>
      </w:pPr>
      <w:r>
        <w:t xml:space="preserve">Drop-seq</w:t>
      </w:r>
    </w:p>
    <w:p>
      <w:pPr>
        <w:pStyle w:val="Compact"/>
        <w:numPr>
          <w:numId w:val="1008"/>
          <w:ilvl w:val="0"/>
        </w:numPr>
      </w:pPr>
      <w:r>
        <w:t xml:space="preserve">Indrop</w:t>
      </w:r>
    </w:p>
    <w:p>
      <w:pPr>
        <w:pStyle w:val="Compact"/>
        <w:numPr>
          <w:numId w:val="1008"/>
          <w:ilvl w:val="0"/>
        </w:numPr>
      </w:pPr>
      <w:r>
        <w:t xml:space="preserve">10x Chromium</w:t>
      </w:r>
    </w:p>
    <w:p>
      <w:pPr>
        <w:pStyle w:val="FirstParagraph"/>
      </w:pPr>
      <w:r>
        <w:t xml:space="preserve">An alternative to using microfludics to capture cells in wells is to capture</w:t>
      </w:r>
      <w:r>
        <w:t xml:space="preserve"> </w:t>
      </w:r>
      <w:r>
        <w:t xml:space="preserve">them in nano-droplets. A dissociated cell mixture is fed into a microfluidic</w:t>
      </w:r>
      <w:r>
        <w:t xml:space="preserve"> </w:t>
      </w:r>
      <w:r>
        <w:t xml:space="preserve">device while at another input beads coated in primers enter. The device is</w:t>
      </w:r>
      <w:r>
        <w:t xml:space="preserve"> </w:t>
      </w:r>
      <w:r>
        <w:t xml:space="preserve">designed to form aqueous droplets within mineral and the inputs are arranged so</w:t>
      </w:r>
      <w:r>
        <w:t xml:space="preserve"> </w:t>
      </w:r>
      <w:r>
        <w:t xml:space="preserve">that cells and beads can be simultaneously captured within a droplet. When this</w:t>
      </w:r>
      <w:r>
        <w:t xml:space="preserve"> </w:t>
      </w:r>
      <w:r>
        <w:t xml:space="preserve">happens the reagents carried along with the bead lyse the cell and any PolyA</w:t>
      </w:r>
      <w:r>
        <w:t xml:space="preserve"> </w:t>
      </w:r>
      <w:r>
        <w:t xml:space="preserve">tagged RNA molecules present can bind to the capture probes on the bead. Reverse</w:t>
      </w:r>
      <w:r>
        <w:t xml:space="preserve"> </w:t>
      </w:r>
      <w:r>
        <w:t xml:space="preserve">transcription and PCR amplification then begins and an individual cDNA library</w:t>
      </w:r>
      <w:r>
        <w:t xml:space="preserve"> </w:t>
      </w:r>
      <w:r>
        <w:t xml:space="preserve">is produced for each cell, tagged with the unique barcode sequence present on</w:t>
      </w:r>
      <w:r>
        <w:t xml:space="preserve"> </w:t>
      </w:r>
      <w:r>
        <w:t xml:space="preserve">the bead. The main advantage of droplet-based capture technologies is the</w:t>
      </w:r>
      <w:r>
        <w:t xml:space="preserve"> </w:t>
      </w:r>
      <w:r>
        <w:t xml:space="preserve">ability to capture many more cells at one time, up to tens of thousands. These</w:t>
      </w:r>
      <w:r>
        <w:t xml:space="preserve"> </w:t>
      </w:r>
      <w:r>
        <w:t xml:space="preserve">approaches are also less selective about cell size and produce less doublets. As</w:t>
      </w:r>
      <w:r>
        <w:t xml:space="preserve"> </w:t>
      </w:r>
      <w:r>
        <w:t xml:space="preserve">a result they are much cheaper per a cell, although as sequencing costs are</w:t>
      </w:r>
      <w:r>
        <w:t xml:space="preserve"> </w:t>
      </w:r>
      <w:r>
        <w:t xml:space="preserve">fixed studies using droplet-based captures typically sequence individual cells</w:t>
      </w:r>
      <w:r>
        <w:t xml:space="preserve"> </w:t>
      </w:r>
      <w:r>
        <w:t xml:space="preserve">at a much lower depth.</w:t>
      </w:r>
    </w:p>
    <w:p>
      <w:pPr>
        <w:pStyle w:val="BodyText"/>
      </w:pPr>
      <w:r>
        <w:t xml:space="preserve">Droplet-based capture was popularised by the publication of the Drop-seq and</w:t>
      </w:r>
      <w:r>
        <w:t xml:space="preserve"> </w:t>
      </w:r>
      <w:r>
        <w:t xml:space="preserve">InDrop platforms in 2015. This are both DIY systems and although they differ in</w:t>
      </w:r>
      <w:r>
        <w:t xml:space="preserve"> </w:t>
      </w:r>
      <w:r>
        <w:t xml:space="preserve">how the beads are produced, when the droplets are broken and some aspects of</w:t>
      </w:r>
      <w:r>
        <w:t xml:space="preserve"> </w:t>
      </w:r>
      <w:r>
        <w:t xml:space="preserve">the chemistry they can both be constructed on a lab bench from syringes,</w:t>
      </w:r>
      <w:r>
        <w:t xml:space="preserve"> </w:t>
      </w:r>
      <w:r>
        <w:t xml:space="preserve">automatic plungers, a micro scope and a small custom-made microfluidic chip. A</w:t>
      </w:r>
      <w:r>
        <w:t xml:space="preserve"> </w:t>
      </w:r>
      <w:r>
        <w:t xml:space="preserve">similar commercially available platform is the 10x Genomics Chromium device</w:t>
      </w:r>
      <w:r>
        <w:t xml:space="preserve"> </w:t>
      </w:r>
      <w:r>
        <w:t xml:space="preserve">which automates and streamlines much of the process. This device uses</w:t>
      </w:r>
      <w:r>
        <w:t xml:space="preserve"> </w:t>
      </w:r>
      <w:r>
        <w:t xml:space="preserve">droplet-based technologies for a range of applications including capture of</w:t>
      </w:r>
      <w:r>
        <w:t xml:space="preserve"> </w:t>
      </w:r>
      <w:r>
        <w:t xml:space="preserve">cells for scRNA-seq. More specialised captures, such as those aimed at</w:t>
      </w:r>
      <w:r>
        <w:t xml:space="preserve"> </w:t>
      </w:r>
      <w:r>
        <w:t xml:space="preserve">profiling immune cell receptors are also possible and the company has recently</w:t>
      </w:r>
      <w:r>
        <w:t xml:space="preserve"> </w:t>
      </w:r>
      <w:r>
        <w:t xml:space="preserve">announced kits for single-cell ATAC-seq capture.</w:t>
      </w:r>
    </w:p>
    <w:p>
      <w:pPr>
        <w:pStyle w:val="Heading3"/>
      </w:pPr>
      <w:bookmarkStart w:id="41" w:name="unique-molecular-identifiers"/>
      <w:r>
        <w:t xml:space="preserve">Unique Molecular Identifiers</w:t>
      </w:r>
      <w:bookmarkEnd w:id="41"/>
    </w:p>
    <w:p>
      <w:pPr>
        <w:pStyle w:val="Compact"/>
        <w:numPr>
          <w:numId w:val="1009"/>
          <w:ilvl w:val="0"/>
        </w:numPr>
      </w:pPr>
      <w:r>
        <w:t xml:space="preserve">Why?</w:t>
      </w:r>
    </w:p>
    <w:p>
      <w:pPr>
        <w:pStyle w:val="Compact"/>
        <w:numPr>
          <w:numId w:val="1009"/>
          <w:ilvl w:val="0"/>
        </w:numPr>
      </w:pPr>
      <w:r>
        <w:t xml:space="preserve">How they work</w:t>
      </w:r>
    </w:p>
    <w:p>
      <w:pPr>
        <w:pStyle w:val="FirstParagraph"/>
      </w:pPr>
      <w:r>
        <w:t xml:space="preserve">In contrast to plate-based capture methods, which often provide reads along the</w:t>
      </w:r>
      <w:r>
        <w:t xml:space="preserve"> </w:t>
      </w:r>
      <w:r>
        <w:t xml:space="preserve">length of transcripts, droplet-based capture methods typically employ protocols</w:t>
      </w:r>
      <w:r>
        <w:t xml:space="preserve"> </w:t>
      </w:r>
      <w:r>
        <w:t xml:space="preserve">which include short random nucleotide sequences known as Unique Molecular</w:t>
      </w:r>
      <w:r>
        <w:t xml:space="preserve"> </w:t>
      </w:r>
      <w:r>
        <w:t xml:space="preserve">Identifiers (UMIs). Individual cells contain very small amounts of RNA and to</w:t>
      </w:r>
      <w:r>
        <w:t xml:space="preserve"> </w:t>
      </w:r>
      <w:r>
        <w:t xml:space="preserve">obtain enough cDNA a PCR amplification step is necessary. Depending on their</w:t>
      </w:r>
      <w:r>
        <w:t xml:space="preserve"> </w:t>
      </w:r>
      <w:r>
        <w:t xml:space="preserve">nucleotide sequence different transcripts may be amplified at different rates</w:t>
      </w:r>
      <w:r>
        <w:t xml:space="preserve"> </w:t>
      </w:r>
      <w:r>
        <w:t xml:space="preserve">which can distort their relative proportions within a library. UMIs attempt to</w:t>
      </w:r>
      <w:r>
        <w:t xml:space="preserve"> </w:t>
      </w:r>
      <w:r>
        <w:t xml:space="preserve">improve the quantification of gene expression by allowing the removal of PCR</w:t>
      </w:r>
      <w:r>
        <w:t xml:space="preserve"> </w:t>
      </w:r>
      <w:r>
        <w:t xml:space="preserve">duplicates produced during amplification. The nucleotide probes used in</w:t>
      </w:r>
      <w:r>
        <w:t xml:space="preserve"> </w:t>
      </w:r>
      <w:r>
        <w:t xml:space="preserve">droplet-based capture protocols include a PolyT sequence which binds to mature</w:t>
      </w:r>
      <w:r>
        <w:t xml:space="preserve"> </w:t>
      </w:r>
      <w:r>
        <w:t xml:space="preserve">mRNA molecules, a barcode sequence which is the same for every probe on a bead</w:t>
      </w:r>
      <w:r>
        <w:t xml:space="preserve"> </w:t>
      </w:r>
      <w:r>
        <w:t xml:space="preserve">and 8-10 bases of UMI sequence which is unique to each probe. The UMI sequences</w:t>
      </w:r>
      <w:r>
        <w:t xml:space="preserve"> </w:t>
      </w:r>
      <w:r>
        <w:t xml:space="preserve">are long enough that the probability of capturing two copies of a transcript on</w:t>
      </w:r>
      <w:r>
        <w:t xml:space="preserve"> </w:t>
      </w:r>
      <w:r>
        <w:t xml:space="preserve">two probes with the same UMI is extremely low. After reverse-transcription,</w:t>
      </w:r>
      <w:r>
        <w:t xml:space="preserve"> </w:t>
      </w:r>
      <w:r>
        <w:t xml:space="preserve">amplification, sequencing and alignment de-duplication can be performed by</w:t>
      </w:r>
      <w:r>
        <w:t xml:space="preserve"> </w:t>
      </w:r>
      <w:r>
        <w:t xml:space="preserve">identifying reads with the same UMI that align to the same position and</w:t>
      </w:r>
      <w:r>
        <w:t xml:space="preserve"> </w:t>
      </w:r>
      <w:r>
        <w:t xml:space="preserve">therefore should be PCR duplicates rather than truly expressed copies of a</w:t>
      </w:r>
      <w:r>
        <w:t xml:space="preserve"> </w:t>
      </w:r>
      <w:r>
        <w:t xml:space="preserve">transcript. For this method to be effective each read must be associated with a</w:t>
      </w:r>
      <w:r>
        <w:t xml:space="preserve"> </w:t>
      </w:r>
      <w:r>
        <w:t xml:space="preserve">UMI which means that only a small section at the 3’ end of each transcript is</w:t>
      </w:r>
      <w:r>
        <w:t xml:space="preserve"> </w:t>
      </w:r>
      <w:r>
        <w:t xml:space="preserve">sequenced. This has the side effect of reducing the amount of cDNA that needs</w:t>
      </w:r>
      <w:r>
        <w:t xml:space="preserve"> </w:t>
      </w:r>
      <w:r>
        <w:t xml:space="preserve">to be sequenced and therefore increasing the number of cells that can be</w:t>
      </w:r>
      <w:r>
        <w:t xml:space="preserve"> </w:t>
      </w:r>
      <w:r>
        <w:t xml:space="preserve">sequenced at a time. While the improvement in quantification of gene expression</w:t>
      </w:r>
      <w:r>
        <w:t xml:space="preserve"> </w:t>
      </w:r>
      <w:r>
        <w:t xml:space="preserve">levels is useful for many downstream analyses it comes at the cost of coverage</w:t>
      </w:r>
      <w:r>
        <w:t xml:space="preserve"> </w:t>
      </w:r>
      <w:r>
        <w:t xml:space="preserve">across the length of a gene which is required for applications such as variant</w:t>
      </w:r>
      <w:r>
        <w:t xml:space="preserve"> </w:t>
      </w:r>
      <w:r>
        <w:t xml:space="preserve">detection and de-novo assembly.</w:t>
      </w:r>
      <w:r>
        <w:t xml:space="preserve"> </w:t>
      </w:r>
      <w:r>
        <w:rPr>
          <w:b/>
        </w:rPr>
        <w:t xml:space="preserve">READS ALONG GENE</w:t>
      </w:r>
      <w:r>
        <w:t xml:space="preserve"> </w:t>
      </w:r>
      <w:r>
        <w:t xml:space="preserve">Statistical methods</w:t>
      </w:r>
      <w:r>
        <w:t xml:space="preserve"> </w:t>
      </w:r>
      <w:r>
        <w:t xml:space="preserve">designed for full-length data may also be affected by the difference properties</w:t>
      </w:r>
      <w:r>
        <w:t xml:space="preserve"> </w:t>
      </w:r>
      <w:r>
        <w:t xml:space="preserve">of a UMI dataset. Datasets with UMIs also need extra processing steps which can</w:t>
      </w:r>
      <w:r>
        <w:t xml:space="preserve"> </w:t>
      </w:r>
      <w:r>
        <w:t xml:space="preserve">be complicated by the possibility of sequencing errors in the UMI itself.</w:t>
      </w:r>
    </w:p>
    <w:p>
      <w:pPr>
        <w:pStyle w:val="Heading3"/>
      </w:pPr>
      <w:bookmarkStart w:id="42" w:name="recent-advances"/>
      <w:r>
        <w:t xml:space="preserve">Recent advances</w:t>
      </w:r>
      <w:bookmarkEnd w:id="42"/>
    </w:p>
    <w:p>
      <w:pPr>
        <w:pStyle w:val="Compact"/>
        <w:numPr>
          <w:numId w:val="1010"/>
          <w:ilvl w:val="0"/>
        </w:numPr>
      </w:pPr>
      <w:r>
        <w:t xml:space="preserve">New capture methods</w:t>
      </w:r>
    </w:p>
    <w:p>
      <w:pPr>
        <w:pStyle w:val="Compact"/>
        <w:numPr>
          <w:numId w:val="1010"/>
          <w:ilvl w:val="0"/>
        </w:numPr>
      </w:pPr>
      <w:r>
        <w:t xml:space="preserve">CITE-seq</w:t>
      </w:r>
    </w:p>
    <w:p>
      <w:pPr>
        <w:pStyle w:val="Compact"/>
        <w:numPr>
          <w:numId w:val="1010"/>
          <w:ilvl w:val="0"/>
        </w:numPr>
      </w:pPr>
      <w:r>
        <w:t xml:space="preserve">Cell hashing</w:t>
      </w:r>
    </w:p>
    <w:p>
      <w:pPr>
        <w:pStyle w:val="Compact"/>
        <w:numPr>
          <w:numId w:val="1010"/>
          <w:ilvl w:val="0"/>
        </w:numPr>
      </w:pPr>
      <w:r>
        <w:t xml:space="preserve">CRISPR</w:t>
      </w:r>
    </w:p>
    <w:p>
      <w:pPr>
        <w:pStyle w:val="Compact"/>
        <w:numPr>
          <w:numId w:val="1010"/>
          <w:ilvl w:val="0"/>
        </w:numPr>
      </w:pPr>
      <w:r>
        <w:t xml:space="preserve">Multiple measurements, same cell</w:t>
      </w:r>
    </w:p>
    <w:p>
      <w:pPr>
        <w:pStyle w:val="FirstParagraph"/>
      </w:pPr>
      <w:r>
        <w:t xml:space="preserve">Although droplet-based techniques are currently the most commonly used cell</w:t>
      </w:r>
      <w:r>
        <w:t xml:space="preserve"> </w:t>
      </w:r>
      <w:r>
        <w:t xml:space="preserve">capture technologies other approaches have been proposed that promise to capture</w:t>
      </w:r>
      <w:r>
        <w:t xml:space="preserve"> </w:t>
      </w:r>
      <w:r>
        <w:t xml:space="preserve">even more cells even more cheaply. These include approaches based around</w:t>
      </w:r>
      <w:r>
        <w:t xml:space="preserve"> </w:t>
      </w:r>
      <w:r>
        <w:t xml:space="preserve">nanowells…</w:t>
      </w:r>
    </w:p>
    <w:p>
      <w:pPr>
        <w:pStyle w:val="BodyText"/>
      </w:pPr>
      <w:r>
        <w:t xml:space="preserve">Extensions to the standard protocols have also been proposed that allow extra</w:t>
      </w:r>
      <w:r>
        <w:t xml:space="preserve"> </w:t>
      </w:r>
      <w:r>
        <w:t xml:space="preserve">measurements from the same cell. One such protocol is CITE-seq which enables</w:t>
      </w:r>
      <w:r>
        <w:t xml:space="preserve"> </w:t>
      </w:r>
      <w:r>
        <w:t xml:space="preserve">measurement of the levels of selected proteins at the same time as the whole</w:t>
      </w:r>
      <w:r>
        <w:t xml:space="preserve"> </w:t>
      </w:r>
      <w:r>
        <w:t xml:space="preserve">transcriptome. Antibodies for the proteins of interest are labelled with short</w:t>
      </w:r>
      <w:r>
        <w:t xml:space="preserve"> </w:t>
      </w:r>
      <w:r>
        <w:t xml:space="preserve">nucleotide sequences. These antibodies can then be applied to the dissociated</w:t>
      </w:r>
      <w:r>
        <w:t xml:space="preserve"> </w:t>
      </w:r>
      <w:r>
        <w:t xml:space="preserve">cells and any that remain unbound washed away before cell capture. The antibody</w:t>
      </w:r>
      <w:r>
        <w:t xml:space="preserve"> </w:t>
      </w:r>
      <w:r>
        <w:t xml:space="preserve">labels are then captured along with mRNA transcripts and a size selection step</w:t>
      </w:r>
      <w:r>
        <w:t xml:space="preserve"> </w:t>
      </w:r>
      <w:r>
        <w:t xml:space="preserve">is applied to separate them before library preparation. Similar antibodies can</w:t>
      </w:r>
      <w:r>
        <w:t xml:space="preserve"> </w:t>
      </w:r>
      <w:r>
        <w:t xml:space="preserve">be used to allow multiplexing of samples through a process known as cell</w:t>
      </w:r>
      <w:r>
        <w:t xml:space="preserve"> </w:t>
      </w:r>
      <w:r>
        <w:t xml:space="preserve">hashing. In a typical scRNA-seq experiment each batch corresponds to a single</w:t>
      </w:r>
      <w:r>
        <w:t xml:space="preserve"> </w:t>
      </w:r>
      <w:r>
        <w:t xml:space="preserve">sample. This complicated analysis as it is impossible to tell what is noise due</w:t>
      </w:r>
      <w:r>
        <w:t xml:space="preserve"> </w:t>
      </w:r>
      <w:r>
        <w:t xml:space="preserve">to cells being processed in the same way and what is true biological signal.</w:t>
      </w:r>
      <w:r>
        <w:t xml:space="preserve"> </w:t>
      </w:r>
      <w:r>
        <w:t xml:space="preserve">Cell hashing uses an antibody to a ubiquitously expressed protein but with a</w:t>
      </w:r>
      <w:r>
        <w:t xml:space="preserve"> </w:t>
      </w:r>
      <w:r>
        <w:t xml:space="preserve">different nucleotide sequence for each sample. The samples can then be mixed,</w:t>
      </w:r>
      <w:r>
        <w:t xml:space="preserve"> </w:t>
      </w:r>
      <w:r>
        <w:t xml:space="preserve">processed in batches and then the cells computationally separated based on</w:t>
      </w:r>
      <w:r>
        <w:t xml:space="preserve"> </w:t>
      </w:r>
      <w:r>
        <w:t xml:space="preserve">which sequence they are associated with. An added benefit of this approach is</w:t>
      </w:r>
      <w:r>
        <w:t xml:space="preserve"> </w:t>
      </w:r>
      <w:r>
        <w:t xml:space="preserve">the simple detection of doublets containing cells from different samples.</w:t>
      </w:r>
    </w:p>
    <w:p>
      <w:pPr>
        <w:pStyle w:val="BodyText"/>
      </w:pPr>
      <w:r>
        <w:t xml:space="preserve">CRISPR-Cas9 gene editing has also been developed as an extension to scRNA-seq</w:t>
      </w:r>
      <w:r>
        <w:t xml:space="preserve"> </w:t>
      </w:r>
      <w:r>
        <w:t xml:space="preserve">protocols. One possibility is to introduce a mutation at a known location that</w:t>
      </w:r>
      <w:r>
        <w:t xml:space="preserve"> </w:t>
      </w:r>
      <w:r>
        <w:t xml:space="preserve">can then be used to demultiplex samples processed together. It is possible to</w:t>
      </w:r>
      <w:r>
        <w:t xml:space="preserve"> </w:t>
      </w:r>
      <w:r>
        <w:t xml:space="preserve">do this with samples from different individuals or cell lines but the advantage</w:t>
      </w:r>
      <w:r>
        <w:t xml:space="preserve"> </w:t>
      </w:r>
      <w:r>
        <w:t xml:space="preserve">of a gene editing based approach is that the genetic background remains similar</w:t>
      </w:r>
      <w:r>
        <w:t xml:space="preserve"> </w:t>
      </w:r>
      <w:r>
        <w:t xml:space="preserve">between samples. It is also possible to investigate the effects of introducing a</w:t>
      </w:r>
      <w:r>
        <w:t xml:space="preserve"> </w:t>
      </w:r>
      <w:r>
        <w:t xml:space="preserve">mutation. Protocols like Perturb-Seq introduce a range of guide RNA molecules to</w:t>
      </w:r>
      <w:r>
        <w:t xml:space="preserve"> </w:t>
      </w:r>
      <w:r>
        <w:t xml:space="preserve">a cell culture, subject the cells to some stimulus then perform single-cell RNA</w:t>
      </w:r>
      <w:r>
        <w:t xml:space="preserve"> </w:t>
      </w:r>
      <w:r>
        <w:t xml:space="preserve">sequencing. The introduced mutation can then be linked to the response of the</w:t>
      </w:r>
      <w:r>
        <w:t xml:space="preserve"> </w:t>
      </w:r>
      <w:r>
        <w:t xml:space="preserve">cells to the stimulus and the associated broader changes in gene expression.</w:t>
      </w:r>
    </w:p>
    <w:p>
      <w:pPr>
        <w:pStyle w:val="BodyText"/>
      </w:pPr>
      <w:r>
        <w:t xml:space="preserve">Other approaches that allow multiple measurements from individual cells</w:t>
      </w:r>
      <w:r>
        <w:t xml:space="preserve"> </w:t>
      </w:r>
      <w:r>
        <w:t xml:space="preserve">include…</w:t>
      </w:r>
    </w:p>
    <w:p>
      <w:pPr>
        <w:pStyle w:val="Heading2"/>
      </w:pPr>
      <w:bookmarkStart w:id="43" w:name="analysing-scrna-seq-data"/>
      <w:r>
        <w:t xml:space="preserve">Analysing scRNA-seq data</w:t>
      </w:r>
      <w:bookmarkEnd w:id="43"/>
    </w:p>
    <w:p>
      <w:pPr>
        <w:pStyle w:val="Compact"/>
        <w:numPr>
          <w:numId w:val="1011"/>
          <w:ilvl w:val="0"/>
        </w:numPr>
      </w:pPr>
      <w:r>
        <w:t xml:space="preserve">Low counts</w:t>
      </w:r>
    </w:p>
    <w:p>
      <w:pPr>
        <w:pStyle w:val="Compact"/>
        <w:numPr>
          <w:numId w:val="1012"/>
          <w:ilvl w:val="1"/>
        </w:numPr>
      </w:pPr>
      <w:r>
        <w:t xml:space="preserve">Dropout</w:t>
      </w:r>
    </w:p>
    <w:p>
      <w:pPr>
        <w:pStyle w:val="Compact"/>
        <w:numPr>
          <w:numId w:val="1012"/>
          <w:ilvl w:val="1"/>
        </w:numPr>
      </w:pPr>
      <w:r>
        <w:t xml:space="preserve">Bursting</w:t>
      </w:r>
    </w:p>
    <w:p>
      <w:pPr>
        <w:pStyle w:val="Compact"/>
        <w:numPr>
          <w:numId w:val="1012"/>
          <w:ilvl w:val="1"/>
        </w:numPr>
      </w:pPr>
      <w:r>
        <w:t xml:space="preserve">Biology</w:t>
      </w:r>
    </w:p>
    <w:p>
      <w:pPr>
        <w:pStyle w:val="FirstParagraph"/>
      </w:pPr>
      <w:r>
        <w:t xml:space="preserve">Cell capture technologies and scRNA-seq protocols have developed rapidly but</w:t>
      </w:r>
      <w:r>
        <w:t xml:space="preserve"> </w:t>
      </w:r>
      <w:r>
        <w:t xml:space="preserve">there are still a number of challenges with the data they produce. Existing</w:t>
      </w:r>
      <w:r>
        <w:t xml:space="preserve"> </w:t>
      </w:r>
      <w:r>
        <w:t xml:space="preserve">approaches are inefficient, capturing around 10 percent of transcripts in a</w:t>
      </w:r>
      <w:r>
        <w:t xml:space="preserve"> </w:t>
      </w:r>
      <w:r>
        <w:t xml:space="preserve">cell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 When combined with the low sequencing depth per cell this</w:t>
      </w:r>
      <w:r>
        <w:t xml:space="preserve"> </w:t>
      </w:r>
      <w:r>
        <w:t xml:space="preserve">results in a limited sensitivity and an inability to detect lowly expressed</w:t>
      </w:r>
      <w:r>
        <w:t xml:space="preserve"> </w:t>
      </w:r>
      <w:r>
        <w:t xml:space="preserve">transcripts. The small amount of starting material also contributes to high</w:t>
      </w:r>
      <w:r>
        <w:t xml:space="preserve"> </w:t>
      </w:r>
      <w:r>
        <w:t xml:space="preserve">levels of technical noise, complicating downstream analysis and making it</w:t>
      </w:r>
      <w:r>
        <w:t xml:space="preserve"> </w:t>
      </w:r>
      <w:r>
        <w:t xml:space="preserve">difficult to detect biological differences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 In order to capture</w:t>
      </w:r>
      <w:r>
        <w:t xml:space="preserve"> </w:t>
      </w:r>
      <w:r>
        <w:t xml:space="preserve">cells they must first be dissociated into single-cell suspensions but this step</w:t>
      </w:r>
      <w:r>
        <w:t xml:space="preserve"> </w:t>
      </w:r>
      <w:r>
        <w:t xml:space="preserve">can be non-trivial. Some tissues or cell types may be more difficult to</w:t>
      </w:r>
      <w:r>
        <w:t xml:space="preserve"> </w:t>
      </w:r>
      <w:r>
        <w:t xml:space="preserve">separate than others and the treatments required to break them apart may effect</w:t>
      </w:r>
      <w:r>
        <w:t xml:space="preserve"> </w:t>
      </w:r>
      <w:r>
        <w:t xml:space="preserve">the health of the cells and their transcriptional profiles. Other cell types</w:t>
      </w:r>
      <w:r>
        <w:t xml:space="preserve"> </w:t>
      </w:r>
      <w:r>
        <w:t xml:space="preserve">may be too big or have other characteristics that prevent them being captured.</w:t>
      </w:r>
      <w:r>
        <w:t xml:space="preserve"> </w:t>
      </w:r>
      <w:r>
        <w:t xml:space="preserve">In these cases related techniques that allow the sequencing of RNA from single</w:t>
      </w:r>
      <w:r>
        <w:t xml:space="preserve"> </w:t>
      </w:r>
      <w:r>
        <w:t xml:space="preserve">nuclei may be more effective. Cells may be damaged during processing, multiple</w:t>
      </w:r>
      <w:r>
        <w:t xml:space="preserve"> </w:t>
      </w:r>
      <w:r>
        <w:t xml:space="preserve">cells captured together or empty wells or droplets sequenced making quality</w:t>
      </w:r>
      <w:r>
        <w:t xml:space="preserve"> </w:t>
      </w:r>
      <w:r>
        <w:t xml:space="preserve">control of datasets an important consideration.</w:t>
      </w:r>
    </w:p>
    <w:p>
      <w:pPr>
        <w:pStyle w:val="BodyText"/>
      </w:pPr>
      <w:r>
        <w:t xml:space="preserve">As well as increasing technical noise the small amounts of starting material</w:t>
      </w:r>
      <w:r>
        <w:t xml:space="preserve"> </w:t>
      </w:r>
      <w:r>
        <w:t xml:space="preserve">and low sequencing depth mean there are many occasions where zero counts are</w:t>
      </w:r>
      <w:r>
        <w:t xml:space="preserve"> </w:t>
      </w:r>
      <w:r>
        <w:t xml:space="preserve">recorded, indicating no measured expression for a particular gene in a</w:t>
      </w:r>
      <w:r>
        <w:t xml:space="preserve"> </w:t>
      </w:r>
      <w:r>
        <w:t xml:space="preserve">particular cell. These zero counts often represent true biological signal we</w:t>
      </w:r>
      <w:r>
        <w:t xml:space="preserve"> </w:t>
      </w:r>
      <w:r>
        <w:t xml:space="preserve">are interested as we expect different cell types to express different genes.</w:t>
      </w:r>
      <w:r>
        <w:t xml:space="preserve"> </w:t>
      </w:r>
      <w:r>
        <w:t xml:space="preserve">However they can also be the result of confounding biological factors such as</w:t>
      </w:r>
      <w:r>
        <w:t xml:space="preserve"> </w:t>
      </w:r>
      <w:r>
        <w:t xml:space="preserve">stage in the cell cycle, transcriptional bursting and environmental interactions</w:t>
      </w:r>
      <w:r>
        <w:t xml:space="preserve"> </w:t>
      </w:r>
      <w:r>
        <w:t xml:space="preserve">which cause genuine changes in expression but that might not be of interest to</w:t>
      </w:r>
      <w:r>
        <w:t xml:space="preserve"> </w:t>
      </w:r>
      <w:r>
        <w:t xml:space="preserve">a particular study. On top of this there are effects that are purely technical</w:t>
      </w:r>
      <w:r>
        <w:t xml:space="preserve"> </w:t>
      </w:r>
      <w:r>
        <w:t xml:space="preserve">factors in particular sampling effects which mean result in</w:t>
      </w:r>
      <w:r>
        <w:t xml:space="preserve"> </w:t>
      </w:r>
      <w:r>
        <w:t xml:space="preserve">“</w:t>
      </w:r>
      <w:r>
        <w:t xml:space="preserve">dropout</w:t>
      </w:r>
      <w:r>
        <w:t xml:space="preserve">”</w:t>
      </w:r>
      <w:r>
        <w:t xml:space="preserve"> </w:t>
      </w:r>
      <w:r>
        <w:t xml:space="preserve">events</w:t>
      </w:r>
      <w:r>
        <w:t xml:space="preserve"> </w:t>
      </w:r>
      <w:r>
        <w:t xml:space="preserve">where a transcript is truly expressed in a sample but is not observed in the</w:t>
      </w:r>
      <w:r>
        <w:t xml:space="preserve"> </w:t>
      </w:r>
      <w:r>
        <w:t xml:space="preserve">sequencing data. In bulk experiments these effects are limited by averaging</w:t>
      </w:r>
      <w:r>
        <w:t xml:space="preserve"> </w:t>
      </w:r>
      <w:r>
        <w:t xml:space="preserve">across the cells in a sample but for single-cell experiments they can present</w:t>
      </w:r>
      <w:r>
        <w:t xml:space="preserve"> </w:t>
      </w:r>
      <w:r>
        <w:t xml:space="preserve">a significant challenge for analysis as methods must account for the missing</w:t>
      </w:r>
      <w:r>
        <w:t xml:space="preserve"> </w:t>
      </w:r>
      <w:r>
        <w:t xml:space="preserve">information and they may cause the assumptions of existing methods to be</w:t>
      </w:r>
      <w:r>
        <w:t xml:space="preserve"> </w:t>
      </w:r>
      <w:r>
        <w:t xml:space="preserve">violated. One approach to tackling the problem of too many zeros is to use</w:t>
      </w:r>
      <w:r>
        <w:t xml:space="preserve"> </w:t>
      </w:r>
      <w:r>
        <w:t xml:space="preserve">zero-inflated versions of common distributions but it is debatable whether</w:t>
      </w:r>
      <w:r>
        <w:t xml:space="preserve"> </w:t>
      </w:r>
      <w:r>
        <w:t xml:space="preserve">scRNA-seq datasets are truly zero-inflated or the the additional zeros are</w:t>
      </w:r>
      <w:r>
        <w:t xml:space="preserve"> </w:t>
      </w:r>
      <w:r>
        <w:t xml:space="preserve">better modeled with standard distributions with lower means. Another approach</w:t>
      </w:r>
      <w:r>
        <w:t xml:space="preserve"> </w:t>
      </w:r>
      <w:r>
        <w:t xml:space="preserve">is to impute some of the zeros, replacing them with estimates of how expressed</w:t>
      </w:r>
      <w:r>
        <w:t xml:space="preserve"> </w:t>
      </w:r>
      <w:r>
        <w:t xml:space="preserve">those genes truly are based on their expression in similar cells. However</w:t>
      </w:r>
      <w:r>
        <w:t xml:space="preserve"> </w:t>
      </w:r>
      <w:r>
        <w:t xml:space="preserve">imputation comes with the risk of introducing false structure that is not</w:t>
      </w:r>
      <w:r>
        <w:t xml:space="preserve"> </w:t>
      </w:r>
      <w:r>
        <w:t xml:space="preserve">really present in the data.</w:t>
      </w:r>
    </w:p>
    <w:p>
      <w:pPr>
        <w:pStyle w:val="BodyText"/>
      </w:pPr>
      <w:r>
        <w:t xml:space="preserve">Bulk RNA-seq experiments usually involve predefined groups of samples, for</w:t>
      </w:r>
      <w:r>
        <w:t xml:space="preserve"> </w:t>
      </w:r>
      <w:r>
        <w:t xml:space="preserve">example cancer cells and normal tissue, different tissue types or treatment and</w:t>
      </w:r>
      <w:r>
        <w:t xml:space="preserve"> </w:t>
      </w:r>
      <w:r>
        <w:t xml:space="preserve">control groups. It is possible to design scRNA-seq experiments in the same way</w:t>
      </w:r>
      <w:r>
        <w:t xml:space="preserve"> </w:t>
      </w:r>
      <w:r>
        <w:t xml:space="preserve">for example by sorting cells into known groups based on surface markers,</w:t>
      </w:r>
      <w:r>
        <w:t xml:space="preserve"> </w:t>
      </w:r>
      <w:r>
        <w:t xml:space="preserve">sampling them at a series of time points or comparing treatment groups but</w:t>
      </w:r>
      <w:r>
        <w:t xml:space="preserve"> </w:t>
      </w:r>
      <w:r>
        <w:t xml:space="preserve">often they are more exploratory. Many of the single-cell studies to date have</w:t>
      </w:r>
      <w:r>
        <w:t xml:space="preserve"> </w:t>
      </w:r>
      <w:r>
        <w:t xml:space="preserve">sampled developing or mature tissues and attempted to profile the cell types</w:t>
      </w:r>
      <w:r>
        <w:t xml:space="preserve"> </w:t>
      </w:r>
      <w:r>
        <w:t xml:space="preserve">that are present[Zeisel2015-rd; Patel2014-bl; Treutlein2014-wd;</w:t>
      </w:r>
      <w:r>
        <w:t xml:space="preserve"> </w:t>
      </w:r>
      <w:r>
        <w:t xml:space="preserve">Usoskin2015-fz; Buettner2015-rq; Klein2015-iw; Trapnell2014-he]. This</w:t>
      </w:r>
      <w:r>
        <w:t xml:space="preserve"> </w:t>
      </w:r>
      <w:r>
        <w:t xml:space="preserve">approach is best exemplified by the Human Cell Atlas project which is</w:t>
      </w:r>
      <w:r>
        <w:t xml:space="preserve"> </w:t>
      </w:r>
      <w:r>
        <w:t xml:space="preserve">attempting to produce a reference of the transcriptional profiles of all the</w:t>
      </w:r>
      <w:r>
        <w:t xml:space="preserve"> </w:t>
      </w:r>
      <w:r>
        <w:t xml:space="preserve">cell types in the human body. Similar projects exist for other species and</w:t>
      </w:r>
      <w:r>
        <w:t xml:space="preserve"> </w:t>
      </w:r>
      <w:r>
        <w:t xml:space="preserve">specific tissues. As scRNA-seq datasets have become more widely available a</w:t>
      </w:r>
      <w:r>
        <w:t xml:space="preserve"> </w:t>
      </w:r>
      <w:r>
        <w:t xml:space="preserve">standard workflow has developed which can be applied to many experiments. This</w:t>
      </w:r>
      <w:r>
        <w:t xml:space="preserve"> </w:t>
      </w:r>
      <w:r>
        <w:t xml:space="preserve">workflow can be divided into four phases: 1) Data acquisition, Pre-processing</w:t>
      </w:r>
      <w:r>
        <w:t xml:space="preserve"> </w:t>
      </w:r>
      <w:r>
        <w:t xml:space="preserve">of samples to produce a cell by gene expression matrix, 2) Data cleaning,</w:t>
      </w:r>
      <w:r>
        <w:t xml:space="preserve"> </w:t>
      </w:r>
      <w:r>
        <w:t xml:space="preserve">quality control to refine the dataset used for analysis, 3) Cell assignment,</w:t>
      </w:r>
      <w:r>
        <w:t xml:space="preserve"> </w:t>
      </w:r>
      <w:r>
        <w:t xml:space="preserve">grouping or ordering of cells based on their transcriptional profile, and 4)</w:t>
      </w:r>
      <w:r>
        <w:t xml:space="preserve"> </w:t>
      </w:r>
      <w:r>
        <w:t xml:space="preserve">Gene identification to find genes that represent particular groups and can be</w:t>
      </w:r>
      <w:r>
        <w:t xml:space="preserve"> </w:t>
      </w:r>
      <w:r>
        <w:t xml:space="preserve">used to interpret them. Within each phase a range processes may be used and</w:t>
      </w:r>
      <w:r>
        <w:t xml:space="preserve"> </w:t>
      </w:r>
      <w:r>
        <w:t xml:space="preserve">there are now many tools available for completing each of them, with over XXX</w:t>
      </w:r>
      <w:r>
        <w:t xml:space="preserve"> </w:t>
      </w:r>
      <w:r>
        <w:t xml:space="preserve">tools currently available. An introduction to the phases of scRNA-seq analysis</w:t>
      </w:r>
      <w:r>
        <w:t xml:space="preserve"> </w:t>
      </w:r>
      <w:r>
        <w:t xml:space="preserve">is provided here but the analysis tools landscape is more fully explored in</w:t>
      </w:r>
      <w:r>
        <w:t xml:space="preserve"> </w:t>
      </w:r>
      <w:r>
        <w:t xml:space="preserve">Chapter X.</w:t>
      </w:r>
    </w:p>
    <w:p>
      <w:pPr>
        <w:pStyle w:val="Heading3"/>
      </w:pPr>
      <w:bookmarkStart w:id="44" w:name="pre-processing-and-quality-control"/>
      <w:r>
        <w:t xml:space="preserve">Pre-processing and quality control</w:t>
      </w:r>
      <w:bookmarkEnd w:id="44"/>
    </w:p>
    <w:p>
      <w:pPr>
        <w:pStyle w:val="Compact"/>
        <w:numPr>
          <w:numId w:val="1013"/>
          <w:ilvl w:val="0"/>
        </w:numPr>
      </w:pPr>
      <w:r>
        <w:t xml:space="preserve">Alignment</w:t>
      </w:r>
    </w:p>
    <w:p>
      <w:pPr>
        <w:pStyle w:val="Compact"/>
        <w:numPr>
          <w:numId w:val="1013"/>
          <w:ilvl w:val="0"/>
        </w:numPr>
      </w:pPr>
      <w:r>
        <w:t xml:space="preserve">Droplet selection</w:t>
      </w:r>
    </w:p>
    <w:p>
      <w:pPr>
        <w:pStyle w:val="Compact"/>
        <w:numPr>
          <w:numId w:val="1013"/>
          <w:ilvl w:val="0"/>
        </w:numPr>
      </w:pPr>
      <w:r>
        <w:t xml:space="preserve">UMIs</w:t>
      </w:r>
    </w:p>
    <w:p>
      <w:pPr>
        <w:pStyle w:val="Compact"/>
        <w:numPr>
          <w:numId w:val="1013"/>
          <w:ilvl w:val="0"/>
        </w:numPr>
      </w:pPr>
      <w:r>
        <w:t xml:space="preserve">Doublet detection</w:t>
      </w:r>
    </w:p>
    <w:p>
      <w:pPr>
        <w:pStyle w:val="Compact"/>
        <w:numPr>
          <w:numId w:val="1013"/>
          <w:ilvl w:val="0"/>
        </w:numPr>
      </w:pPr>
      <w:r>
        <w:t xml:space="preserve">Bad cells</w:t>
      </w:r>
    </w:p>
    <w:p>
      <w:pPr>
        <w:pStyle w:val="Compact"/>
        <w:numPr>
          <w:numId w:val="1013"/>
          <w:ilvl w:val="0"/>
        </w:numPr>
      </w:pPr>
      <w:r>
        <w:t xml:space="preserve">Gene filtering</w:t>
      </w:r>
    </w:p>
    <w:p>
      <w:pPr>
        <w:pStyle w:val="Compact"/>
        <w:numPr>
          <w:numId w:val="1013"/>
          <w:ilvl w:val="0"/>
        </w:numPr>
      </w:pPr>
      <w:r>
        <w:t xml:space="preserve">Cell ranger</w:t>
      </w:r>
    </w:p>
    <w:p>
      <w:pPr>
        <w:pStyle w:val="Compact"/>
        <w:numPr>
          <w:numId w:val="1013"/>
          <w:ilvl w:val="0"/>
        </w:numPr>
      </w:pPr>
      <w:r>
        <w:t xml:space="preserve">scater</w:t>
      </w:r>
    </w:p>
    <w:p>
      <w:pPr>
        <w:pStyle w:val="Compact"/>
        <w:numPr>
          <w:numId w:val="1013"/>
          <w:ilvl w:val="0"/>
        </w:numPr>
      </w:pPr>
      <w:r>
        <w:t xml:space="preserve">cell free DNA</w:t>
      </w:r>
    </w:p>
    <w:p>
      <w:pPr>
        <w:pStyle w:val="FirstParagraph"/>
      </w:pPr>
      <w:r>
        <w:t xml:space="preserve">The result of a sequencing experiment is typically a set of image files from</w:t>
      </w:r>
      <w:r>
        <w:t xml:space="preserve"> </w:t>
      </w:r>
      <w:r>
        <w:t xml:space="preserve">the sequencer or a FASTQ file containing nucleotide reads but for most analyses</w:t>
      </w:r>
      <w:r>
        <w:t xml:space="preserve"> </w:t>
      </w:r>
      <w:r>
        <w:t xml:space="preserve">we use an expression matrix. To produce this matrix there is a series of</w:t>
      </w:r>
      <w:r>
        <w:t xml:space="preserve"> </w:t>
      </w:r>
      <w:r>
        <w:t xml:space="preserve">pre-processing steps, typically beginning will some quality control of the raw</w:t>
      </w:r>
      <w:r>
        <w:t xml:space="preserve"> </w:t>
      </w:r>
      <w:r>
        <w:t xml:space="preserve">reads. Reads are then aligned to a reference genome and the number of reads</w:t>
      </w:r>
      <w:r>
        <w:t xml:space="preserve"> </w:t>
      </w:r>
      <w:r>
        <w:t xml:space="preserve">overlapping annotated features (genes or transcripts) is counted. In recent</w:t>
      </w:r>
      <w:r>
        <w:t xml:space="preserve"> </w:t>
      </w:r>
      <w:r>
        <w:t xml:space="preserve">years probabilistic quantification methods such as kallisto[Bray2016-tm] or</w:t>
      </w:r>
      <w:r>
        <w:t xml:space="preserve"> </w:t>
      </w:r>
      <w:r>
        <w:t xml:space="preserve">Salmon[Patro2015-kl] that estimate transcript expression directly without</w:t>
      </w:r>
      <w:r>
        <w:t xml:space="preserve"> </w:t>
      </w:r>
      <w:r>
        <w:t xml:space="preserve">requiring complete alignment have become popular as they dramatically reduce</w:t>
      </w:r>
      <w:r>
        <w:t xml:space="preserve"> </w:t>
      </w:r>
      <w:r>
        <w:t xml:space="preserve">processing time and potentially produce more accurate quantification. These can</w:t>
      </w:r>
      <w:r>
        <w:t xml:space="preserve"> </w:t>
      </w:r>
      <w:r>
        <w:t xml:space="preserve">be applied to full-length scRNA-seq datasets but have required adaptations such</w:t>
      </w:r>
      <w:r>
        <w:t xml:space="preserve"> </w:t>
      </w:r>
      <w:r>
        <w:t xml:space="preserve">as the Alevin method for UMI-based datasets. When using conventional alignment</w:t>
      </w:r>
      <w:r>
        <w:t xml:space="preserve"> </w:t>
      </w:r>
      <w:r>
        <w:t xml:space="preserve">UMI samples need extra processing with tools like UMI-tools[Smith2016-bt] or</w:t>
      </w:r>
      <w:r>
        <w:t xml:space="preserve"> </w:t>
      </w:r>
      <w:r>
        <w:t xml:space="preserve">umis[Svensson2016-eg] in order to assign cell barcodes and deduplicate UMIs.</w:t>
      </w:r>
      <w:r>
        <w:t xml:space="preserve"> </w:t>
      </w:r>
      <w:r>
        <w:t xml:space="preserve">For datasets produced using the Chromium platform the Cell Ranger software is</w:t>
      </w:r>
      <w:r>
        <w:t xml:space="preserve"> </w:t>
      </w:r>
      <w:r>
        <w:t xml:space="preserve">a complete preprocessing pipeline that also includes an automated downstream</w:t>
      </w:r>
      <w:r>
        <w:t xml:space="preserve"> </w:t>
      </w:r>
      <w:r>
        <w:t xml:space="preserve">analysis. Other packages such as scPipe also aim to streamline this process with</w:t>
      </w:r>
      <w:r>
        <w:t xml:space="preserve"> </w:t>
      </w:r>
      <w:r>
        <w:t xml:space="preserve">some such as XXX designed to work on scalable cloud based infrastructure which</w:t>
      </w:r>
      <w:r>
        <w:t xml:space="preserve"> </w:t>
      </w:r>
      <w:r>
        <w:t xml:space="preserve">may be required as bigger datasets continue to be produced.</w:t>
      </w:r>
    </w:p>
    <w:p>
      <w:pPr>
        <w:pStyle w:val="BodyText"/>
      </w:pPr>
      <w:r>
        <w:t xml:space="preserve">Quality control of individual cells is important as experiments will contain</w:t>
      </w:r>
      <w:r>
        <w:t xml:space="preserve"> </w:t>
      </w:r>
      <w:r>
        <w:t xml:space="preserve">low-quality cells that can be uninformative or lead to misleading results.</w:t>
      </w:r>
      <w:r>
        <w:t xml:space="preserve"> </w:t>
      </w:r>
      <w:r>
        <w:t xml:space="preserve">Quality control can be performed on various levels, from the quality scores of</w:t>
      </w:r>
      <w:r>
        <w:t xml:space="preserve"> </w:t>
      </w:r>
      <w:r>
        <w:t xml:space="preserve">the reads themselves, how or where reads align to features of the expression</w:t>
      </w:r>
      <w:r>
        <w:t xml:space="preserve"> </w:t>
      </w:r>
      <w:r>
        <w:t xml:space="preserve">matrix. Particular types of cells that are commonly removed include damaged</w:t>
      </w:r>
      <w:r>
        <w:t xml:space="preserve"> </w:t>
      </w:r>
      <w:r>
        <w:t xml:space="preserve">cells, doublets where multiple cells have been captured together and empty</w:t>
      </w:r>
      <w:r>
        <w:t xml:space="preserve"> </w:t>
      </w:r>
      <w:r>
        <w:t xml:space="preserve">droplets or wells that have been sequenced but do not contain a cell. The</w:t>
      </w:r>
      <w:r>
        <w:t xml:space="preserve"> </w:t>
      </w:r>
      <w:r>
        <w:t xml:space="preserve">Cellity package attempts to automate this process by inspecting a series of</w:t>
      </w:r>
      <w:r>
        <w:t xml:space="preserve"> </w:t>
      </w:r>
      <w:r>
        <w:t xml:space="preserve">biological and technical features and using machine learning methods to</w:t>
      </w:r>
      <w:r>
        <w:t xml:space="preserve"> </w:t>
      </w:r>
      <w:r>
        <w:t xml:space="preserve">distinguish between high and low-quality cells[Ilicic2016-wy]. However the</w:t>
      </w:r>
      <w:r>
        <w:t xml:space="preserve"> </w:t>
      </w:r>
      <w:r>
        <w:t xml:space="preserve">authors found that many of the features were cell type specific and more work</w:t>
      </w:r>
      <w:r>
        <w:t xml:space="preserve"> </w:t>
      </w:r>
      <w:r>
        <w:t xml:space="preserve">needs to be done to make this approach more generally applicable. The scater</w:t>
      </w:r>
      <w:r>
        <w:t xml:space="preserve"> </w:t>
      </w:r>
      <w:r>
        <w:t xml:space="preserve">package[McCarthy2016-cw] emphasises a more exploratory approach to quality</w:t>
      </w:r>
      <w:r>
        <w:t xml:space="preserve"> </w:t>
      </w:r>
      <w:r>
        <w:t xml:space="preserve">control at the expression matrix level but providing a series of functions for</w:t>
      </w:r>
      <w:r>
        <w:t xml:space="preserve"> </w:t>
      </w:r>
      <w:r>
        <w:t xml:space="preserve">visualising various features of a dataset. These plots can then be used for</w:t>
      </w:r>
      <w:r>
        <w:t xml:space="preserve"> </w:t>
      </w:r>
      <w:r>
        <w:t xml:space="preserve">selecting thresholds for removing cells. Plate-based capture platforms can</w:t>
      </w:r>
      <w:r>
        <w:t xml:space="preserve"> </w:t>
      </w:r>
      <w:r>
        <w:t xml:space="preserve">produce additional biases based on the location of individual wells, a problem</w:t>
      </w:r>
      <w:r>
        <w:t xml:space="preserve"> </w:t>
      </w:r>
      <w:r>
        <w:t xml:space="preserve">which is addressed by the OEFinder package which attempts to identify and</w:t>
      </w:r>
      <w:r>
        <w:t xml:space="preserve"> </w:t>
      </w:r>
      <w:r>
        <w:t xml:space="preserve">visualise these</w:t>
      </w:r>
      <w:r>
        <w:t xml:space="preserve"> </w:t>
      </w:r>
      <w:r>
        <w:t xml:space="preserve">“</w:t>
      </w:r>
      <w:r>
        <w:t xml:space="preserve">ordering effects</w:t>
      </w:r>
      <w:r>
        <w:t xml:space="preserve">”</w:t>
      </w:r>
      <w:r>
        <w:t xml:space="preserve">[Leng2016-it].</w:t>
      </w:r>
    </w:p>
    <w:p>
      <w:pPr>
        <w:pStyle w:val="BodyText"/>
      </w:pPr>
      <w:r>
        <w:t xml:space="preserve">Filtering and selection of features also deserves attention. Genes or</w:t>
      </w:r>
      <w:r>
        <w:t xml:space="preserve"> </w:t>
      </w:r>
      <w:r>
        <w:t xml:space="preserve">transcripts that are lowly expressed are typically removed from datasets in</w:t>
      </w:r>
      <w:r>
        <w:t xml:space="preserve"> </w:t>
      </w:r>
      <w:r>
        <w:t xml:space="preserve">order to reduce computational time and multiple-testing correction but it is</w:t>
      </w:r>
      <w:r>
        <w:t xml:space="preserve"> </w:t>
      </w:r>
      <w:r>
        <w:t xml:space="preserve">unclear how many counts indicate that a gene is truly</w:t>
      </w:r>
      <w:r>
        <w:t xml:space="preserve"> </w:t>
      </w:r>
      <w:r>
        <w:t xml:space="preserve">“</w:t>
      </w:r>
      <w:r>
        <w:t xml:space="preserve">expressed</w:t>
      </w:r>
      <w:r>
        <w:t xml:space="preserve">”</w:t>
      </w:r>
      <w:r>
        <w:t xml:space="preserve">. Many</w:t>
      </w:r>
      <w:r>
        <w:t xml:space="preserve"> </w:t>
      </w:r>
      <w:r>
        <w:t xml:space="preserve">downstream analysis operate on a selected set of genes which can have a</w:t>
      </w:r>
      <w:r>
        <w:t xml:space="preserve"> </w:t>
      </w:r>
      <w:r>
        <w:t xml:space="preserve">dramatic effect on their results. These features are often selected based on</w:t>
      </w:r>
      <w:r>
        <w:t xml:space="preserve"> </w:t>
      </w:r>
      <w:r>
        <w:t xml:space="preserve">how variable they are across the dataset but this may be a result of noise</w:t>
      </w:r>
      <w:r>
        <w:t xml:space="preserve"> </w:t>
      </w:r>
      <w:r>
        <w:t xml:space="preserve">rather than biological importance. Alternative selection methods have been</w:t>
      </w:r>
      <w:r>
        <w:t xml:space="preserve"> </w:t>
      </w:r>
      <w:r>
        <w:t xml:space="preserve">proposed such as M3Drop which…</w:t>
      </w:r>
    </w:p>
    <w:p>
      <w:pPr>
        <w:pStyle w:val="Heading3"/>
      </w:pPr>
      <w:bookmarkStart w:id="45" w:name="normalisation-and-integration"/>
      <w:r>
        <w:t xml:space="preserve">Normalisation and integration</w:t>
      </w:r>
      <w:bookmarkEnd w:id="45"/>
    </w:p>
    <w:p>
      <w:pPr>
        <w:pStyle w:val="Compact"/>
        <w:numPr>
          <w:numId w:val="1014"/>
          <w:ilvl w:val="0"/>
        </w:numPr>
      </w:pPr>
      <w:r>
        <w:t xml:space="preserve">Why?</w:t>
      </w:r>
    </w:p>
    <w:p>
      <w:pPr>
        <w:pStyle w:val="Compact"/>
        <w:numPr>
          <w:numId w:val="1014"/>
          <w:ilvl w:val="0"/>
        </w:numPr>
      </w:pPr>
      <w:r>
        <w:t xml:space="preserve">Seurat CCA</w:t>
      </w:r>
    </w:p>
    <w:p>
      <w:pPr>
        <w:pStyle w:val="Compact"/>
        <w:numPr>
          <w:numId w:val="1014"/>
          <w:ilvl w:val="0"/>
        </w:numPr>
      </w:pPr>
      <w:r>
        <w:t xml:space="preserve">New methods</w:t>
      </w:r>
    </w:p>
    <w:p>
      <w:pPr>
        <w:pStyle w:val="Compact"/>
        <w:numPr>
          <w:numId w:val="1014"/>
          <w:ilvl w:val="0"/>
        </w:numPr>
      </w:pPr>
      <w:r>
        <w:t xml:space="preserve">Tung?</w:t>
      </w:r>
    </w:p>
    <w:p>
      <w:pPr>
        <w:pStyle w:val="Compact"/>
        <w:numPr>
          <w:numId w:val="1014"/>
          <w:ilvl w:val="0"/>
        </w:numPr>
      </w:pPr>
      <w:r>
        <w:t xml:space="preserve">Different data types</w:t>
      </w:r>
    </w:p>
    <w:p>
      <w:pPr>
        <w:pStyle w:val="FirstParagraph"/>
      </w:pPr>
      <w:r>
        <w:t xml:space="preserve">Technical variation is a known problem in high-throughput genomics studies, for</w:t>
      </w:r>
      <w:r>
        <w:t xml:space="preserve"> </w:t>
      </w:r>
      <w:r>
        <w:t xml:space="preserve">example it has been estimated that only 17.8 percent of allele-specific</w:t>
      </w:r>
      <w:r>
        <w:t xml:space="preserve"> </w:t>
      </w:r>
      <w:r>
        <w:t xml:space="preserve">expression is due to biological variation with the rest being technical</w:t>
      </w:r>
      <w:r>
        <w:t xml:space="preserve"> </w:t>
      </w:r>
      <w:r>
        <w:t xml:space="preserve">noise[Kim2015-mo]. Effective normalisation has been shown to be a crucial</w:t>
      </w:r>
      <w:r>
        <w:t xml:space="preserve"> </w:t>
      </w:r>
      <w:r>
        <w:t xml:space="preserve">aspect of analysis for bulk RNA-seq datasets and similarly this is true for</w:t>
      </w:r>
      <w:r>
        <w:t xml:space="preserve"> </w:t>
      </w:r>
      <w:r>
        <w:t xml:space="preserve">single-cell experiments. Some full-length studies use simple transformations</w:t>
      </w:r>
      <w:r>
        <w:t xml:space="preserve"> </w:t>
      </w:r>
      <w:r>
        <w:t xml:space="preserve">like Reads (or Fragments) Per Kilobase per Million</w:t>
      </w:r>
      <w:r>
        <w:t xml:space="preserve"> </w:t>
      </w:r>
      <w:r>
        <w:t xml:space="preserve">(RPKM/FPKM)[Mortazavi2008-vu] or Transcripts Per Million (TPM)[Wagner2012-qf]</w:t>
      </w:r>
      <w:r>
        <w:t xml:space="preserve"> </w:t>
      </w:r>
      <w:r>
        <w:t xml:space="preserve">which correct for the total number of reads per cell and gene length. For UMI</w:t>
      </w:r>
      <w:r>
        <w:t xml:space="preserve"> </w:t>
      </w:r>
      <w:r>
        <w:t xml:space="preserve">data the gene length correction is not required as reads only come from the</w:t>
      </w:r>
      <w:r>
        <w:t xml:space="preserve"> </w:t>
      </w:r>
      <w:r>
        <w:t xml:space="preserve">ends of transcripts. Normalisation methods designed for detecting differential</w:t>
      </w:r>
      <w:r>
        <w:t xml:space="preserve"> </w:t>
      </w:r>
      <w:r>
        <w:t xml:space="preserve">expression between bulk samples such as Trimmed Mean of M-Values</w:t>
      </w:r>
      <w:r>
        <w:t xml:space="preserve"> </w:t>
      </w:r>
      <w:r>
        <w:t xml:space="preserve">(TMM)[Robinson2010-ll] or the DESeq method[Anders2010-pq] can be applied, but</w:t>
      </w:r>
      <w:r>
        <w:t xml:space="preserve"> </w:t>
      </w:r>
      <w:r>
        <w:t xml:space="preserve">is is unclear how suitable they are for the single-cell context. Most of the</w:t>
      </w:r>
      <w:r>
        <w:t xml:space="preserve"> </w:t>
      </w:r>
      <w:r>
        <w:t xml:space="preserve">early normalisation methods developed specifically for scRNA-seq data made use</w:t>
      </w:r>
      <w:r>
        <w:t xml:space="preserve"> </w:t>
      </w:r>
      <w:r>
        <w:t xml:space="preserve">of spike-ins, synthetic RNA sequences added to cells in known quantities such</w:t>
      </w:r>
      <w:r>
        <w:t xml:space="preserve"> </w:t>
      </w:r>
      <w:r>
        <w:t xml:space="preserve">as the ERCC…. Brennecke et al.[Brennecke2013-pt], Ding et al.[Ding2015-ht]</w:t>
      </w:r>
      <w:r>
        <w:t xml:space="preserve"> </w:t>
      </w:r>
      <w:r>
        <w:t xml:space="preserve">and Grün, Kester and van Oudenaarden[Grun2014-zn] all propose methods for</w:t>
      </w:r>
      <w:r>
        <w:t xml:space="preserve"> </w:t>
      </w:r>
      <w:r>
        <w:t xml:space="preserve">estimating technical variance using spike-ins, as does Bayesian Analysis of</w:t>
      </w:r>
      <w:r>
        <w:t xml:space="preserve"> </w:t>
      </w:r>
      <w:r>
        <w:t xml:space="preserve">Single-Cell Sequencing data (BASiCS)[Vallejos2015-ef]. Using spike-ins for</w:t>
      </w:r>
      <w:r>
        <w:t xml:space="preserve"> </w:t>
      </w:r>
      <w:r>
        <w:t xml:space="preserve">normalisation assumes that they properly capture the dynamics of the underlying</w:t>
      </w:r>
      <w:r>
        <w:t xml:space="preserve"> </w:t>
      </w:r>
      <w:r>
        <w:t xml:space="preserve">dataset and even if this is the case it is restricted to protocols where they</w:t>
      </w:r>
      <w:r>
        <w:t xml:space="preserve"> </w:t>
      </w:r>
      <w:r>
        <w:t xml:space="preserve">can be added which does not include droplet-based capture techniques. The scrna</w:t>
      </w:r>
      <w:r>
        <w:t xml:space="preserve"> </w:t>
      </w:r>
      <w:r>
        <w:t xml:space="preserve">package implements a method that doesn’t rely on spike-ins, instead using a</w:t>
      </w:r>
      <w:r>
        <w:t xml:space="preserve"> </w:t>
      </w:r>
      <w:r>
        <w:t xml:space="preserve">pooling approach to compensate for the large number of zero counts where</w:t>
      </w:r>
      <w:r>
        <w:t xml:space="preserve"> </w:t>
      </w:r>
      <w:r>
        <w:t xml:space="preserve">expression levels are summed across similar cells before calculating size</w:t>
      </w:r>
      <w:r>
        <w:t xml:space="preserve"> </w:t>
      </w:r>
      <w:r>
        <w:t xml:space="preserve">factors that are deconvolved back to the original cells[Lun2016-mq]. The</w:t>
      </w:r>
      <w:r>
        <w:t xml:space="preserve"> </w:t>
      </w:r>
      <w:r>
        <w:t xml:space="preserve">BASiCS method has also been adapted to experiments without spike-ins by…, but</w:t>
      </w:r>
      <w:r>
        <w:t xml:space="preserve"> </w:t>
      </w:r>
      <w:r>
        <w:t xml:space="preserve">only for designed experiments where groups are known in advance.</w:t>
      </w:r>
    </w:p>
    <w:p>
      <w:pPr>
        <w:pStyle w:val="BodyText"/>
      </w:pPr>
      <w:r>
        <w:t xml:space="preserve">Early scRNA-seq studies often made use of only a single sample but as technologies</w:t>
      </w:r>
      <w:r>
        <w:t xml:space="preserve"> </w:t>
      </w:r>
      <w:r>
        <w:t xml:space="preserve">have become cheaper and more widely available it is common to see studies with</w:t>
      </w:r>
      <w:r>
        <w:t xml:space="preserve"> </w:t>
      </w:r>
      <w:r>
        <w:t xml:space="preserve">multiple batches or making use of publicly available data produced by other groups.</w:t>
      </w:r>
      <w:r>
        <w:t xml:space="preserve"> </w:t>
      </w:r>
      <w:r>
        <w:t xml:space="preserve">While this expands the potential insights to be gained it presents a problem as</w:t>
      </w:r>
      <w:r>
        <w:t xml:space="preserve"> </w:t>
      </w:r>
      <w:r>
        <w:t xml:space="preserve">to how to integrate these datasets and a range of computational approaches for</w:t>
      </w:r>
      <w:r>
        <w:t xml:space="preserve"> </w:t>
      </w:r>
      <w:r>
        <w:t xml:space="preserve">doing this have been developed. The alignment approach in the Seurat package</w:t>
      </w:r>
      <w:r>
        <w:t xml:space="preserve"> </w:t>
      </w:r>
      <w:r>
        <w:t xml:space="preserve">uses Canonical Correlation Analysis (CCA) to identify a multi-dimensional</w:t>
      </w:r>
      <w:r>
        <w:t xml:space="preserve"> </w:t>
      </w:r>
      <w:r>
        <w:t xml:space="preserve">subspace that is consistent between datasets. Dynamic Time Warping (DTW) is then</w:t>
      </w:r>
      <w:r>
        <w:t xml:space="preserve"> </w:t>
      </w:r>
      <w:r>
        <w:t xml:space="preserve">used to stretch and align these dimensions so that the datasets are similarly</w:t>
      </w:r>
      <w:r>
        <w:t xml:space="preserve"> </w:t>
      </w:r>
      <w:r>
        <w:t xml:space="preserve">spread along them. Clustering can then be performed using these aligned</w:t>
      </w:r>
      <w:r>
        <w:t xml:space="preserve"> </w:t>
      </w:r>
      <w:r>
        <w:t xml:space="preserve">dimensions but as the original expression matrix is unchanged the integration</w:t>
      </w:r>
      <w:r>
        <w:t xml:space="preserve"> </w:t>
      </w:r>
      <w:r>
        <w:t xml:space="preserve">is not used for other tasks such as differential expression testing. The authors</w:t>
      </w:r>
      <w:r>
        <w:t xml:space="preserve"> </w:t>
      </w:r>
      <w:r>
        <w:t xml:space="preserve">of scran using a Mutual Nearest Neighbours (MNN) approach that… A recent</w:t>
      </w:r>
      <w:r>
        <w:t xml:space="preserve"> </w:t>
      </w:r>
      <w:r>
        <w:t xml:space="preserve">update to the Seurat method combines these approaches by identifying</w:t>
      </w:r>
      <w:r>
        <w:t xml:space="preserve"> </w:t>
      </w:r>
      <w:r>
        <w:t xml:space="preserve">“</w:t>
      </w:r>
      <w:r>
        <w:t xml:space="preserve">anchors</w:t>
      </w:r>
      <w:r>
        <w:t xml:space="preserve">”</w:t>
      </w:r>
      <w:r>
        <w:t xml:space="preserve"> </w:t>
      </w:r>
      <w:r>
        <w:t xml:space="preserve">that…Alternative integration methods such as…</w:t>
      </w:r>
    </w:p>
    <w:p>
      <w:pPr>
        <w:pStyle w:val="Heading3"/>
      </w:pPr>
      <w:bookmarkStart w:id="46" w:name="grouping-cells"/>
      <w:r>
        <w:t xml:space="preserve">Grouping cells</w:t>
      </w:r>
      <w:bookmarkEnd w:id="46"/>
    </w:p>
    <w:p>
      <w:pPr>
        <w:pStyle w:val="Compact"/>
        <w:numPr>
          <w:numId w:val="1015"/>
          <w:ilvl w:val="0"/>
        </w:numPr>
      </w:pPr>
      <w:r>
        <w:t xml:space="preserve">Clustering</w:t>
      </w:r>
    </w:p>
    <w:p>
      <w:pPr>
        <w:pStyle w:val="Compact"/>
        <w:numPr>
          <w:numId w:val="1015"/>
          <w:ilvl w:val="0"/>
        </w:numPr>
      </w:pPr>
      <w:r>
        <w:t xml:space="preserve">Seurat</w:t>
      </w:r>
    </w:p>
    <w:p>
      <w:pPr>
        <w:pStyle w:val="Compact"/>
        <w:numPr>
          <w:numId w:val="1015"/>
          <w:ilvl w:val="0"/>
        </w:numPr>
      </w:pPr>
      <w:r>
        <w:t xml:space="preserve">Other approaches</w:t>
      </w:r>
    </w:p>
    <w:p>
      <w:pPr>
        <w:pStyle w:val="Compact"/>
        <w:numPr>
          <w:numId w:val="1015"/>
          <w:ilvl w:val="0"/>
        </w:numPr>
      </w:pPr>
      <w:r>
        <w:t xml:space="preserve">Comparison</w:t>
      </w:r>
    </w:p>
    <w:p>
      <w:pPr>
        <w:pStyle w:val="Compact"/>
        <w:numPr>
          <w:numId w:val="1015"/>
          <w:ilvl w:val="0"/>
        </w:numPr>
      </w:pPr>
      <w:r>
        <w:t xml:space="preserve">Classification</w:t>
      </w:r>
    </w:p>
    <w:p>
      <w:pPr>
        <w:pStyle w:val="FirstParagraph"/>
      </w:pPr>
      <w:r>
        <w:t xml:space="preserve">Grouping similar cells is a key step in analysing scRNA-seq datasets that is</w:t>
      </w:r>
      <w:r>
        <w:t xml:space="preserve"> </w:t>
      </w:r>
      <w:r>
        <w:t xml:space="preserve">not usually required for bulk experiment and as such it has been a key focus of</w:t>
      </w:r>
      <w:r>
        <w:t xml:space="preserve"> </w:t>
      </w:r>
      <w:r>
        <w:t xml:space="preserve">methods development with over XXX tools released for clustering cells. Some of</w:t>
      </w:r>
      <w:r>
        <w:t xml:space="preserve"> </w:t>
      </w:r>
      <w:r>
        <w:t xml:space="preserve">these methods include SINgle CEll RNA-seq profiling Analysis</w:t>
      </w:r>
      <w:r>
        <w:t xml:space="preserve"> </w:t>
      </w:r>
      <w:r>
        <w:t xml:space="preserve">(SINCERA)[Guo2015-mf], Single-Cell Consensus Clustering (SC3)[Kiselev2016-fa],</w:t>
      </w:r>
      <w:r>
        <w:t xml:space="preserve"> </w:t>
      </w:r>
      <w:r>
        <w:t xml:space="preserve">single-cell latent variable model (scLVM)[Buettner2015-rq] and Spanning-tree</w:t>
      </w:r>
      <w:r>
        <w:t xml:space="preserve"> </w:t>
      </w:r>
      <w:r>
        <w:t xml:space="preserve">Progression Analysis of Density-normalised Events (SPADE)[Anchang2016-vo], as</w:t>
      </w:r>
      <w:r>
        <w:t xml:space="preserve"> </w:t>
      </w:r>
      <w:r>
        <w:t xml:space="preserve">well as BackSPIN which was used to identify nine cell types and 47 distinct</w:t>
      </w:r>
      <w:r>
        <w:t xml:space="preserve"> </w:t>
      </w:r>
      <w:r>
        <w:t xml:space="preserve">subclasses in the mouse cortex and hippocampus[Zeisel2015-rd]. All of these</w:t>
      </w:r>
      <w:r>
        <w:t xml:space="preserve"> </w:t>
      </w:r>
      <w:r>
        <w:t xml:space="preserve">tools attempt to cluster similar cells together based on their expression</w:t>
      </w:r>
      <w:r>
        <w:t xml:space="preserve"> </w:t>
      </w:r>
      <w:r>
        <w:t xml:space="preserve">profiles, forming groups of cells of the same type. One clustering method that</w:t>
      </w:r>
      <w:r>
        <w:t xml:space="preserve"> </w:t>
      </w:r>
      <w:r>
        <w:t xml:space="preserve">has become popular is that included in the Seurat package. This method begins</w:t>
      </w:r>
      <w:r>
        <w:t xml:space="preserve"> </w:t>
      </w:r>
      <w:r>
        <w:t xml:space="preserve">by selecting a set of highly variable genes then performing PCA on them.</w:t>
      </w:r>
      <w:r>
        <w:rPr>
          <w:b/>
        </w:rPr>
        <w:t xml:space="preserve">NEW</w:t>
      </w:r>
      <w:r>
        <w:rPr>
          <w:b/>
        </w:rPr>
        <w:t xml:space="preserve"> </w:t>
      </w:r>
      <w:r>
        <w:rPr>
          <w:b/>
        </w:rPr>
        <w:t xml:space="preserve">GENE SELECTION</w:t>
      </w:r>
      <w:r>
        <w:t xml:space="preserve"> </w:t>
      </w:r>
      <w:r>
        <w:t xml:space="preserve">A set of dimensions is then selected that contains most of the</w:t>
      </w:r>
      <w:r>
        <w:t xml:space="preserve"> </w:t>
      </w:r>
      <w:r>
        <w:t xml:space="preserve">variation in the dataset. Alternatively if Seurat’s alignment method has been</w:t>
      </w:r>
      <w:r>
        <w:t xml:space="preserve"> </w:t>
      </w:r>
      <w:r>
        <w:t xml:space="preserve">used to integrate datasets the aligned CCA dimensions are used instead. Next an</w:t>
      </w:r>
      <w:r>
        <w:t xml:space="preserve"> </w:t>
      </w:r>
      <w:r>
        <w:t xml:space="preserve">MNN graph is constructed by considering the distance between cells in this</w:t>
      </w:r>
      <w:r>
        <w:t xml:space="preserve"> </w:t>
      </w:r>
      <w:r>
        <w:t xml:space="preserve">multidimensional space. In order to separate cells into clusters a community</w:t>
      </w:r>
      <w:r>
        <w:t xml:space="preserve"> </w:t>
      </w:r>
      <w:r>
        <w:t xml:space="preserve">detection algorithm such as Louvain optimisation is run on the graph with a</w:t>
      </w:r>
      <w:r>
        <w:t xml:space="preserve"> </w:t>
      </w:r>
      <w:r>
        <w:t xml:space="preserve">resolution parameter that controls the number of clusters that are produced.</w:t>
      </w:r>
      <w:r>
        <w:t xml:space="preserve"> </w:t>
      </w:r>
      <w:r>
        <w:t xml:space="preserve">Seurat’s clustering method has been shown too….</w:t>
      </w:r>
    </w:p>
    <w:p>
      <w:pPr>
        <w:pStyle w:val="BodyText"/>
      </w:pPr>
      <w:r>
        <w:t xml:space="preserve">For tissue types that are well understood or where comprehensive references are</w:t>
      </w:r>
      <w:r>
        <w:t xml:space="preserve"> </w:t>
      </w:r>
      <w:r>
        <w:t xml:space="preserve">available an alternative is to directly classify cells. This can be done using</w:t>
      </w:r>
      <w:r>
        <w:t xml:space="preserve"> </w:t>
      </w:r>
      <w:r>
        <w:t xml:space="preserve">a gating approach based on the expression of known marker genes similar to that</w:t>
      </w:r>
      <w:r>
        <w:t xml:space="preserve"> </w:t>
      </w:r>
      <w:r>
        <w:t xml:space="preserve">commonly used for flow cytometry experiments. Alternatively machine learning</w:t>
      </w:r>
      <w:r>
        <w:t xml:space="preserve"> </w:t>
      </w:r>
      <w:r>
        <w:t xml:space="preserve">algorithms can be used to perform classification based on the overall expression</w:t>
      </w:r>
      <w:r>
        <w:t xml:space="preserve"> </w:t>
      </w:r>
      <w:r>
        <w:t xml:space="preserve">profile. Methods such as … take this approach. For example… Classification</w:t>
      </w:r>
      <w:r>
        <w:t xml:space="preserve"> </w:t>
      </w:r>
      <w:r>
        <w:t xml:space="preserve">has the advantage of making use of existing knowledge and avoids manual annotation</w:t>
      </w:r>
      <w:r>
        <w:t xml:space="preserve"> </w:t>
      </w:r>
      <w:r>
        <w:t xml:space="preserve">and interpretation of clusters which can often be difficult and time consuming.</w:t>
      </w:r>
      <w:r>
        <w:t xml:space="preserve"> </w:t>
      </w:r>
      <w:r>
        <w:t xml:space="preserve">However it is biased by what is present in the reference datasets used typically</w:t>
      </w:r>
      <w:r>
        <w:t xml:space="preserve"> </w:t>
      </w:r>
      <w:r>
        <w:t xml:space="preserve">can not reveal previously unknown cell types or states. As projects like the</w:t>
      </w:r>
      <w:r>
        <w:t xml:space="preserve"> </w:t>
      </w:r>
      <w:r>
        <w:t xml:space="preserve">Human Cell Atlas produce well-annotated references based on scRNA-seq data the</w:t>
      </w:r>
      <w:r>
        <w:t xml:space="preserve"> </w:t>
      </w:r>
      <w:r>
        <w:t xml:space="preserve">viability of classification and other reference-based methods will improve.</w:t>
      </w:r>
    </w:p>
    <w:p>
      <w:pPr>
        <w:pStyle w:val="Heading3"/>
      </w:pPr>
      <w:bookmarkStart w:id="47" w:name="ordering-cells"/>
      <w:r>
        <w:t xml:space="preserve">Ordering cells</w:t>
      </w:r>
      <w:bookmarkEnd w:id="47"/>
    </w:p>
    <w:p>
      <w:pPr>
        <w:pStyle w:val="Compact"/>
        <w:numPr>
          <w:numId w:val="1016"/>
          <w:ilvl w:val="0"/>
        </w:numPr>
      </w:pPr>
      <w:r>
        <w:t xml:space="preserve">Pseudotime</w:t>
      </w:r>
    </w:p>
    <w:p>
      <w:pPr>
        <w:pStyle w:val="Compact"/>
        <w:numPr>
          <w:numId w:val="1016"/>
          <w:ilvl w:val="0"/>
        </w:numPr>
      </w:pPr>
      <w:r>
        <w:t xml:space="preserve">Monocle</w:t>
      </w:r>
    </w:p>
    <w:p>
      <w:pPr>
        <w:pStyle w:val="Compact"/>
        <w:numPr>
          <w:numId w:val="1016"/>
          <w:ilvl w:val="0"/>
        </w:numPr>
      </w:pPr>
      <w:r>
        <w:t xml:space="preserve">Other approaches</w:t>
      </w:r>
    </w:p>
    <w:p>
      <w:pPr>
        <w:pStyle w:val="Compact"/>
        <w:numPr>
          <w:numId w:val="1016"/>
          <w:ilvl w:val="0"/>
        </w:numPr>
      </w:pPr>
      <w:r>
        <w:t xml:space="preserve">Comparison</w:t>
      </w:r>
    </w:p>
    <w:p>
      <w:pPr>
        <w:pStyle w:val="FirstParagraph"/>
      </w:pPr>
      <w:r>
        <w:t xml:space="preserve">In some studies, for example in development where stem cells are</w:t>
      </w:r>
      <w:r>
        <w:t xml:space="preserve"> </w:t>
      </w:r>
      <w:r>
        <w:t xml:space="preserve">differentiating into mature cell types, it may make sense to order cells along</w:t>
      </w:r>
      <w:r>
        <w:t xml:space="preserve"> </w:t>
      </w:r>
      <w:r>
        <w:t xml:space="preserve">a continuous trajectory from one cell type to another instead of assigning them</w:t>
      </w:r>
      <w:r>
        <w:t xml:space="preserve"> </w:t>
      </w:r>
      <w:r>
        <w:t xml:space="preserve">to distinct groups. Trajectory analysis was pioneered by the Monocle package</w:t>
      </w:r>
      <w:r>
        <w:t xml:space="preserve"> </w:t>
      </w:r>
      <w:r>
        <w:t xml:space="preserve">which used dimensionality reduction and computation of a minimum spanning tree</w:t>
      </w:r>
      <w:r>
        <w:t xml:space="preserve"> </w:t>
      </w:r>
      <w:r>
        <w:t xml:space="preserve">to explore a model of skeletal muscle differentiation[Trapnell2014-he]. Since</w:t>
      </w:r>
      <w:r>
        <w:t xml:space="preserve"> </w:t>
      </w:r>
      <w:r>
        <w:t xml:space="preserve">then the Monocle algorithm has been updated and a range of other developed</w:t>
      </w:r>
      <w:r>
        <w:t xml:space="preserve"> </w:t>
      </w:r>
      <w:r>
        <w:t xml:space="preserve">including TSCAN[Ji2016-ws], SLICER[Welch2016-cw], CellTree[DuVerle2016-ni],</w:t>
      </w:r>
      <w:r>
        <w:t xml:space="preserve"> </w:t>
      </w:r>
      <w:r>
        <w:t xml:space="preserve">Sincell[Julia2015-zc] and Mpath[Chen2016-kx]. In their comprehensive review and</w:t>
      </w:r>
      <w:r>
        <w:t xml:space="preserve"> </w:t>
      </w:r>
      <w:r>
        <w:t xml:space="preserve">comparison of trajectory inference methods Cannoodt, Saelens and Saeys break</w:t>
      </w:r>
      <w:r>
        <w:t xml:space="preserve"> </w:t>
      </w:r>
      <w:r>
        <w:t xml:space="preserve">the process into two steps. In the first step dimensionality reduction</w:t>
      </w:r>
      <w:r>
        <w:t xml:space="preserve"> </w:t>
      </w:r>
      <w:r>
        <w:t xml:space="preserve">techniques such as PCA or t-SNE[Maaten2008-ne] are used to project cells into</w:t>
      </w:r>
      <w:r>
        <w:t xml:space="preserve"> </w:t>
      </w:r>
      <w:r>
        <w:t xml:space="preserve">lower</w:t>
      </w:r>
      <w:r>
        <w:rPr>
          <w:b/>
        </w:rPr>
        <w:t xml:space="preserve">[?]</w:t>
      </w:r>
      <w:r>
        <w:t xml:space="preserve"> </w:t>
      </w:r>
      <w:r>
        <w:t xml:space="preserve">dimensions where the cells are clustered or a graph constructed</w:t>
      </w:r>
      <w:r>
        <w:t xml:space="preserve"> </w:t>
      </w:r>
      <w:r>
        <w:t xml:space="preserve">between them. The trajectory is then created by finding a path through the</w:t>
      </w:r>
      <w:r>
        <w:t xml:space="preserve"> </w:t>
      </w:r>
      <w:r>
        <w:t xml:space="preserve">cells and ordering the cells along it. This review compares the performance on</w:t>
      </w:r>
      <w:r>
        <w:t xml:space="preserve"> </w:t>
      </w:r>
      <w:r>
        <w:t xml:space="preserve">a range of datasets… They found that…</w:t>
      </w:r>
    </w:p>
    <w:p>
      <w:pPr>
        <w:pStyle w:val="BodyText"/>
      </w:pPr>
      <w:r>
        <w:t xml:space="preserve">Deciding on which assignment approach to use depends on the source of the data,</w:t>
      </w:r>
      <w:r>
        <w:t xml:space="preserve"> </w:t>
      </w:r>
      <w:r>
        <w:t xml:space="preserve">the goals of the study and the questions that are being asked. Both grouping</w:t>
      </w:r>
      <w:r>
        <w:t xml:space="preserve"> </w:t>
      </w:r>
      <w:r>
        <w:t xml:space="preserve">and ordering can be informative and it is often useful to attempt both on a</w:t>
      </w:r>
      <w:r>
        <w:t xml:space="preserve"> </w:t>
      </w:r>
      <w:r>
        <w:t xml:space="preserve">dataset and see how they compare.</w:t>
      </w:r>
    </w:p>
    <w:p>
      <w:pPr>
        <w:pStyle w:val="Heading3"/>
      </w:pPr>
      <w:bookmarkStart w:id="48" w:name="gene-detection-and-interpretation"/>
      <w:r>
        <w:t xml:space="preserve">Gene detection and interpretation</w:t>
      </w:r>
      <w:bookmarkEnd w:id="48"/>
    </w:p>
    <w:p>
      <w:pPr>
        <w:pStyle w:val="Compact"/>
        <w:numPr>
          <w:numId w:val="1017"/>
          <w:ilvl w:val="0"/>
        </w:numPr>
      </w:pPr>
      <w:r>
        <w:t xml:space="preserve">DE</w:t>
      </w:r>
    </w:p>
    <w:p>
      <w:pPr>
        <w:pStyle w:val="Compact"/>
        <w:numPr>
          <w:numId w:val="1017"/>
          <w:ilvl w:val="0"/>
        </w:numPr>
      </w:pPr>
      <w:r>
        <w:t xml:space="preserve">Marker genes</w:t>
      </w:r>
    </w:p>
    <w:p>
      <w:pPr>
        <w:pStyle w:val="Compact"/>
        <w:numPr>
          <w:numId w:val="1018"/>
          <w:ilvl w:val="1"/>
        </w:numPr>
      </w:pPr>
      <w:r>
        <w:t xml:space="preserve">Alternatives - Gini, classifiers</w:t>
      </w:r>
    </w:p>
    <w:p>
      <w:pPr>
        <w:pStyle w:val="Compact"/>
        <w:numPr>
          <w:numId w:val="1017"/>
          <w:ilvl w:val="0"/>
        </w:numPr>
      </w:pPr>
      <w:r>
        <w:t xml:space="preserve">Reviews</w:t>
      </w:r>
    </w:p>
    <w:p>
      <w:pPr>
        <w:pStyle w:val="Compact"/>
        <w:numPr>
          <w:numId w:val="1017"/>
          <w:ilvl w:val="0"/>
        </w:numPr>
      </w:pPr>
      <w:r>
        <w:t xml:space="preserve">Classification</w:t>
      </w:r>
    </w:p>
    <w:p>
      <w:pPr>
        <w:pStyle w:val="SourceCode"/>
      </w:pPr>
      <w:r>
        <w:rPr>
          <w:rStyle w:val="VerbatimChar"/>
        </w:rPr>
        <w:t xml:space="preserve">Once groups of cells are identified many of these packages can test genes</w:t>
      </w:r>
      <w:r>
        <w:br w:type="textWrapping"/>
      </w:r>
      <w:r>
        <w:rPr>
          <w:rStyle w:val="VerbatimChar"/>
        </w:rPr>
        <w:t xml:space="preserve">for changes in expression, identifying genes that are differentially expressed</w:t>
      </w:r>
      <w:r>
        <w:br w:type="textWrapping"/>
      </w:r>
      <w:r>
        <w:rPr>
          <w:rStyle w:val="VerbatimChar"/>
        </w:rPr>
        <w:t xml:space="preserve">across the groups, or marker genes that are expressed in a single group. These</w:t>
      </w:r>
      <w:r>
        <w:br w:type="textWrapping"/>
      </w:r>
      <w:r>
        <w:rPr>
          <w:rStyle w:val="VerbatimChar"/>
        </w:rPr>
        <w:t xml:space="preserve">genes can be used to identify which cell types each group represents, or</w:t>
      </w:r>
      <w:r>
        <w:br w:type="textWrapping"/>
      </w:r>
      <w:r>
        <w:rPr>
          <w:rStyle w:val="VerbatimChar"/>
        </w:rPr>
        <w:t xml:space="preserve">alternatively known marker genes can be inspected.</w:t>
      </w:r>
      <w:r>
        <w:br w:type="textWrapping"/>
      </w:r>
      <w:r>
        <w:br w:type="textWrapping"/>
      </w:r>
      <w:r>
        <w:rPr>
          <w:rStyle w:val="VerbatimChar"/>
        </w:rPr>
        <w:t xml:space="preserve">Once a path has been inferred important genes can be identified by looking for</w:t>
      </w:r>
      <w:r>
        <w:br w:type="textWrapping"/>
      </w:r>
      <w:r>
        <w:rPr>
          <w:rStyle w:val="VerbatimChar"/>
        </w:rPr>
        <w:t xml:space="preserve">those that change expression over the course of the path. These genes can be</w:t>
      </w:r>
      <w:r>
        <w:br w:type="textWrapping"/>
      </w:r>
      <w:r>
        <w:rPr>
          <w:rStyle w:val="VerbatimChar"/>
        </w:rPr>
        <w:t xml:space="preserve">important in their own right as they describe the biology of the path, but that</w:t>
      </w:r>
      <w:r>
        <w:br w:type="textWrapping"/>
      </w:r>
      <w:r>
        <w:rPr>
          <w:rStyle w:val="VerbatimChar"/>
        </w:rPr>
        <w:t xml:space="preserve">can also be used to identify cell types at the end points of the path or where</w:t>
      </w:r>
      <w:r>
        <w:br w:type="textWrapping"/>
      </w:r>
      <w:r>
        <w:rPr>
          <w:rStyle w:val="VerbatimChar"/>
        </w:rPr>
        <w:t xml:space="preserve">the path branches.</w:t>
      </w:r>
    </w:p>
    <w:p>
      <w:pPr>
        <w:pStyle w:val="Heading3"/>
      </w:pPr>
      <w:bookmarkStart w:id="49" w:name="alternative-analyses"/>
      <w:r>
        <w:t xml:space="preserve">Alternative analyses</w:t>
      </w:r>
      <w:bookmarkEnd w:id="49"/>
    </w:p>
    <w:p>
      <w:pPr>
        <w:pStyle w:val="Compact"/>
        <w:numPr>
          <w:numId w:val="1019"/>
          <w:ilvl w:val="0"/>
        </w:numPr>
      </w:pPr>
      <w:r>
        <w:t xml:space="preserve">Cell velocity</w:t>
      </w:r>
    </w:p>
    <w:p>
      <w:pPr>
        <w:pStyle w:val="Compact"/>
        <w:numPr>
          <w:numId w:val="1019"/>
          <w:ilvl w:val="0"/>
        </w:numPr>
      </w:pPr>
      <w:r>
        <w:t xml:space="preserve">Variant detection</w:t>
      </w:r>
    </w:p>
    <w:p>
      <w:pPr>
        <w:pStyle w:val="Compact"/>
        <w:numPr>
          <w:numId w:val="1019"/>
          <w:ilvl w:val="0"/>
        </w:numPr>
      </w:pPr>
      <w:r>
        <w:t xml:space="preserve">Cancer</w:t>
      </w:r>
    </w:p>
    <w:p>
      <w:pPr>
        <w:pStyle w:val="Compact"/>
        <w:numPr>
          <w:numId w:val="1019"/>
          <w:ilvl w:val="0"/>
        </w:numPr>
      </w:pPr>
      <w:r>
        <w:t xml:space="preserve">Immune cells</w:t>
      </w:r>
    </w:p>
    <w:p>
      <w:pPr>
        <w:pStyle w:val="Heading2"/>
      </w:pPr>
      <w:bookmarkStart w:id="50" w:name="kidney-development"/>
      <w:r>
        <w:t xml:space="preserve">Kidney development</w:t>
      </w:r>
      <w:bookmarkEnd w:id="50"/>
    </w:p>
    <w:p>
      <w:pPr>
        <w:pStyle w:val="Heading3"/>
      </w:pPr>
      <w:bookmarkStart w:id="51" w:name="structure-and-function"/>
      <w:r>
        <w:t xml:space="preserve">Structure and function</w:t>
      </w:r>
      <w:bookmarkEnd w:id="51"/>
    </w:p>
    <w:p>
      <w:pPr>
        <w:pStyle w:val="Compact"/>
        <w:numPr>
          <w:numId w:val="1020"/>
          <w:ilvl w:val="0"/>
        </w:numPr>
      </w:pPr>
      <w:r>
        <w:t xml:space="preserve">Kidney structure</w:t>
      </w:r>
    </w:p>
    <w:p>
      <w:pPr>
        <w:pStyle w:val="Compact"/>
        <w:numPr>
          <w:numId w:val="1020"/>
          <w:ilvl w:val="0"/>
        </w:numPr>
      </w:pPr>
      <w:r>
        <w:t xml:space="preserve">Nephron structure</w:t>
      </w:r>
    </w:p>
    <w:p>
      <w:pPr>
        <w:pStyle w:val="Compact"/>
        <w:numPr>
          <w:numId w:val="1020"/>
          <w:ilvl w:val="0"/>
        </w:numPr>
      </w:pPr>
      <w:r>
        <w:t xml:space="preserve">Important cell types</w:t>
      </w:r>
    </w:p>
    <w:p>
      <w:pPr>
        <w:pStyle w:val="Heading3"/>
      </w:pPr>
      <w:bookmarkStart w:id="52" w:name="stages-of-development"/>
      <w:r>
        <w:t xml:space="preserve">Stages of development</w:t>
      </w:r>
      <w:bookmarkEnd w:id="52"/>
    </w:p>
    <w:p>
      <w:pPr>
        <w:pStyle w:val="Compact"/>
        <w:numPr>
          <w:numId w:val="1021"/>
          <w:ilvl w:val="0"/>
        </w:numPr>
      </w:pPr>
      <w:r>
        <w:t xml:space="preserve">Lineage</w:t>
      </w:r>
    </w:p>
    <w:p>
      <w:pPr>
        <w:pStyle w:val="Compact"/>
        <w:numPr>
          <w:numId w:val="1021"/>
          <w:ilvl w:val="0"/>
        </w:numPr>
      </w:pPr>
      <w:r>
        <w:t xml:space="preserve">Important genes</w:t>
      </w:r>
    </w:p>
    <w:p>
      <w:pPr>
        <w:pStyle w:val="Heading3"/>
      </w:pPr>
      <w:bookmarkStart w:id="53" w:name="growing-kidney-organoids"/>
      <w:r>
        <w:t xml:space="preserve">Growing kidney organoids</w:t>
      </w:r>
      <w:bookmarkEnd w:id="53"/>
    </w:p>
    <w:p>
      <w:pPr>
        <w:pStyle w:val="Compact"/>
        <w:numPr>
          <w:numId w:val="1022"/>
          <w:ilvl w:val="0"/>
        </w:numPr>
      </w:pPr>
      <w:r>
        <w:t xml:space="preserve">Why?</w:t>
      </w:r>
    </w:p>
    <w:p>
      <w:pPr>
        <w:pStyle w:val="Compact"/>
        <w:numPr>
          <w:numId w:val="1023"/>
          <w:ilvl w:val="1"/>
        </w:numPr>
      </w:pPr>
      <w:r>
        <w:t xml:space="preserve">Disease modelling</w:t>
      </w:r>
    </w:p>
    <w:p>
      <w:pPr>
        <w:pStyle w:val="Compact"/>
        <w:numPr>
          <w:numId w:val="1022"/>
          <w:ilvl w:val="0"/>
        </w:numPr>
      </w:pPr>
      <w:r>
        <w:t xml:space="preserve">Protocol</w:t>
      </w:r>
    </w:p>
    <w:p>
      <w:pPr>
        <w:pStyle w:val="Compact"/>
        <w:numPr>
          <w:numId w:val="1022"/>
          <w:ilvl w:val="0"/>
        </w:numPr>
      </w:pPr>
      <w:r>
        <w:t xml:space="preserve">Growth factors</w:t>
      </w:r>
    </w:p>
    <w:p>
      <w:pPr>
        <w:pStyle w:val="Compact"/>
        <w:numPr>
          <w:numId w:val="1022"/>
          <w:ilvl w:val="0"/>
        </w:numPr>
      </w:pPr>
      <w:r>
        <w:t xml:space="preserve">Characterisation</w:t>
      </w:r>
    </w:p>
    <w:p>
      <w:pPr>
        <w:pStyle w:val="Compact"/>
        <w:numPr>
          <w:numId w:val="1022"/>
          <w:ilvl w:val="0"/>
        </w:numPr>
      </w:pPr>
      <w:r>
        <w:t xml:space="preserve">Reproducibility</w:t>
      </w:r>
    </w:p>
    <w:p>
      <w:pPr>
        <w:pStyle w:val="Heading1"/>
      </w:pPr>
      <w:bookmarkStart w:id="54" w:name="the-scrna-seq-tools-landscape"/>
      <w:r>
        <w:t xml:space="preserve">The scRNA-seq tools landscape</w:t>
      </w:r>
      <w:bookmarkEnd w:id="54"/>
    </w:p>
    <w:p>
      <w:pPr>
        <w:pStyle w:val="Heading1"/>
      </w:pPr>
      <w:bookmarkStart w:id="55" w:name="simulating-scrna-seq-data"/>
      <w:r>
        <w:t xml:space="preserve">Simulating scRNA-seq data</w:t>
      </w:r>
      <w:bookmarkEnd w:id="55"/>
    </w:p>
    <w:p>
      <w:pPr>
        <w:pStyle w:val="Heading2"/>
      </w:pPr>
      <w:bookmarkStart w:id="56" w:name="introduction-1"/>
      <w:r>
        <w:t xml:space="preserve">Introduction</w:t>
      </w:r>
      <w:bookmarkEnd w:id="56"/>
    </w:p>
    <w:p>
      <w:pPr>
        <w:pStyle w:val="Heading2"/>
      </w:pPr>
      <w:bookmarkStart w:id="57" w:name="splatter-publication"/>
      <w:r>
        <w:t xml:space="preserve">Splatter publication</w:t>
      </w:r>
      <w:bookmarkEnd w:id="57"/>
    </w:p>
    <w:p>
      <w:pPr>
        <w:pStyle w:val="FirstParagraph"/>
      </w:pPr>
      <w:r>
        <w:t xml:space="preserve">You can read the Splatter paper</w:t>
      </w:r>
      <w:r>
        <w:t xml:space="preserve"> </w:t>
      </w:r>
      <w:hyperlink r:id="rId58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Heading1"/>
      </w:pPr>
      <w:bookmarkStart w:id="59" w:name="visualising-clustering-across-resolutions"/>
      <w:r>
        <w:t xml:space="preserve">Visualising clustering across resolutions</w:t>
      </w:r>
      <w:bookmarkEnd w:id="59"/>
    </w:p>
    <w:p>
      <w:pPr>
        <w:pStyle w:val="Heading1"/>
      </w:pPr>
      <w:bookmarkStart w:id="60" w:name="analysis-of-kidney-organoid-scrna-seq-data"/>
      <w:r>
        <w:t xml:space="preserve">Analysis of kidney organoid scRNA-seq data</w:t>
      </w:r>
      <w:bookmarkEnd w:id="60"/>
    </w:p>
    <w:p>
      <w:pPr>
        <w:pStyle w:val="Heading1"/>
      </w:pPr>
      <w:bookmarkStart w:id="61" w:name="conclusion"/>
      <w:r>
        <w:t xml:space="preserve">Conclusion</w:t>
      </w:r>
      <w:bookmarkEnd w:id="61"/>
    </w:p>
    <w:p>
      <w:pPr>
        <w:pStyle w:val="Heading1"/>
      </w:pPr>
      <w:bookmarkStart w:id="62" w:name="references"/>
      <w:r>
        <w:t xml:space="preserve">References</w:t>
      </w:r>
      <w:bookmarkEnd w:id="62"/>
    </w:p>
    <w:bookmarkStart w:id="63" w:name="refs"/>
    <w:bookmarkEnd w:id="63"/>
    <w:sectPr w:rsidR="005F127F" w:rsidSect="00D55DA7">
      <w:headerReference w:type="even" r:id="rId10"/>
      <w:headerReference w:type="default" r:id="rId9"/>
      <w:footerReference w:type="even" r:id="rId11"/>
      <w:footerReference w:type="default" r:id="rId12"/>
      <w:pgSz w:w="11900" w:h="16840"/>
      <w:pgMar w:top="1440" w:right="1800" w:bottom="1440" w:left="1800" w:header="720" w:footer="720" w:gutter="0"/>
      <w:cols w:space="720"/>
      <w:titlePg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A8B81C" w14:textId="77777777" w:rsidR="00D55DA7" w:rsidRDefault="001E5203" w:rsidP="00D55DA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7F30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2BA3AE" w14:textId="77777777" w:rsidR="00D55DA7" w:rsidRDefault="001E5203" w:rsidP="00D55DA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7F30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43B658" w14:textId="77777777" w:rsidR="00D55DA7" w:rsidRDefault="001E5203">
    <w:pPr>
      <w:pStyle w:val="Header"/>
    </w:pPr>
    <w:fldSimple w:instr=" STYLEREF &quot;Heading 1&quot; \* MERGEFORMAT ">
      <w:r w:rsidR="007C7F30">
        <w:rPr>
          <w:noProof/>
        </w:rPr>
        <w:t>R Markdown Basics</w:t>
      </w:r>
    </w:fldSimple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E5783B" w14:textId="77777777" w:rsidR="00D55DA7" w:rsidRDefault="001E5203" w:rsidP="00D55DA7">
    <w:pPr>
      <w:pStyle w:val="Header"/>
      <w:jc w:val="right"/>
    </w:pPr>
    <w:fldSimple w:instr=" STYLEREF &quot;Heading 1&quot; \* MERGEFORMAT ">
      <w:r w:rsidR="007C7F30">
        <w:rPr>
          <w:noProof/>
        </w:rPr>
        <w:t>R Markdown Basics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87FC9D"/>
    <w:multiLevelType w:val="multilevel"/>
    <w:tmpl w:val="6F9884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A45BBE71"/>
    <w:multiLevelType w:val="multilevel"/>
    <w:tmpl w:val="8B6AE1E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>
    <w:nsid w:val="B3D8E03F"/>
    <w:multiLevelType w:val="multilevel"/>
    <w:tmpl w:val="5F9413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>
    <w:nsid w:val="EEE5D822"/>
    <w:multiLevelType w:val="multilevel"/>
    <w:tmpl w:val="32FC3FB4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>
    <w:nsid w:val="FB94D798"/>
    <w:multiLevelType w:val="multilevel"/>
    <w:tmpl w:val="E104FBF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>
    <w:nsid w:val="170CD2DE"/>
    <w:multiLevelType w:val="multilevel"/>
    <w:tmpl w:val="D340E6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>
    <w:nsid w:val="3791031D"/>
    <w:multiLevelType w:val="multilevel"/>
    <w:tmpl w:val="54720BAA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38FDE2EC"/>
    <w:multiLevelType w:val="multilevel"/>
    <w:tmpl w:val="580A08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8">
    <w:nsid w:val="694EC68E"/>
    <w:multiLevelType w:val="multilevel"/>
    <w:tmpl w:val="4014C7A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">
    <w:nsid w:val="728F2AC8"/>
    <w:multiLevelType w:val="multilevel"/>
    <w:tmpl w:val="7B500CC0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90">
    <w:nsid w:val="f988bb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e4e697d9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39d99fa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5"/>
  </w:num>
  <w:num w:numId="2">
    <w:abstractNumId w:val="5"/>
  </w:num>
  <w:num w:numId="3">
    <w:abstractNumId w:val="1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9"/>
  </w:num>
  <w:num w:numId="11">
    <w:abstractNumId w:val="0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6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evenAndOddHeade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header" w:uiPriority="99"/>
    <w:lsdException w:name="No Spacing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55DA7"/>
    <w:pPr>
      <w:keepNext/>
      <w:keepLines/>
      <w:pageBreakBefore/>
      <w:numPr>
        <w:numId w:val="10"/>
      </w:numPr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2">
    <w:name w:val="heading 2"/>
    <w:basedOn w:val="Normal"/>
    <w:next w:val="BodyText"/>
    <w:uiPriority w:val="9"/>
    <w:unhideWhenUsed/>
    <w:qFormat/>
    <w:rsid w:val="00D55DA7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3">
    <w:name w:val="heading 3"/>
    <w:basedOn w:val="Normal"/>
    <w:next w:val="BodyText"/>
    <w:uiPriority w:val="9"/>
    <w:unhideWhenUsed/>
    <w:qFormat/>
    <w:rsid w:val="00D55DA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55DA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D55DA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D55DA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D55DA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D55DA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7C7F30"/>
    <w:pPr>
      <w:keepNext/>
      <w:keepLines/>
      <w:pageBreakBefore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b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55DA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96"/>
      <w:szCs w:val="9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55DA7"/>
    <w:pPr>
      <w:keepNext/>
      <w:keepLines/>
      <w:jc w:val="center"/>
    </w:pPr>
    <w:rPr>
      <w:sz w:val="36"/>
      <w:szCs w:val="36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next w:val="BodyText"/>
    <w:uiPriority w:val="39"/>
    <w:unhideWhenUsed/>
    <w:qFormat/>
    <w:rsid w:val="0042356A"/>
    <w:pPr>
      <w:pageBreakBefore/>
      <w:spacing w:before="240" w:line="259" w:lineRule="auto"/>
    </w:pPr>
    <w:rPr>
      <w:rFonts w:asciiTheme="majorHAnsi" w:eastAsiaTheme="majorEastAsia" w:hAnsiTheme="majorHAnsi" w:cstheme="majorBidi"/>
      <w:sz w:val="48"/>
      <w:szCs w:val="4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F57CBB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57CB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F57CBB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F57CB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57CBB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D55DA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55DA7"/>
  </w:style>
  <w:style w:type="paragraph" w:styleId="Footer">
    <w:name w:val="footer"/>
    <w:basedOn w:val="Normal"/>
    <w:link w:val="FooterChar"/>
    <w:rsid w:val="00D55DA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D55DA7"/>
  </w:style>
  <w:style w:type="character" w:styleId="PageNumber">
    <w:name w:val="page number"/>
    <w:basedOn w:val="DefaultParagraphFont"/>
    <w:rsid w:val="00D55DA7"/>
  </w:style>
  <w:style w:type="paragraph" w:styleId="NoSpacing">
    <w:name w:val="No Spacing"/>
    <w:link w:val="NoSpacingChar"/>
    <w:qFormat/>
    <w:rsid w:val="00D55DA7"/>
    <w:pPr>
      <w:spacing w:after="0"/>
    </w:pPr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D55DA7"/>
    <w:rPr>
      <w:rFonts w:ascii="PMingLiU" w:eastAsiaTheme="minorEastAsia" w:hAnsi="PMingLiU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Type="http://schemas.openxmlformats.org/officeDocument/2006/relationships/hyperlink" Id="rId27" Target="https://bookdown.org/yihui/bookdown/" TargetMode="External" /><Relationship Type="http://schemas.openxmlformats.org/officeDocument/2006/relationships/hyperlink" Id="rId58" Target="https://genomebiology.biomedcentral.com/articles/10.1186/s13059-017-1305-0" TargetMode="External" /><Relationship Type="http://schemas.openxmlformats.org/officeDocument/2006/relationships/hyperlink" Id="rId31" Target="https://github.com/benmarwick/huskydown" TargetMode="External" /><Relationship Type="http://schemas.openxmlformats.org/officeDocument/2006/relationships/hyperlink" Id="rId25" Target="https://github.com/ismayc/thesisdown" TargetMode="External" /><Relationship Type="http://schemas.openxmlformats.org/officeDocument/2006/relationships/hyperlink" Id="rId28" Target="https://github.com/jpap/phd-thesis-template" TargetMode="External" /><Relationship Type="http://schemas.openxmlformats.org/officeDocument/2006/relationships/hyperlink" Id="rId30" Target="https://github.com/ryanpeek/aggiedown" TargetMode="External" /><Relationship Type="http://schemas.openxmlformats.org/officeDocument/2006/relationships/hyperlink" Id="rId32" Target="https://github.com/wjakethompson/jayhawkdown" TargetMode="External" /><Relationship Type="http://schemas.openxmlformats.org/officeDocument/2006/relationships/hyperlink" Id="rId29" Target="https://github.com/zkamvar/beaverdown" TargetMode="External" /><Relationship Type="http://schemas.openxmlformats.org/officeDocument/2006/relationships/hyperlink" Id="rId26" Target="https://rmarkdown.rstudio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bookdown.org/yihui/bookdown/" TargetMode="External" /><Relationship Type="http://schemas.openxmlformats.org/officeDocument/2006/relationships/hyperlink" Id="rId58" Target="https://genomebiology.biomedcentral.com/articles/10.1186/s13059-017-1305-0" TargetMode="External" /><Relationship Type="http://schemas.openxmlformats.org/officeDocument/2006/relationships/hyperlink" Id="rId31" Target="https://github.com/benmarwick/huskydown" TargetMode="External" /><Relationship Type="http://schemas.openxmlformats.org/officeDocument/2006/relationships/hyperlink" Id="rId25" Target="https://github.com/ismayc/thesisdown" TargetMode="External" /><Relationship Type="http://schemas.openxmlformats.org/officeDocument/2006/relationships/hyperlink" Id="rId28" Target="https://github.com/jpap/phd-thesis-template" TargetMode="External" /><Relationship Type="http://schemas.openxmlformats.org/officeDocument/2006/relationships/hyperlink" Id="rId30" Target="https://github.com/ryanpeek/aggiedown" TargetMode="External" /><Relationship Type="http://schemas.openxmlformats.org/officeDocument/2006/relationships/hyperlink" Id="rId32" Target="https://github.com/wjakethompson/jayhawkdown" TargetMode="External" /><Relationship Type="http://schemas.openxmlformats.org/officeDocument/2006/relationships/hyperlink" Id="rId29" Target="https://github.com/zkamvar/beaverdown" TargetMode="External" /><Relationship Type="http://schemas.openxmlformats.org/officeDocument/2006/relationships/hyperlink" Id="rId26" Target="https://rmarkdown.rstudi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4077</Words>
  <Characters>23243</Characters>
  <Application>Microsoft Macintosh Word</Application>
  <DocSecurity>0</DocSecurity>
  <Lines>193</Lines>
  <Paragraphs>54</Paragraphs>
  <ScaleCrop>false</ScaleCrop>
  <Company>MCRI</Company>
  <LinksUpToDate>false</LinksUpToDate>
  <CharactersWithSpaces>27266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Tools and techniques for single-cell RNA-seq data</dc:title>
  <dc:creator>Luke Zappia</dc:creator>
  <cp:keywords/>
  <dcterms:created xsi:type="dcterms:W3CDTF">2018-11-24T03:11:04Z</dcterms:created>
  <dcterms:modified xsi:type="dcterms:W3CDTF">2018-11-24T03:11:04Z</dcterms:modified>
</cp:coreProperties>
</file>