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jc w:val="center"/>
      </w:pPr>
      <w:r>
        <w:rPr>
          <w:rFonts w:ascii="Arial" w:cs="Arial" w:eastAsia="Arial" w:hAnsi="Arial"/>
          <w:b/>
          <w:bCs/>
          <w:color w:val="1F4E79"/>
          <w:sz w:val="64"/>
          <w:szCs w:val="64"/>
        </w:rPr>
        <w:t xml:space="preserve">EVASIVE AI LAB</w:t>
      </w:r>
    </w:p>
    <w:p>
      <w:pPr>
        <w:spacing w:after="80"/>
        <w:jc w:val="center"/>
      </w:pPr>
      <w:r>
        <w:rPr>
          <w:rFonts w:ascii="Arial" w:cs="Arial" w:eastAsia="Arial" w:hAnsi="Arial"/>
          <w:color w:val="2E75B6"/>
          <w:sz w:val="32"/>
          <w:szCs w:val="32"/>
        </w:rPr>
        <w:t xml:space="preserve">Phase 5 — Multi-Model Report</w:t>
      </w:r>
    </w:p>
    <w:p>
      <w:pPr>
        <w:spacing w:after="80"/>
        <w:jc w:val="center"/>
      </w:pPr>
      <w:r>
        <w:rPr>
          <w:rFonts w:ascii="Arial" w:cs="Arial" w:eastAsia="Arial" w:hAnsi="Arial"/>
          <w:i/>
          <w:iCs/>
          <w:color w:val="444444"/>
          <w:sz w:val="24"/>
          <w:szCs w:val="24"/>
        </w:rPr>
        <w:t xml:space="preserve">Cross-Model Validation of Lexical Bleed and Genuine Injection</w:t>
      </w:r>
    </w:p>
    <w:p>
      <w:pPr>
        <w:spacing w:after="400"/>
        <w:jc w:val="center"/>
      </w:pPr>
      <w:r>
        <w:rPr>
          <w:rFonts w:ascii="Arial" w:cs="Arial" w:eastAsia="Arial" w:hAnsi="Arial"/>
          <w:color w:val="888888"/>
          <w:sz w:val="20"/>
          <w:szCs w:val="20"/>
        </w:rPr>
        <w:t xml:space="preserve">2026-04-05  |  Aswinbalaji14  |  Apache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b/>
                <w:bCs/>
                <w:sz w:val="20"/>
                <w:szCs w:val="20"/>
              </w:rPr>
              <w:t xml:space="preserve">NIST ID: </w:t>
            </w:r>
            <w:r>
              <w:rPr>
                <w:rFonts w:ascii="Arial" w:cs="Arial" w:eastAsia="Arial" w:hAnsi="Arial"/>
                <w:sz w:val="20"/>
                <w:szCs w:val="20"/>
              </w:rPr>
              <w:t xml:space="preserve">NISTAML.037 / NISTAML.015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ATLAS ID: </w:t>
            </w:r>
            <w:r>
              <w:rPr>
                <w:rFonts w:ascii="Arial" w:cs="Arial" w:eastAsia="Arial" w:hAnsi="Arial"/>
                <w:sz w:val="20"/>
                <w:szCs w:val="20"/>
              </w:rPr>
              <w:t xml:space="preserve">AML.T0051</w:t>
            </w:r>
          </w:p>
        </w:tc>
        <w:tc>
          <w:tcPr>
            <w:tcW w:type="dxa" w:w="3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b/>
                <w:bCs/>
                <w:sz w:val="20"/>
                <w:szCs w:val="20"/>
              </w:rPr>
              <w:t xml:space="preserve">OWASP: </w:t>
            </w:r>
            <w:r>
              <w:rPr>
                <w:rFonts w:ascii="Arial" w:cs="Arial" w:eastAsia="Arial" w:hAnsi="Arial"/>
                <w:sz w:val="20"/>
                <w:szCs w:val="20"/>
              </w:rPr>
              <w:t xml:space="preserve">LLM01</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b/>
                <w:bCs/>
                <w:sz w:val="20"/>
                <w:szCs w:val="20"/>
              </w:rPr>
              <w:t xml:space="preserve">Attacker: </w:t>
            </w:r>
            <w:r>
              <w:rPr>
                <w:rFonts w:ascii="Arial" w:cs="Arial" w:eastAsia="Arial" w:hAnsi="Arial"/>
                <w:sz w:val="20"/>
                <w:szCs w:val="20"/>
              </w:rPr>
              <w:t xml:space="preserve">Llama-3.3-70B via Groq</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Trials: </w:t>
            </w:r>
            <w:r>
              <w:rPr>
                <w:rFonts w:ascii="Arial" w:cs="Arial" w:eastAsia="Arial" w:hAnsi="Arial"/>
                <w:sz w:val="20"/>
                <w:szCs w:val="20"/>
              </w:rPr>
              <w:t xml:space="preserve">20 per experiment per model</w:t>
            </w:r>
          </w:p>
        </w:tc>
        <w:tc>
          <w:tcPr>
            <w:tcW w:type="dxa" w:w="3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b/>
                <w:bCs/>
                <w:sz w:val="20"/>
                <w:szCs w:val="20"/>
              </w:rPr>
              <w:t xml:space="preserve">Models tested: </w:t>
            </w:r>
            <w:r>
              <w:rPr>
                <w:rFonts w:ascii="Arial" w:cs="Arial" w:eastAsia="Arial" w:hAnsi="Arial"/>
                <w:sz w:val="20"/>
                <w:szCs w:val="20"/>
              </w:rPr>
              <w:t xml:space="preserve">3 (Llama, Phi, Mistral)</w:t>
            </w:r>
          </w:p>
        </w:tc>
      </w:tr>
    </w:tbl>
    <w:p>
      <w:pPr>
        <w:pBdr>
          <w:bottom w:val="single" w:color="2E75B6" w:sz="6" w:space="1"/>
        </w:pBdr>
        <w:spacing w:before="160" w:after="200"/>
      </w:pPr>
      <w:r>
        <w:t xml:space="preserve"/>
      </w:r>
    </w:p>
    <w:p>
      <w:pPr>
        <w:pStyle w:val="Heading1"/>
        <w:spacing w:before="300" w:after="160"/>
      </w:pPr>
      <w:r>
        <w:rPr>
          <w:rFonts w:ascii="Arial" w:cs="Arial" w:eastAsia="Arial" w:hAnsi="Arial"/>
          <w:b/>
          <w:bCs/>
          <w:color w:val="1F4E79"/>
          <w:sz w:val="34"/>
          <w:szCs w:val="34"/>
        </w:rPr>
        <w:t xml:space="preserve">What This Report Shows</w:t>
      </w:r>
    </w:p>
    <w:p>
      <w:pPr>
        <w:spacing w:after="130"/>
      </w:pPr>
      <w:r>
        <w:rPr>
          <w:rFonts w:ascii="Arial" w:cs="Arial" w:eastAsia="Arial" w:hAnsi="Arial"/>
          <w:sz w:val="22"/>
          <w:szCs w:val="22"/>
        </w:rPr>
        <w:t xml:space="preserve">Phase 5 single-model (Llama-3.2-3B) found two separate vulnerabilities in RAG summariser pipelines: lexical bleed, eliminated by constraining the output role, and genuine injection, where the model follows hidden attacker instructions at 65% success rate.</w:t>
      </w:r>
    </w:p>
    <w:p>
      <w:pPr>
        <w:spacing w:after="120"/>
      </w:pPr>
      <w:r>
        <w:t xml:space="preserve"/>
      </w:r>
    </w:p>
    <w:p>
      <w:pPr>
        <w:spacing w:after="130"/>
      </w:pPr>
      <w:r>
        <w:rPr>
          <w:rFonts w:ascii="Arial" w:cs="Arial" w:eastAsia="Arial" w:hAnsi="Arial"/>
          <w:sz w:val="22"/>
          <w:szCs w:val="22"/>
        </w:rPr>
        <w:t xml:space="preserve">This multi-model report runs the same two experiments on Phi-3.5-mini and Mistral-7B to answer one question: are these findings specific to Llama, or do they apply to all instruction-tuned models running as RAG summarisers?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4"/>
              <w:bottom w:val="single" w:color="CCCCCC" w:sz="1"/>
              <w:right w:val="single" w:color="CCCCCC" w:sz="1"/>
            </w:tcBorders>
            <w:shd w:fill="EEF4FB" w:val="clear"/>
            <w:tcMar>
              <w:top w:type="dxa" w:w="140"/>
              <w:left w:type="dxa" w:w="220"/>
              <w:bottom w:type="dxa" w:w="140"/>
              <w:right w:type="dxa" w:w="220"/>
            </w:tcMar>
          </w:tcPr>
          <w:p>
            <w:pPr>
              <w:spacing w:after="80"/>
            </w:pPr>
            <w:r>
              <w:rPr>
                <w:rFonts w:ascii="Arial" w:cs="Arial" w:eastAsia="Arial" w:hAnsi="Arial"/>
                <w:b/>
                <w:bCs/>
                <w:color w:val="1F4E79"/>
                <w:sz w:val="22"/>
                <w:szCs w:val="22"/>
              </w:rPr>
              <w:t xml:space="preserve">Answer</w:t>
            </w:r>
          </w:p>
          <w:p>
            <w:pPr>
              <w:spacing w:after="0"/>
            </w:pPr>
            <w:r>
              <w:rPr>
                <w:rFonts w:ascii="Arial" w:cs="Arial" w:eastAsia="Arial" w:hAnsi="Arial"/>
                <w:color w:val="1a1a1a"/>
                <w:sz w:val="22"/>
                <w:szCs w:val="22"/>
              </w:rPr>
              <w:t xml:space="preserve">Both findings hold across all three models. The constrained role fix drops ASR to exactly 0% on every model tested. Genuine injection ASR stays between 60–75% on every model tested. These are architectural vulnerabilities in the RAG summariser pattern — not model-specific bugs.</w:t>
            </w:r>
          </w:p>
        </w:tc>
      </w:tr>
    </w:tbl>
    <w:p>
      <w:pPr>
        <w:spacing w:after="120"/>
      </w:pPr>
      <w:r>
        <w:t xml:space="preserve"/>
      </w:r>
    </w:p>
    <w:p>
      <w:pPr>
        <w:pBdr>
          <w:bottom w:val="single" w:color="2E75B6" w:sz="6" w:space="1"/>
        </w:pBdr>
        <w:spacing w:before="160" w:after="200"/>
      </w:pPr>
      <w:r>
        <w:t xml:space="preserve"/>
      </w:r>
    </w:p>
    <w:p>
      <w:pPr>
        <w:pStyle w:val="Heading1"/>
        <w:spacing w:before="300" w:after="160"/>
      </w:pPr>
      <w:r>
        <w:rPr>
          <w:rFonts w:ascii="Arial" w:cs="Arial" w:eastAsia="Arial" w:hAnsi="Arial"/>
          <w:b/>
          <w:bCs/>
          <w:color w:val="1F4E79"/>
          <w:sz w:val="34"/>
          <w:szCs w:val="34"/>
        </w:rPr>
        <w:t xml:space="preserve">Results Across All Three Models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5A ASR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vs Llama</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5B ASR</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5B Verdict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Llama-3.2-3B (Phase 5 baseline)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65.00%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0.00%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55724"/>
                <w:sz w:val="20"/>
                <w:szCs w:val="20"/>
              </w:rPr>
              <w:t xml:space="preserve">✓ Zero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Phi-3.5-mini-instruct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5724"/>
                <w:sz w:val="20"/>
                <w:szCs w:val="20"/>
              </w:rPr>
              <w:t xml:space="preserve">✓ Zero</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1a1a1a"/>
                <w:sz w:val="20"/>
                <w:szCs w:val="20"/>
              </w:rPr>
              <w:t xml:space="preserve">Mistral-7B-Instruct-v0.3</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922B21"/>
                <w:sz w:val="20"/>
                <w:szCs w:val="20"/>
              </w:rPr>
              <w:t xml:space="preserve">75.00%</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1a1a1a"/>
                <w:sz w:val="20"/>
                <w:szCs w:val="20"/>
              </w:rPr>
              <w:t xml:space="preserve">0.00%</w:t>
            </w:r>
          </w:p>
        </w:tc>
        <w:tc>
          <w:tcPr>
            <w:tcW w:type="dxa" w:w="19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155724"/>
                <w:sz w:val="20"/>
                <w:szCs w:val="20"/>
              </w:rPr>
              <w:t xml:space="preserve">✓ Zero</w:t>
            </w:r>
          </w:p>
        </w:tc>
      </w:tr>
    </w:tbl>
    <w:p>
      <w:pPr>
        <w:spacing w:after="120"/>
      </w:pPr>
      <w:r>
        <w:t xml:space="preserve"/>
      </w:r>
    </w:p>
    <w:p>
      <w:pPr>
        <w:spacing w:after="130"/>
      </w:pPr>
      <w:r>
        <w:rPr>
          <w:rFonts w:ascii="Arial" w:cs="Arial" w:eastAsia="Arial" w:hAnsi="Arial"/>
          <w:sz w:val="22"/>
          <w:szCs w:val="22"/>
        </w:rPr>
        <w:t xml:space="preserve">5A tests genuine injection — trigger word changed to XRAY7 which cannot appear naturally, forcing the attacker to write explicit hidden instructions. 5B tests lexical bleed — victim role changed from open summariser to constrained binary classifier.</w:t>
      </w:r>
    </w:p>
    <w:p>
      <w:pPr>
        <w:spacing w:after="120"/>
      </w:pPr>
      <w:r>
        <w:t xml:space="preserve"/>
      </w:r>
    </w:p>
    <w:p>
      <w:pPr>
        <w:pBdr>
          <w:bottom w:val="single" w:color="2E75B6" w:sz="6" w:space="1"/>
        </w:pBdr>
        <w:spacing w:before="160" w:after="200"/>
      </w:pPr>
      <w:r>
        <w:t xml:space="preserve"/>
      </w:r>
    </w:p>
    <w:p>
      <w:pPr>
        <w:pStyle w:val="Heading1"/>
        <w:spacing w:before="300" w:after="160"/>
      </w:pPr>
      <w:r>
        <w:rPr>
          <w:rFonts w:ascii="Arial" w:cs="Arial" w:eastAsia="Arial" w:hAnsi="Arial"/>
          <w:b/>
          <w:bCs/>
          <w:color w:val="1F4E79"/>
          <w:sz w:val="34"/>
          <w:szCs w:val="34"/>
        </w:rPr>
        <w:t xml:space="preserve">Finding 1 — The Role Fix is Universal</w:t>
      </w:r>
    </w:p>
    <w:p>
      <w:pPr>
        <w:spacing w:after="130"/>
      </w:pPr>
      <w:r>
        <w:rPr>
          <w:rFonts w:ascii="Arial" w:cs="Arial" w:eastAsia="Arial" w:hAnsi="Arial"/>
          <w:sz w:val="22"/>
          <w:szCs w:val="22"/>
        </w:rPr>
        <w:t xml:space="preserve">Experiment 5B dropped ASR to exactly zero on every single model. Llama 0%, Phi 0%, Mistral 0%. Not near zero — exactly zero. Zero hits out of 20 trials on each.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6"/>
              <w:left w:val="single" w:color="217346" w:sz="14"/>
              <w:bottom w:val="single" w:color="CCCCCC" w:sz="1"/>
              <w:right w:val="single" w:color="CCCCCC" w:sz="1"/>
            </w:tcBorders>
            <w:shd w:fill="E8F5E9" w:val="clear"/>
            <w:tcMar>
              <w:top w:type="dxa" w:w="140"/>
              <w:left w:type="dxa" w:w="220"/>
              <w:bottom w:type="dxa" w:w="140"/>
              <w:right w:type="dxa" w:w="220"/>
            </w:tcMar>
          </w:tcPr>
          <w:p>
            <w:pPr>
              <w:spacing w:after="80"/>
            </w:pPr>
            <w:r>
              <w:rPr>
                <w:rFonts w:ascii="Arial" w:cs="Arial" w:eastAsia="Arial" w:hAnsi="Arial"/>
                <w:b/>
                <w:bCs/>
                <w:color w:val="155724"/>
                <w:sz w:val="22"/>
                <w:szCs w:val="22"/>
              </w:rPr>
              <w:t xml:space="preserve">What this proves</w:t>
            </w:r>
          </w:p>
          <w:p>
            <w:pPr>
              <w:spacing w:after="0"/>
            </w:pPr>
            <w:r>
              <w:rPr>
                <w:rFonts w:ascii="Arial" w:cs="Arial" w:eastAsia="Arial" w:hAnsi="Arial"/>
                <w:color w:val="1a1a1a"/>
                <w:sz w:val="22"/>
                <w:szCs w:val="22"/>
              </w:rPr>
              <w:t xml:space="preserve">Constraining the victim model to a fixed output format completely eliminates lexical bleed regardless of which model you use. This is not a Llama fix or a Phi fix — it is a RAG pipeline design fix. Any deployment that switches from open summarisation to constrained output will eliminate this attack surface entirely.</w:t>
            </w:r>
          </w:p>
        </w:tc>
      </w:tr>
    </w:tbl>
    <w:p>
      <w:pPr>
        <w:spacing w:after="120"/>
      </w:pPr>
      <w:r>
        <w:t xml:space="preserve"/>
      </w:r>
    </w:p>
    <w:p>
      <w:pPr>
        <w:spacing w:after="130"/>
      </w:pPr>
      <w:r>
        <w:rPr>
          <w:rFonts w:ascii="Arial" w:cs="Arial" w:eastAsia="Arial" w:hAnsi="Arial"/>
          <w:sz w:val="22"/>
          <w:szCs w:val="22"/>
        </w:rPr>
        <w:t xml:space="preserve">In practical terms: if your RAG pipeline asks the model to freely summarise documents from untrusted sources, you have this vulnerability. If you constrain it to answer only predefined options, you do not. The model itself does not matter.</w:t>
      </w:r>
    </w:p>
    <w:p>
      <w:pPr>
        <w:spacing w:after="120"/>
      </w:pPr>
      <w:r>
        <w:t xml:space="preserve"/>
      </w:r>
    </w:p>
    <w:p>
      <w:pPr>
        <w:pBdr>
          <w:bottom w:val="single" w:color="2E75B6" w:sz="6" w:space="1"/>
        </w:pBdr>
        <w:spacing w:before="160" w:after="200"/>
      </w:pPr>
      <w:r>
        <w:t xml:space="preserve"/>
      </w:r>
    </w:p>
    <w:p>
      <w:pPr>
        <w:pStyle w:val="Heading1"/>
        <w:spacing w:before="300" w:after="160"/>
      </w:pPr>
      <w:r>
        <w:rPr>
          <w:rFonts w:ascii="Arial" w:cs="Arial" w:eastAsia="Arial" w:hAnsi="Arial"/>
          <w:b/>
          <w:bCs/>
          <w:color w:val="1F4E79"/>
          <w:sz w:val="34"/>
          <w:szCs w:val="34"/>
        </w:rPr>
        <w:t xml:space="preserve">Finding 2 — Genuine Injection is a Cross-Model Vulnerability</w:t>
      </w:r>
    </w:p>
    <w:p>
      <w:pPr>
        <w:spacing w:after="130"/>
      </w:pPr>
      <w:r>
        <w:rPr>
          <w:rFonts w:ascii="Arial" w:cs="Arial" w:eastAsia="Arial" w:hAnsi="Arial"/>
          <w:sz w:val="22"/>
          <w:szCs w:val="22"/>
        </w:rPr>
        <w:t xml:space="preserve">Experiment 5A showed high genuine injection ASR on all three models. The range across models is only 15 percentage points — 60% to 75% — which is a narrow band given these are completely different models from different companies trained on different data.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4"/>
              <w:bottom w:val="single" w:color="CCCCCC" w:sz="1"/>
              <w:right w:val="single" w:color="CCCCCC" w:sz="1"/>
            </w:tcBorders>
            <w:shd w:fill="FDEDEC" w:val="clear"/>
            <w:tcMar>
              <w:top w:type="dxa" w:w="140"/>
              <w:left w:type="dxa" w:w="220"/>
              <w:bottom w:type="dxa" w:w="140"/>
              <w:right w:type="dxa" w:w="220"/>
            </w:tcMar>
          </w:tcPr>
          <w:p>
            <w:pPr>
              <w:spacing w:after="80"/>
            </w:pPr>
            <w:r>
              <w:rPr>
                <w:rFonts w:ascii="Arial" w:cs="Arial" w:eastAsia="Arial" w:hAnsi="Arial"/>
                <w:b/>
                <w:bCs/>
                <w:color w:val="922B21"/>
                <w:sz w:val="22"/>
                <w:szCs w:val="22"/>
              </w:rPr>
              <w:t xml:space="preserve">What this proves</w:t>
            </w:r>
          </w:p>
          <w:p>
            <w:pPr>
              <w:spacing w:after="0"/>
            </w:pPr>
            <w:r>
              <w:rPr>
                <w:rFonts w:ascii="Arial" w:cs="Arial" w:eastAsia="Arial" w:hAnsi="Arial"/>
                <w:color w:val="1a1a1a"/>
                <w:sz w:val="22"/>
                <w:szCs w:val="22"/>
              </w:rPr>
              <w:t xml:space="preserve">When an attacker embeds explicit hidden instructions in a document, instruction-tuned LLMs follow those instructions at high rates regardless of their safety training. A model that resists persona-based jailbreaks (Phi resisted DAN at 0% in Phase 1) can still be vulnerable to document-embedded injection at 60%. These are different attack surfaces requiring different defences.</w:t>
            </w:r>
          </w:p>
        </w:tc>
      </w:tr>
    </w:tbl>
    <w:p>
      <w:pPr>
        <w:spacing w:after="120"/>
      </w:pPr>
      <w:r>
        <w:t xml:space="preserve"/>
      </w:r>
    </w:p>
    <w:p>
      <w:pPr>
        <w:pStyle w:val="Heading2"/>
        <w:spacing w:before="240" w:after="140"/>
      </w:pPr>
      <w:r>
        <w:rPr>
          <w:rFonts w:ascii="Arial" w:cs="Arial" w:eastAsia="Arial" w:hAnsi="Arial"/>
          <w:b/>
          <w:bCs/>
          <w:color w:val="2E75B6"/>
          <w:sz w:val="26"/>
          <w:szCs w:val="26"/>
        </w:rPr>
        <w:t xml:space="preserve">The Mistral number stands out</w:t>
      </w:r>
    </w:p>
    <w:p>
      <w:pPr>
        <w:spacing w:after="130"/>
      </w:pPr>
      <w:r>
        <w:rPr>
          <w:rFonts w:ascii="Arial" w:cs="Arial" w:eastAsia="Arial" w:hAnsi="Arial"/>
          <w:sz w:val="22"/>
          <w:szCs w:val="22"/>
        </w:rPr>
        <w:t xml:space="preserve">Mistral-7B achieved the highest genuine injection ASR at 75% — 10 percentage points above Llama and 15 above Phi. This matters because Mistral-7B is currently the most widely deployed open model in real enterprise RAG systems. The most popular production model is also the most vulnerable in this dataset.</w:t>
      </w:r>
    </w:p>
    <w:p>
      <w:pPr>
        <w:spacing w:after="120"/>
      </w:pPr>
      <w:r>
        <w:t xml:space="preserve"/>
      </w:r>
    </w:p>
    <w:p>
      <w:pPr>
        <w:pStyle w:val="Heading2"/>
        <w:spacing w:before="240" w:after="140"/>
      </w:pPr>
      <w:r>
        <w:rPr>
          <w:rFonts w:ascii="Arial" w:cs="Arial" w:eastAsia="Arial" w:hAnsi="Arial"/>
          <w:b/>
          <w:bCs/>
          <w:color w:val="2E75B6"/>
          <w:sz w:val="26"/>
          <w:szCs w:val="26"/>
        </w:rPr>
        <w:t xml:space="preserve">The Phi comparison is revealing</w:t>
      </w:r>
    </w:p>
    <w:p>
      <w:pPr>
        <w:spacing w:after="130"/>
      </w:pPr>
      <w:r>
        <w:rPr>
          <w:rFonts w:ascii="Arial" w:cs="Arial" w:eastAsia="Arial" w:hAnsi="Arial"/>
          <w:sz w:val="22"/>
          <w:szCs w:val="22"/>
        </w:rPr>
        <w:t xml:space="preserve">Phi-3.5-mini resisted the DAN jailbreak completely in Phase 1 — 0% ASR. It was the only model that did. Yet on genuine RAG injection it scores 60%, nearly identical to Llama which failed DAN at 100%. This tells you that safety training against persona-based jailbreaks provides no protection against document-embedded injection. They are fundamentally different attack vectors.</w:t>
      </w:r>
    </w:p>
    <w:p>
      <w:pPr>
        <w:spacing w:after="120"/>
      </w:pPr>
      <w:r>
        <w:t xml:space="preserve"/>
      </w:r>
    </w:p>
    <w:p>
      <w:pPr>
        <w:pBdr>
          <w:bottom w:val="single" w:color="2E75B6" w:sz="6" w:space="1"/>
        </w:pBdr>
        <w:spacing w:before="160" w:after="200"/>
      </w:pPr>
      <w:r>
        <w:t xml:space="preserve"/>
      </w:r>
    </w:p>
    <w:p>
      <w:pPr>
        <w:pStyle w:val="Heading1"/>
        <w:spacing w:before="300" w:after="160"/>
      </w:pPr>
      <w:r>
        <w:rPr>
          <w:rFonts w:ascii="Arial" w:cs="Arial" w:eastAsia="Arial" w:hAnsi="Arial"/>
          <w:b/>
          <w:bCs/>
          <w:color w:val="1F4E79"/>
          <w:sz w:val="34"/>
          <w:szCs w:val="34"/>
        </w:rPr>
        <w:t xml:space="preserve">Two Vulnerability Classes — Now Proven Across Three Models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Measured ASR</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Lexical Bleed</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Summariser echoes vocabulary naturally present in source document</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~15% with natural trigger (Phase 4)</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Constrain output role — classifier not summariser</w:t>
            </w:r>
          </w:p>
        </w:tc>
      </w:tr>
      <w:tr>
        <w:tc>
          <w:tcPr>
            <w:tcW w:type="dxa" w:w="2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1a1a1a"/>
                <w:sz w:val="20"/>
                <w:szCs w:val="20"/>
              </w:rPr>
              <w:t xml:space="preserve">Genuine Injection</w:t>
            </w:r>
          </w:p>
        </w:tc>
        <w:tc>
          <w:tcPr>
            <w:tcW w:type="dxa" w:w="2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1a1a1a"/>
                <w:sz w:val="20"/>
                <w:szCs w:val="20"/>
              </w:rPr>
              <w:t xml:space="preserve">Attacker embeds explicit hidden instruction — model follows it</w:t>
            </w:r>
          </w:p>
        </w:tc>
        <w:tc>
          <w:tcPr>
            <w:tcW w:type="dxa" w:w="2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1a1a1a"/>
                <w:sz w:val="20"/>
                <w:szCs w:val="20"/>
              </w:rPr>
              <w:t xml:space="preserve">60–75% across all three models</w:t>
            </w:r>
          </w:p>
        </w:tc>
        <w:tc>
          <w:tcPr>
            <w:tcW w:type="dxa" w:w="27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Instruction hierarchy + output filtering — constrained role alone is insufficient</w:t>
            </w:r>
          </w:p>
        </w:tc>
      </w:tr>
    </w:tbl>
    <w:p>
      <w:pPr>
        <w:spacing w:after="120"/>
      </w:pPr>
      <w:r>
        <w:t xml:space="preserve"/>
      </w:r>
    </w:p>
    <w:p>
      <w:pPr>
        <w:spacing w:after="130"/>
      </w:pPr>
      <w:r>
        <w:rPr>
          <w:rFonts w:ascii="Arial" w:cs="Arial" w:eastAsia="Arial" w:hAnsi="Arial"/>
          <w:sz w:val="22"/>
          <w:szCs w:val="22"/>
        </w:rPr>
        <w:t xml:space="preserve">These are not variants of the same problem. They have different mechanisms, different success rates, and require different defences. Measuring them with the same ASR metric without separating them — as Phase 4 initially did — produces misleading results.</w:t>
      </w:r>
    </w:p>
    <w:p>
      <w:pPr>
        <w:spacing w:after="120"/>
      </w:pPr>
      <w:r>
        <w:t xml:space="preserve"/>
      </w:r>
    </w:p>
    <w:p>
      <w:pPr>
        <w:pBdr>
          <w:bottom w:val="single" w:color="2E75B6" w:sz="6" w:space="1"/>
        </w:pBdr>
        <w:spacing w:before="160" w:after="200"/>
      </w:pPr>
      <w:r>
        <w:t xml:space="preserve"/>
      </w:r>
    </w:p>
    <w:p>
      <w:pPr>
        <w:pStyle w:val="Heading1"/>
        <w:spacing w:before="300" w:after="160"/>
      </w:pPr>
      <w:r>
        <w:rPr>
          <w:rFonts w:ascii="Arial" w:cs="Arial" w:eastAsia="Arial" w:hAnsi="Arial"/>
          <w:b/>
          <w:bCs/>
          <w:color w:val="1F4E79"/>
          <w:sz w:val="34"/>
          <w:szCs w:val="34"/>
        </w:rPr>
        <w:t xml:space="preserve">Practical Implications for RAG Deployments</w:t>
      </w:r>
    </w:p>
    <w:p>
      <w:pPr>
        <w:pStyle w:val="ListParagraph"/>
        <w:numPr>
          <w:ilvl w:val="0"/>
          <w:numId w:val="2"/>
        </w:numPr>
        <w:spacing w:after="100"/>
      </w:pPr>
      <w:r>
        <w:rPr>
          <w:rFonts w:ascii="Arial" w:cs="Arial" w:eastAsia="Arial" w:hAnsi="Arial"/>
          <w:sz w:val="22"/>
          <w:szCs w:val="22"/>
        </w:rPr>
        <w:t xml:space="preserve">Do not use open-ended summarisation as the output format for RAG pipelines that ingest documents from untrusted or semi-trusted sources. The summariser role itself is the vulnerability — not any specific model.</w:t>
      </w:r>
    </w:p>
    <w:p>
      <w:pPr>
        <w:pStyle w:val="ListParagraph"/>
        <w:numPr>
          <w:ilvl w:val="0"/>
          <w:numId w:val="2"/>
        </w:numPr>
        <w:spacing w:after="100"/>
      </w:pPr>
      <w:r>
        <w:rPr>
          <w:rFonts w:ascii="Arial" w:cs="Arial" w:eastAsia="Arial" w:hAnsi="Arial"/>
          <w:sz w:val="22"/>
          <w:szCs w:val="22"/>
        </w:rPr>
        <w:t xml:space="preserve">Constrained output formats eliminate lexical bleed completely. If your use case allows a fixed set of responses, use them. The protection is total and model-independent.</w:t>
      </w:r>
    </w:p>
    <w:p>
      <w:pPr>
        <w:pStyle w:val="ListParagraph"/>
        <w:numPr>
          <w:ilvl w:val="0"/>
          <w:numId w:val="2"/>
        </w:numPr>
        <w:spacing w:after="100"/>
      </w:pPr>
      <w:r>
        <w:rPr>
          <w:rFonts w:ascii="Arial" w:cs="Arial" w:eastAsia="Arial" w:hAnsi="Arial"/>
          <w:sz w:val="22"/>
          <w:szCs w:val="22"/>
        </w:rPr>
        <w:t xml:space="preserve">Genuine injection remains a serious open problem even with constrained roles. A determined attacker with a good attacker model achieves 60–75% ASR. Output filtering and instruction hierarchy enforcement are needed as additional layers.</w:t>
      </w:r>
    </w:p>
    <w:p>
      <w:pPr>
        <w:pStyle w:val="ListParagraph"/>
        <w:numPr>
          <w:ilvl w:val="0"/>
          <w:numId w:val="2"/>
        </w:numPr>
        <w:spacing w:after="100"/>
      </w:pPr>
      <w:r>
        <w:rPr>
          <w:rFonts w:ascii="Arial" w:cs="Arial" w:eastAsia="Arial" w:hAnsi="Arial"/>
          <w:sz w:val="22"/>
          <w:szCs w:val="22"/>
        </w:rPr>
        <w:t xml:space="preserve">Safety training against jailbreaks does not transfer to RAG injection resistance. Do not assume a model that passes jailbreak benchmarks is safe in a RAG context.</w:t>
      </w:r>
    </w:p>
    <w:p>
      <w:pPr>
        <w:pStyle w:val="ListParagraph"/>
        <w:numPr>
          <w:ilvl w:val="0"/>
          <w:numId w:val="2"/>
        </w:numPr>
        <w:spacing w:after="100"/>
      </w:pPr>
      <w:r>
        <w:rPr>
          <w:rFonts w:ascii="Arial" w:cs="Arial" w:eastAsia="Arial" w:hAnsi="Arial"/>
          <w:sz w:val="22"/>
          <w:szCs w:val="22"/>
        </w:rPr>
        <w:t xml:space="preserve">Model choice matters less than pipeline design. The 15-point spread across models (60–75%) is much smaller than the gap between constrained and unconstrained roles (0% vs 60–75%). Fix the architecture first.</w:t>
      </w:r>
    </w:p>
    <w:p>
      <w:pPr>
        <w:spacing w:after="120"/>
      </w:pPr>
      <w:r>
        <w:t xml:space="preserve"/>
      </w:r>
    </w:p>
    <w:p>
      <w:pPr>
        <w:pBdr>
          <w:bottom w:val="single" w:color="2E75B6" w:sz="6" w:space="1"/>
        </w:pBdr>
        <w:spacing w:before="160" w:after="200"/>
      </w:pPr>
      <w:r>
        <w:t xml:space="preserve"/>
      </w:r>
    </w:p>
    <w:p>
      <w:pPr>
        <w:pStyle w:val="Heading1"/>
        <w:spacing w:before="300" w:after="160"/>
      </w:pPr>
      <w:r>
        <w:rPr>
          <w:rFonts w:ascii="Arial" w:cs="Arial" w:eastAsia="Arial" w:hAnsi="Arial"/>
          <w:b/>
          <w:bCs/>
          <w:color w:val="1F4E79"/>
          <w:sz w:val="34"/>
          <w:szCs w:val="34"/>
        </w:rPr>
        <w:t xml:space="preserve">What Comes Next</w:t>
      </w:r>
    </w:p>
    <w:p>
      <w:pPr>
        <w:spacing w:after="130"/>
      </w:pPr>
      <w:r>
        <w:rPr>
          <w:rFonts w:ascii="Arial" w:cs="Arial" w:eastAsia="Arial" w:hAnsi="Arial"/>
          <w:sz w:val="22"/>
          <w:szCs w:val="22"/>
        </w:rPr>
        <w:t xml:space="preserve">The multi-model phase answers the architectural question. The natural next directions are:</w:t>
      </w:r>
    </w:p>
    <w:p>
      <w:pPr>
        <w:spacing w:after="120"/>
      </w:pPr>
      <w:r>
        <w:t xml:space="preserve"/>
      </w:r>
    </w:p>
    <w:p>
      <w:pPr>
        <w:pStyle w:val="ListParagraph"/>
        <w:numPr>
          <w:ilvl w:val="0"/>
          <w:numId w:val="2"/>
        </w:numPr>
        <w:spacing w:after="100"/>
      </w:pPr>
      <w:r>
        <w:rPr>
          <w:rFonts w:ascii="Arial" w:cs="Arial" w:eastAsia="Arial" w:hAnsi="Arial"/>
          <w:sz w:val="22"/>
          <w:szCs w:val="22"/>
        </w:rPr>
        <w:t xml:space="preserve">Mitigation experiment — test whether output filtering on top of constrained roles reduces genuine injection ASR further, or whether it has no additional effect.</w:t>
      </w:r>
    </w:p>
    <w:p>
      <w:pPr>
        <w:pStyle w:val="ListParagraph"/>
        <w:numPr>
          <w:ilvl w:val="0"/>
          <w:numId w:val="2"/>
        </w:numPr>
        <w:spacing w:after="100"/>
      </w:pPr>
      <w:r>
        <w:rPr>
          <w:rFonts w:ascii="Arial" w:cs="Arial" w:eastAsia="Arial" w:hAnsi="Arial"/>
          <w:sz w:val="22"/>
          <w:szCs w:val="22"/>
        </w:rPr>
        <w:t xml:space="preserve">Qwen-2-7B and Gemma-2-2B — adding two more models from different training traditions would strengthen the cross-model claim further.</w:t>
      </w:r>
    </w:p>
    <w:p>
      <w:pPr>
        <w:pStyle w:val="ListParagraph"/>
        <w:numPr>
          <w:ilvl w:val="0"/>
          <w:numId w:val="2"/>
        </w:numPr>
        <w:spacing w:after="100"/>
      </w:pPr>
      <w:r>
        <w:rPr>
          <w:rFonts w:ascii="Arial" w:cs="Arial" w:eastAsia="Arial" w:hAnsi="Arial"/>
          <w:sz w:val="22"/>
          <w:szCs w:val="22"/>
        </w:rPr>
        <w:t xml:space="preserve">Membership inference baselines — Phase 6, a different NIST attack class (NISTAML.033).</w:t>
      </w:r>
    </w:p>
    <w:p>
      <w:pPr>
        <w:pStyle w:val="ListParagraph"/>
        <w:numPr>
          <w:ilvl w:val="0"/>
          <w:numId w:val="2"/>
        </w:numPr>
        <w:spacing w:after="100"/>
      </w:pPr>
      <w:r>
        <w:rPr>
          <w:rFonts w:ascii="Arial" w:cs="Arial" w:eastAsia="Arial" w:hAnsi="Arial"/>
          <w:sz w:val="22"/>
          <w:szCs w:val="22"/>
        </w:rPr>
        <w:t xml:space="preserve">EvasiveBench v0.1 — formalise the Phase 5 experiments as a reproducible benchmark that any researcher can run on any model.</w:t>
      </w:r>
    </w:p>
    <w:p>
      <w:pPr>
        <w:spacing w:after="120"/>
      </w:pPr>
      <w:r>
        <w:t xml:space="preserve"/>
      </w:r>
    </w:p>
    <w:p>
      <w:pPr>
        <w:pBdr>
          <w:bottom w:val="single" w:color="2E75B6" w:sz="6" w:space="1"/>
        </w:pBdr>
        <w:spacing w:before="160" w:after="200"/>
      </w:pPr>
      <w:r>
        <w:t xml:space="preserve"/>
      </w:r>
    </w:p>
    <w:p>
      <w:pPr>
        <w:spacing w:before="400"/>
        <w:jc w:val="center"/>
      </w:pPr>
      <w:r>
        <w:rPr>
          <w:rFonts w:ascii="Arial" w:cs="Arial" w:eastAsia="Arial" w:hAnsi="Arial"/>
          <w:i/>
          <w:iCs/>
          <w:color w:val="888888"/>
          <w:sz w:val="18"/>
          <w:szCs w:val="18"/>
        </w:rPr>
        <w:t xml:space="preserve">Evasive AI Lab  •  github.com/Aswinbalaji14/evasive-lab  •  Apache 2.0  •  NIST AI 100-2e2025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2026-04-05T09:20:32.625Z</dcterms:created>
  <dcterms:modified xsi:type="dcterms:W3CDTF">2026-04-05T09:20:32.626Z</dcterms:modified>
</cp:coreProperties>
</file>

<file path=docProps/custom.xml><?xml version="1.0" encoding="utf-8"?>
<Properties xmlns="http://schemas.openxmlformats.org/officeDocument/2006/custom-properties" xmlns:vt="http://schemas.openxmlformats.org/officeDocument/2006/docPropsVTypes"/>
</file>