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aps/>
          <w:color w:val="1E3A5F"/>
          <w:sz w:val="68"/>
          <w:szCs w:val="68"/>
        </w:rPr>
        <w:t xml:space="preserve">ORBITAL INTELLIGENCE PLATFORM</w:t>
      </w:r>
    </w:p>
    <w:p>
      <w:pPr>
        <w:spacing w:after="120"/>
        <w:jc w:val="center"/>
      </w:pPr>
      <w:r>
        <w:rPr>
          <w:i/>
          <w:iCs/>
          <w:color w:val="64748B"/>
          <w:sz w:val="28"/>
          <w:szCs w:val="28"/>
        </w:rPr>
        <w:t xml:space="preserve">Comprehensive Technical &amp; Project Documentation</w:t>
      </w:r>
    </w:p>
    <w:p>
      <w:pPr>
        <w:spacing w:after="200"/>
        <w:jc w:val="center"/>
      </w:pPr>
      <w:r>
        <w:rPr>
          <w:color w:val="0EA5E9"/>
          <w:sz w:val="22"/>
          <w:szCs w:val="22"/>
        </w:rPr>
        <w:t xml:space="preserve">────────────────────────────────────────────────</w:t>
      </w:r>
    </w:p>
    <w:p>
      <w:pPr>
        <w:spacing w:after="100"/>
        <w:jc w:val="center"/>
      </w:pPr>
      <w:r>
        <w:rPr>
          <w:color w:val="64748B"/>
          <w:sz w:val="24"/>
          <w:szCs w:val="24"/>
        </w:rPr>
        <w:t xml:space="preserve">Version 1.0  ·  June 2026</w:t>
      </w:r>
    </w:p>
    <w:p>
      <w:pPr>
        <w:spacing w:after="100"/>
        <w:jc w:val="center"/>
      </w:pPr>
      <w:r>
        <w:rPr>
          <w:b/>
          <w:bCs/>
          <w:sz w:val="24"/>
          <w:szCs w:val="24"/>
        </w:rPr>
        <w:t xml:space="preserve">Prepared by: Aswin Sudhan</w:t>
      </w:r>
    </w:p>
    <w:p>
      <w:pPr>
        <w:spacing w:after="800"/>
        <w:jc w:val="center"/>
      </w:pPr>
      <w:r>
        <w:rPr>
          <w:color w:val="0EA5E9"/>
          <w:sz w:val="22"/>
          <w:szCs w:val="22"/>
        </w:rPr>
        <w:t xml:space="preserve">GitHub: github.com/Aswinsudhan/Orbital-Intelligence-Platform</w:t>
      </w:r>
    </w:p>
    <w:p>
      <w:r>
        <w:br w:type="page"/>
      </w:r>
    </w:p>
    <w:p>
      <w:pPr>
        <w:pStyle w:val="Heading1"/>
        <w:spacing w:after="160" w:before="480"/>
      </w:pPr>
      <w:r>
        <w:t xml:space="preserve">1. Executive Summary</w:t>
      </w:r>
    </w:p>
    <w:p>
      <w:pPr>
        <w:spacing w:after="120" w:line="340"/>
      </w:pPr>
      <w:r>
        <w:rPr>
          <w:sz w:val="22"/>
          <w:szCs w:val="22"/>
        </w:rPr>
        <w:t xml:space="preserve">The Orbital Intelligence Platform (OIP) is a mission-control-grade web application designed for real-time monitoring, risk assessment, and analytics of Earth-orbiting objects. The platform tracks over 25,000 satellites, debris fragments, and rocket bodies using live Two-Line Element (TLE) data and presents actionable intelligence through a modern, interactive dashboard.</w:t>
      </w:r>
    </w:p>
    <w:p>
      <w:pPr>
        <w:spacing w:after="120" w:line="340"/>
      </w:pPr>
      <w:r>
        <w:rPr>
          <w:sz w:val="22"/>
          <w:szCs w:val="22"/>
        </w:rPr>
        <w:t xml:space="preserve">OIP was built to address a critical gap in publicly accessible space-situational-awareness (SSA) tools: most existing platforms are either proprietary, command-line-only, or lack integrated risk scoring. OIP brings together live telemetry ingestion, multi-factor risk modelling, collision-event detection, and launch manifesting into a single cohesive web interface accessible from any modern browser.</w:t>
      </w:r>
    </w:p>
    <w:p>
      <w:pPr>
        <w:spacing w:after="120" w:line="340"/>
      </w:pPr>
      <w:r>
        <w:rPr>
          <w:sz w:val="22"/>
          <w:szCs w:val="22"/>
        </w:rPr>
        <w:t xml:space="preserve">The platform is entirely open-source, built with modern web technologies, and hosted on GitHub for collaborative development. It is targeted at satellite operators, space-policy researchers, academic institutions, and aerospace enthusiasts who require a reliable, real-time view of the orbital environment.</w:t>
      </w:r>
    </w:p>
    <w:p>
      <w:pPr>
        <w:spacing w:after="100"/>
      </w:pPr>
    </w:p>
    <w:p>
      <w:pPr>
        <w:pStyle w:val="Heading1"/>
        <w:spacing w:after="160" w:before="480"/>
      </w:pPr>
      <w:r>
        <w:t xml:space="preserve">2. Project Objectives</w:t>
      </w:r>
    </w:p>
    <w:p>
      <w:pPr>
        <w:pStyle w:val="ListParagraph"/>
        <w:numPr>
          <w:ilvl w:val="0"/>
          <w:numId w:val="1"/>
        </w:numPr>
        <w:spacing w:after="80"/>
      </w:pPr>
      <w:r>
        <w:rPr>
          <w:sz w:val="22"/>
          <w:szCs w:val="22"/>
        </w:rPr>
        <w:t xml:space="preserve">Provide live tracking of every catalogued Earth-orbiting object using publicly available TLE feeds.</w:t>
      </w:r>
    </w:p>
    <w:p>
      <w:pPr>
        <w:pStyle w:val="ListParagraph"/>
        <w:numPr>
          <w:ilvl w:val="0"/>
          <w:numId w:val="1"/>
        </w:numPr>
        <w:spacing w:after="80"/>
      </w:pPr>
      <w:r>
        <w:rPr>
          <w:sz w:val="22"/>
          <w:szCs w:val="22"/>
        </w:rPr>
        <w:t xml:space="preserve">Calculate per-object risk scores using a multi-factor statistical model grounded in orbital mechanics.</w:t>
      </w:r>
    </w:p>
    <w:p>
      <w:pPr>
        <w:pStyle w:val="ListParagraph"/>
        <w:numPr>
          <w:ilvl w:val="0"/>
          <w:numId w:val="1"/>
        </w:numPr>
        <w:spacing w:after="80"/>
      </w:pPr>
      <w:r>
        <w:rPr>
          <w:sz w:val="22"/>
          <w:szCs w:val="22"/>
        </w:rPr>
        <w:t xml:space="preserve">Detect and surface close-approach (conjunction) events that could result in in-orbit collisions.</w:t>
      </w:r>
    </w:p>
    <w:p>
      <w:pPr>
        <w:pStyle w:val="ListParagraph"/>
        <w:numPr>
          <w:ilvl w:val="0"/>
          <w:numId w:val="1"/>
        </w:numPr>
        <w:spacing w:after="80"/>
      </w:pPr>
      <w:r>
        <w:rPr>
          <w:sz w:val="22"/>
          <w:szCs w:val="22"/>
        </w:rPr>
        <w:t xml:space="preserve">Deliver upcoming and historical launch data from the world's leading spaceflight manifest APIs.</w:t>
      </w:r>
    </w:p>
    <w:p>
      <w:pPr>
        <w:pStyle w:val="ListParagraph"/>
        <w:numPr>
          <w:ilvl w:val="0"/>
          <w:numId w:val="1"/>
        </w:numPr>
        <w:spacing w:after="80"/>
      </w:pPr>
      <w:r>
        <w:rPr>
          <w:sz w:val="22"/>
          <w:szCs w:val="22"/>
        </w:rPr>
        <w:t xml:space="preserve">Present all data through a rich, responsive web interface suitable for mission-control environments.</w:t>
      </w:r>
    </w:p>
    <w:p>
      <w:pPr>
        <w:pStyle w:val="ListParagraph"/>
        <w:numPr>
          <w:ilvl w:val="0"/>
          <w:numId w:val="1"/>
        </w:numPr>
        <w:spacing w:after="80"/>
      </w:pPr>
      <w:r>
        <w:rPr>
          <w:sz w:val="22"/>
          <w:szCs w:val="22"/>
        </w:rPr>
        <w:t xml:space="preserve">Store, cache, and periodically refresh orbital data in a relational database for historical trend analysis.</w:t>
      </w:r>
    </w:p>
    <w:p>
      <w:pPr>
        <w:pStyle w:val="ListParagraph"/>
        <w:numPr>
          <w:ilvl w:val="0"/>
          <w:numId w:val="1"/>
        </w:numPr>
        <w:spacing w:after="80"/>
      </w:pPr>
      <w:r>
        <w:rPr>
          <w:sz w:val="22"/>
          <w:szCs w:val="22"/>
        </w:rPr>
        <w:t xml:space="preserve">Provide administrators with tooling to monitor data-pipeline health and trigger manual data refreshes.</w:t>
      </w:r>
    </w:p>
    <w:p>
      <w:pPr>
        <w:spacing w:after="100"/>
      </w:pPr>
    </w:p>
    <w:p>
      <w:pPr>
        <w:pStyle w:val="Heading1"/>
        <w:spacing w:after="160" w:before="480"/>
      </w:pPr>
      <w:r>
        <w:t xml:space="preserve">3. Technology Stack</w:t>
      </w:r>
    </w:p>
    <w:p>
      <w:pPr>
        <w:spacing w:after="120" w:line="340"/>
      </w:pPr>
      <w:r>
        <w:rPr>
          <w:sz w:val="22"/>
          <w:szCs w:val="22"/>
        </w:rPr>
        <w:t xml:space="preserve">The platform is built entirely on open-source technologies across three tiers: frontend, backend, and database/infrastructure. Every component was selected for performance, type safety, and long-term maintainability.</w:t>
      </w:r>
    </w:p>
    <w:p>
      <w:pPr>
        <w:spacing w:after="100"/>
      </w:pPr>
    </w:p>
    <w:p>
      <w:pPr>
        <w:pStyle w:val="Heading2"/>
        <w:spacing w:after="120" w:before="320"/>
      </w:pPr>
      <w:r>
        <w:t xml:space="preserve">3.1 Frontend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Technology</w:t>
            </w:r>
          </w:p>
        </w:tc>
        <w:tc>
          <w:tcPr>
            <w:shd w:fill="1E3A5F" w:val="solid"/>
            <w:tcMar>
              <w:top w:type="dxa" w:w="60"/>
              <w:left w:type="dxa" w:w="100"/>
              <w:bottom w:type="dxa" w:w="60"/>
              <w:right w:type="dxa" w:w="100"/>
            </w:tcMar>
          </w:tcPr>
          <w:p>
            <w:pPr>
              <w:spacing w:after="60" w:before="60"/>
            </w:pPr>
            <w:r>
              <w:rPr>
                <w:b/>
                <w:bCs/>
                <w:color w:val="FFFFFF"/>
                <w:sz w:val="19"/>
                <w:szCs w:val="19"/>
              </w:rPr>
              <w:t xml:space="preserve">Version</w:t>
            </w:r>
          </w:p>
        </w:tc>
        <w:tc>
          <w:tcPr>
            <w:shd w:fill="1E3A5F" w:val="solid"/>
            <w:tcMar>
              <w:top w:type="dxa" w:w="60"/>
              <w:left w:type="dxa" w:w="100"/>
              <w:bottom w:type="dxa" w:w="60"/>
              <w:right w:type="dxa" w:w="100"/>
            </w:tcMar>
          </w:tcPr>
          <w:p>
            <w:pPr>
              <w:spacing w:after="60" w:before="60"/>
            </w:pPr>
            <w:r>
              <w:rPr>
                <w:b/>
                <w:bCs/>
                <w:color w:val="FFFFFF"/>
                <w:sz w:val="19"/>
                <w:szCs w:val="19"/>
              </w:rPr>
              <w:t xml:space="preserve">Role / Purpose</w:t>
            </w:r>
          </w:p>
        </w:tc>
      </w:tr>
      <w:tr>
        <w:tc>
          <w:tcPr>
            <w:shd w:fill="EFF6FF" w:val="solid"/>
            <w:tcMar>
              <w:top w:type="dxa" w:w="60"/>
              <w:left w:type="dxa" w:w="100"/>
              <w:bottom w:type="dxa" w:w="60"/>
              <w:right w:type="dxa" w:w="100"/>
            </w:tcMar>
          </w:tcPr>
          <w:p>
            <w:pPr>
              <w:spacing w:after="60" w:before="60"/>
            </w:pPr>
            <w:r>
              <w:rPr>
                <w:sz w:val="19"/>
                <w:szCs w:val="19"/>
              </w:rPr>
              <w:t xml:space="preserve">React</w:t>
            </w:r>
          </w:p>
        </w:tc>
        <w:tc>
          <w:tcPr>
            <w:shd w:fill="EFF6FF" w:val="solid"/>
            <w:tcMar>
              <w:top w:type="dxa" w:w="60"/>
              <w:left w:type="dxa" w:w="100"/>
              <w:bottom w:type="dxa" w:w="60"/>
              <w:right w:type="dxa" w:w="100"/>
            </w:tcMar>
          </w:tcPr>
          <w:p>
            <w:pPr>
              <w:spacing w:after="60" w:before="60"/>
            </w:pPr>
            <w:r>
              <w:rPr>
                <w:sz w:val="19"/>
                <w:szCs w:val="19"/>
              </w:rPr>
              <w:t xml:space="preserve">19</w:t>
            </w:r>
          </w:p>
        </w:tc>
        <w:tc>
          <w:tcPr>
            <w:shd w:fill="EFF6FF" w:val="solid"/>
            <w:tcMar>
              <w:top w:type="dxa" w:w="60"/>
              <w:left w:type="dxa" w:w="100"/>
              <w:bottom w:type="dxa" w:w="60"/>
              <w:right w:type="dxa" w:w="100"/>
            </w:tcMar>
          </w:tcPr>
          <w:p>
            <w:pPr>
              <w:spacing w:after="60" w:before="60"/>
            </w:pPr>
            <w:r>
              <w:rPr>
                <w:sz w:val="19"/>
                <w:szCs w:val="19"/>
              </w:rPr>
              <w:t xml:space="preserve">Declarative UI component library — all interface elements are React components</w:t>
            </w:r>
          </w:p>
        </w:tc>
      </w:tr>
      <w:tr>
        <w:tc>
          <w:tcPr>
            <w:shd w:fill="FFFFFF" w:val="solid"/>
            <w:tcMar>
              <w:top w:type="dxa" w:w="60"/>
              <w:left w:type="dxa" w:w="100"/>
              <w:bottom w:type="dxa" w:w="60"/>
              <w:right w:type="dxa" w:w="100"/>
            </w:tcMar>
          </w:tcPr>
          <w:p>
            <w:pPr>
              <w:spacing w:after="60" w:before="60"/>
            </w:pPr>
            <w:r>
              <w:rPr>
                <w:sz w:val="19"/>
                <w:szCs w:val="19"/>
              </w:rPr>
              <w:t xml:space="preserve">Vite</w:t>
            </w:r>
          </w:p>
        </w:tc>
        <w:tc>
          <w:tcPr>
            <w:shd w:fill="FFFFFF" w:val="solid"/>
            <w:tcMar>
              <w:top w:type="dxa" w:w="60"/>
              <w:left w:type="dxa" w:w="100"/>
              <w:bottom w:type="dxa" w:w="60"/>
              <w:right w:type="dxa" w:w="100"/>
            </w:tcMar>
          </w:tcPr>
          <w:p>
            <w:pPr>
              <w:spacing w:after="60" w:before="60"/>
            </w:pPr>
            <w:r>
              <w:rPr>
                <w:sz w:val="19"/>
                <w:szCs w:val="19"/>
              </w:rPr>
              <w:t xml:space="preserve">7</w:t>
            </w:r>
          </w:p>
        </w:tc>
        <w:tc>
          <w:tcPr>
            <w:shd w:fill="FFFFFF" w:val="solid"/>
            <w:tcMar>
              <w:top w:type="dxa" w:w="60"/>
              <w:left w:type="dxa" w:w="100"/>
              <w:bottom w:type="dxa" w:w="60"/>
              <w:right w:type="dxa" w:w="100"/>
            </w:tcMar>
          </w:tcPr>
          <w:p>
            <w:pPr>
              <w:spacing w:after="60" w:before="60"/>
            </w:pPr>
            <w:r>
              <w:rPr>
                <w:sz w:val="19"/>
                <w:szCs w:val="19"/>
              </w:rPr>
              <w:t xml:space="preserve">Development server and production bundler; ESM-first, sub-second Hot Module Replacement</w:t>
            </w:r>
          </w:p>
        </w:tc>
      </w:tr>
      <w:tr>
        <w:tc>
          <w:tcPr>
            <w:shd w:fill="EFF6FF" w:val="solid"/>
            <w:tcMar>
              <w:top w:type="dxa" w:w="60"/>
              <w:left w:type="dxa" w:w="100"/>
              <w:bottom w:type="dxa" w:w="60"/>
              <w:right w:type="dxa" w:w="100"/>
            </w:tcMar>
          </w:tcPr>
          <w:p>
            <w:pPr>
              <w:spacing w:after="60" w:before="60"/>
            </w:pPr>
            <w:r>
              <w:rPr>
                <w:sz w:val="19"/>
                <w:szCs w:val="19"/>
              </w:rPr>
              <w:t xml:space="preserve">TypeScript</w:t>
            </w:r>
          </w:p>
        </w:tc>
        <w:tc>
          <w:tcPr>
            <w:shd w:fill="EFF6FF" w:val="solid"/>
            <w:tcMar>
              <w:top w:type="dxa" w:w="60"/>
              <w:left w:type="dxa" w:w="100"/>
              <w:bottom w:type="dxa" w:w="60"/>
              <w:right w:type="dxa" w:w="100"/>
            </w:tcMar>
          </w:tcPr>
          <w:p>
            <w:pPr>
              <w:spacing w:after="60" w:before="60"/>
            </w:pPr>
            <w:r>
              <w:rPr>
                <w:sz w:val="19"/>
                <w:szCs w:val="19"/>
              </w:rPr>
              <w:t xml:space="preserve">5.9</w:t>
            </w:r>
          </w:p>
        </w:tc>
        <w:tc>
          <w:tcPr>
            <w:shd w:fill="EFF6FF" w:val="solid"/>
            <w:tcMar>
              <w:top w:type="dxa" w:w="60"/>
              <w:left w:type="dxa" w:w="100"/>
              <w:bottom w:type="dxa" w:w="60"/>
              <w:right w:type="dxa" w:w="100"/>
            </w:tcMar>
          </w:tcPr>
          <w:p>
            <w:pPr>
              <w:spacing w:after="60" w:before="60"/>
            </w:pPr>
            <w:r>
              <w:rPr>
                <w:sz w:val="19"/>
                <w:szCs w:val="19"/>
              </w:rPr>
              <w:t xml:space="preserve">Strongly-typed superset of JavaScript; enforces compile-time correctness</w:t>
            </w:r>
          </w:p>
        </w:tc>
      </w:tr>
      <w:tr>
        <w:tc>
          <w:tcPr>
            <w:shd w:fill="FFFFFF" w:val="solid"/>
            <w:tcMar>
              <w:top w:type="dxa" w:w="60"/>
              <w:left w:type="dxa" w:w="100"/>
              <w:bottom w:type="dxa" w:w="60"/>
              <w:right w:type="dxa" w:w="100"/>
            </w:tcMar>
          </w:tcPr>
          <w:p>
            <w:pPr>
              <w:spacing w:after="60" w:before="60"/>
            </w:pPr>
            <w:r>
              <w:rPr>
                <w:sz w:val="19"/>
                <w:szCs w:val="19"/>
              </w:rPr>
              <w:t xml:space="preserve">Tailwind CSS</w:t>
            </w:r>
          </w:p>
        </w:tc>
        <w:tc>
          <w:tcPr>
            <w:shd w:fill="FFFFFF" w:val="solid"/>
            <w:tcMar>
              <w:top w:type="dxa" w:w="60"/>
              <w:left w:type="dxa" w:w="100"/>
              <w:bottom w:type="dxa" w:w="60"/>
              <w:right w:type="dxa" w:w="100"/>
            </w:tcMar>
          </w:tcPr>
          <w:p>
            <w:pPr>
              <w:spacing w:after="60" w:before="60"/>
            </w:pPr>
            <w:r>
              <w:rPr>
                <w:sz w:val="19"/>
                <w:szCs w:val="19"/>
              </w:rPr>
              <w:t xml:space="preserve">v4</w:t>
            </w:r>
          </w:p>
        </w:tc>
        <w:tc>
          <w:tcPr>
            <w:shd w:fill="FFFFFF" w:val="solid"/>
            <w:tcMar>
              <w:top w:type="dxa" w:w="60"/>
              <w:left w:type="dxa" w:w="100"/>
              <w:bottom w:type="dxa" w:w="60"/>
              <w:right w:type="dxa" w:w="100"/>
            </w:tcMar>
          </w:tcPr>
          <w:p>
            <w:pPr>
              <w:spacing w:after="60" w:before="60"/>
            </w:pPr>
            <w:r>
              <w:rPr>
                <w:sz w:val="19"/>
                <w:szCs w:val="19"/>
              </w:rPr>
              <w:t xml:space="preserve">Utility-first CSS framework enabling rapid, consistent design without custom stylesheets</w:t>
            </w:r>
          </w:p>
        </w:tc>
      </w:tr>
      <w:tr>
        <w:tc>
          <w:tcPr>
            <w:shd w:fill="EFF6FF" w:val="solid"/>
            <w:tcMar>
              <w:top w:type="dxa" w:w="60"/>
              <w:left w:type="dxa" w:w="100"/>
              <w:bottom w:type="dxa" w:w="60"/>
              <w:right w:type="dxa" w:w="100"/>
            </w:tcMar>
          </w:tcPr>
          <w:p>
            <w:pPr>
              <w:spacing w:after="60" w:before="60"/>
            </w:pPr>
            <w:r>
              <w:rPr>
                <w:sz w:val="19"/>
                <w:szCs w:val="19"/>
              </w:rPr>
              <w:t xml:space="preserve">Wouter</w:t>
            </w:r>
          </w:p>
        </w:tc>
        <w:tc>
          <w:tcPr>
            <w:shd w:fill="EFF6FF" w:val="solid"/>
            <w:tcMar>
              <w:top w:type="dxa" w:w="60"/>
              <w:left w:type="dxa" w:w="100"/>
              <w:bottom w:type="dxa" w:w="60"/>
              <w:right w:type="dxa" w:w="100"/>
            </w:tcMar>
          </w:tcPr>
          <w:p>
            <w:pPr>
              <w:spacing w:after="60" w:before="60"/>
            </w:pPr>
            <w:r>
              <w:rPr>
                <w:sz w:val="19"/>
                <w:szCs w:val="19"/>
              </w:rPr>
              <w:t xml:space="preserve">latest</w:t>
            </w:r>
          </w:p>
        </w:tc>
        <w:tc>
          <w:tcPr>
            <w:shd w:fill="EFF6FF" w:val="solid"/>
            <w:tcMar>
              <w:top w:type="dxa" w:w="60"/>
              <w:left w:type="dxa" w:w="100"/>
              <w:bottom w:type="dxa" w:w="60"/>
              <w:right w:type="dxa" w:w="100"/>
            </w:tcMar>
          </w:tcPr>
          <w:p>
            <w:pPr>
              <w:spacing w:after="60" w:before="60"/>
            </w:pPr>
            <w:r>
              <w:rPr>
                <w:sz w:val="19"/>
                <w:szCs w:val="19"/>
              </w:rPr>
              <w:t xml:space="preserve">Lightweight client-side router — replaces React Router with a fraction of the bundle size</w:t>
            </w:r>
          </w:p>
        </w:tc>
      </w:tr>
      <w:tr>
        <w:tc>
          <w:tcPr>
            <w:shd w:fill="FFFFFF" w:val="solid"/>
            <w:tcMar>
              <w:top w:type="dxa" w:w="60"/>
              <w:left w:type="dxa" w:w="100"/>
              <w:bottom w:type="dxa" w:w="60"/>
              <w:right w:type="dxa" w:w="100"/>
            </w:tcMar>
          </w:tcPr>
          <w:p>
            <w:pPr>
              <w:spacing w:after="60" w:before="60"/>
            </w:pPr>
            <w:r>
              <w:rPr>
                <w:sz w:val="19"/>
                <w:szCs w:val="19"/>
              </w:rPr>
              <w:t xml:space="preserve">Recharts</w:t>
            </w:r>
          </w:p>
        </w:tc>
        <w:tc>
          <w:tcPr>
            <w:shd w:fill="FFFFFF" w:val="solid"/>
            <w:tcMar>
              <w:top w:type="dxa" w:w="60"/>
              <w:left w:type="dxa" w:w="100"/>
              <w:bottom w:type="dxa" w:w="60"/>
              <w:right w:type="dxa" w:w="100"/>
            </w:tcMar>
          </w:tcPr>
          <w:p>
            <w:pPr>
              <w:spacing w:after="60" w:before="60"/>
            </w:pPr>
            <w:r>
              <w:rPr>
                <w:sz w:val="19"/>
                <w:szCs w:val="19"/>
              </w:rPr>
              <w:t xml:space="preserve">latest</w:t>
            </w:r>
          </w:p>
        </w:tc>
        <w:tc>
          <w:tcPr>
            <w:shd w:fill="FFFFFF" w:val="solid"/>
            <w:tcMar>
              <w:top w:type="dxa" w:w="60"/>
              <w:left w:type="dxa" w:w="100"/>
              <w:bottom w:type="dxa" w:w="60"/>
              <w:right w:type="dxa" w:w="100"/>
            </w:tcMar>
          </w:tcPr>
          <w:p>
            <w:pPr>
              <w:spacing w:after="60" w:before="60"/>
            </w:pPr>
            <w:r>
              <w:rPr>
                <w:sz w:val="19"/>
                <w:szCs w:val="19"/>
              </w:rPr>
              <w:t xml:space="preserve">Composable React charting library built on D3 — used for all analytics visualisations</w:t>
            </w:r>
          </w:p>
        </w:tc>
      </w:tr>
      <w:tr>
        <w:tc>
          <w:tcPr>
            <w:shd w:fill="EFF6FF" w:val="solid"/>
            <w:tcMar>
              <w:top w:type="dxa" w:w="60"/>
              <w:left w:type="dxa" w:w="100"/>
              <w:bottom w:type="dxa" w:w="60"/>
              <w:right w:type="dxa" w:w="100"/>
            </w:tcMar>
          </w:tcPr>
          <w:p>
            <w:pPr>
              <w:spacing w:after="60" w:before="60"/>
            </w:pPr>
            <w:r>
              <w:rPr>
                <w:sz w:val="19"/>
                <w:szCs w:val="19"/>
              </w:rPr>
              <w:t xml:space="preserve">satellite.js</w:t>
            </w:r>
          </w:p>
        </w:tc>
        <w:tc>
          <w:tcPr>
            <w:shd w:fill="EFF6FF" w:val="solid"/>
            <w:tcMar>
              <w:top w:type="dxa" w:w="60"/>
              <w:left w:type="dxa" w:w="100"/>
              <w:bottom w:type="dxa" w:w="60"/>
              <w:right w:type="dxa" w:w="100"/>
            </w:tcMar>
          </w:tcPr>
          <w:p>
            <w:pPr>
              <w:spacing w:after="60" w:before="60"/>
            </w:pPr>
            <w:r>
              <w:rPr>
                <w:sz w:val="19"/>
                <w:szCs w:val="19"/>
              </w:rPr>
              <w:t xml:space="preserve">latest</w:t>
            </w:r>
          </w:p>
        </w:tc>
        <w:tc>
          <w:tcPr>
            <w:shd w:fill="EFF6FF" w:val="solid"/>
            <w:tcMar>
              <w:top w:type="dxa" w:w="60"/>
              <w:left w:type="dxa" w:w="100"/>
              <w:bottom w:type="dxa" w:w="60"/>
              <w:right w:type="dxa" w:w="100"/>
            </w:tcMar>
          </w:tcPr>
          <w:p>
            <w:pPr>
              <w:spacing w:after="60" w:before="60"/>
            </w:pPr>
            <w:r>
              <w:rPr>
                <w:sz w:val="19"/>
                <w:szCs w:val="19"/>
              </w:rPr>
              <w:t xml:space="preserve">Implementation of SGP4/SDP4 — converts TLE data into real-time position and velocity vectors</w:t>
            </w:r>
          </w:p>
        </w:tc>
      </w:tr>
      <w:tr>
        <w:tc>
          <w:tcPr>
            <w:shd w:fill="FFFFFF" w:val="solid"/>
            <w:tcMar>
              <w:top w:type="dxa" w:w="60"/>
              <w:left w:type="dxa" w:w="100"/>
              <w:bottom w:type="dxa" w:w="60"/>
              <w:right w:type="dxa" w:w="100"/>
            </w:tcMar>
          </w:tcPr>
          <w:p>
            <w:pPr>
              <w:spacing w:after="60" w:before="60"/>
            </w:pPr>
            <w:r>
              <w:rPr>
                <w:sz w:val="19"/>
                <w:szCs w:val="19"/>
              </w:rPr>
              <w:t xml:space="preserve">TanStack Query (React Query)</w:t>
            </w:r>
          </w:p>
        </w:tc>
        <w:tc>
          <w:tcPr>
            <w:shd w:fill="FFFFFF" w:val="solid"/>
            <w:tcMar>
              <w:top w:type="dxa" w:w="60"/>
              <w:left w:type="dxa" w:w="100"/>
              <w:bottom w:type="dxa" w:w="60"/>
              <w:right w:type="dxa" w:w="100"/>
            </w:tcMar>
          </w:tcPr>
          <w:p>
            <w:pPr>
              <w:spacing w:after="60" w:before="60"/>
            </w:pPr>
            <w:r>
              <w:rPr>
                <w:sz w:val="19"/>
                <w:szCs w:val="19"/>
              </w:rPr>
              <w:t xml:space="preserve">v5</w:t>
            </w:r>
          </w:p>
        </w:tc>
        <w:tc>
          <w:tcPr>
            <w:shd w:fill="FFFFFF" w:val="solid"/>
            <w:tcMar>
              <w:top w:type="dxa" w:w="60"/>
              <w:left w:type="dxa" w:w="100"/>
              <w:bottom w:type="dxa" w:w="60"/>
              <w:right w:type="dxa" w:w="100"/>
            </w:tcMar>
          </w:tcPr>
          <w:p>
            <w:pPr>
              <w:spacing w:after="60" w:before="60"/>
            </w:pPr>
            <w:r>
              <w:rPr>
                <w:sz w:val="19"/>
                <w:szCs w:val="19"/>
              </w:rPr>
              <w:t xml:space="preserve">Server-state management: fetching, caching, deduplication, and background synchronisation</w:t>
            </w:r>
          </w:p>
        </w:tc>
      </w:tr>
      <w:tr>
        <w:tc>
          <w:tcPr>
            <w:shd w:fill="EFF6FF" w:val="solid"/>
            <w:tcMar>
              <w:top w:type="dxa" w:w="60"/>
              <w:left w:type="dxa" w:w="100"/>
              <w:bottom w:type="dxa" w:w="60"/>
              <w:right w:type="dxa" w:w="100"/>
            </w:tcMar>
          </w:tcPr>
          <w:p>
            <w:pPr>
              <w:spacing w:after="60" w:before="60"/>
            </w:pPr>
            <w:r>
              <w:rPr>
                <w:sz w:val="19"/>
                <w:szCs w:val="19"/>
              </w:rPr>
              <w:t xml:space="preserve">shadcn/ui</w:t>
            </w:r>
          </w:p>
        </w:tc>
        <w:tc>
          <w:tcPr>
            <w:shd w:fill="EFF6FF" w:val="solid"/>
            <w:tcMar>
              <w:top w:type="dxa" w:w="60"/>
              <w:left w:type="dxa" w:w="100"/>
              <w:bottom w:type="dxa" w:w="60"/>
              <w:right w:type="dxa" w:w="100"/>
            </w:tcMar>
          </w:tcPr>
          <w:p>
            <w:pPr>
              <w:spacing w:after="60" w:before="60"/>
            </w:pPr>
            <w:r>
              <w:rPr>
                <w:sz w:val="19"/>
                <w:szCs w:val="19"/>
              </w:rPr>
              <w:t xml:space="preserve">latest</w:t>
            </w:r>
          </w:p>
        </w:tc>
        <w:tc>
          <w:tcPr>
            <w:shd w:fill="EFF6FF" w:val="solid"/>
            <w:tcMar>
              <w:top w:type="dxa" w:w="60"/>
              <w:left w:type="dxa" w:w="100"/>
              <w:bottom w:type="dxa" w:w="60"/>
              <w:right w:type="dxa" w:w="100"/>
            </w:tcMar>
          </w:tcPr>
          <w:p>
            <w:pPr>
              <w:spacing w:after="60" w:before="60"/>
            </w:pPr>
            <w:r>
              <w:rPr>
                <w:sz w:val="19"/>
                <w:szCs w:val="19"/>
              </w:rPr>
              <w:t xml:space="preserve">Accessible, unstyled UI primitives (dialogs, tables, dropdowns, inputs)</w:t>
            </w:r>
          </w:p>
        </w:tc>
      </w:tr>
      <w:tr>
        <w:tc>
          <w:tcPr>
            <w:shd w:fill="FFFFFF" w:val="solid"/>
            <w:tcMar>
              <w:top w:type="dxa" w:w="60"/>
              <w:left w:type="dxa" w:w="100"/>
              <w:bottom w:type="dxa" w:w="60"/>
              <w:right w:type="dxa" w:w="100"/>
            </w:tcMar>
          </w:tcPr>
          <w:p>
            <w:pPr>
              <w:spacing w:after="60" w:before="60"/>
            </w:pPr>
            <w:r>
              <w:rPr>
                <w:sz w:val="19"/>
                <w:szCs w:val="19"/>
              </w:rPr>
              <w:t xml:space="preserve">Lucide React</w:t>
            </w:r>
          </w:p>
        </w:tc>
        <w:tc>
          <w:tcPr>
            <w:shd w:fill="FFFFFF" w:val="solid"/>
            <w:tcMar>
              <w:top w:type="dxa" w:w="60"/>
              <w:left w:type="dxa" w:w="100"/>
              <w:bottom w:type="dxa" w:w="60"/>
              <w:right w:type="dxa" w:w="100"/>
            </w:tcMar>
          </w:tcPr>
          <w:p>
            <w:pPr>
              <w:spacing w:after="60" w:before="60"/>
            </w:pPr>
            <w:r>
              <w:rPr>
                <w:sz w:val="19"/>
                <w:szCs w:val="19"/>
              </w:rPr>
              <w:t xml:space="preserve">latest</w:t>
            </w:r>
          </w:p>
        </w:tc>
        <w:tc>
          <w:tcPr>
            <w:shd w:fill="FFFFFF" w:val="solid"/>
            <w:tcMar>
              <w:top w:type="dxa" w:w="60"/>
              <w:left w:type="dxa" w:w="100"/>
              <w:bottom w:type="dxa" w:w="60"/>
              <w:right w:type="dxa" w:w="100"/>
            </w:tcMar>
          </w:tcPr>
          <w:p>
            <w:pPr>
              <w:spacing w:after="60" w:before="60"/>
            </w:pPr>
            <w:r>
              <w:rPr>
                <w:sz w:val="19"/>
                <w:szCs w:val="19"/>
              </w:rPr>
              <w:t xml:space="preserve">Consistent, tree-shakeable icon set used throughout the navigation and cards</w:t>
            </w:r>
          </w:p>
        </w:tc>
      </w:tr>
      <w:tr>
        <w:tc>
          <w:tcPr>
            <w:shd w:fill="EFF6FF" w:val="solid"/>
            <w:tcMar>
              <w:top w:type="dxa" w:w="60"/>
              <w:left w:type="dxa" w:w="100"/>
              <w:bottom w:type="dxa" w:w="60"/>
              <w:right w:type="dxa" w:w="100"/>
            </w:tcMar>
          </w:tcPr>
          <w:p>
            <w:pPr>
              <w:spacing w:after="60" w:before="60"/>
            </w:pPr>
            <w:r>
              <w:rPr>
                <w:sz w:val="19"/>
                <w:szCs w:val="19"/>
              </w:rPr>
              <w:t xml:space="preserve">Web Audio API</w:t>
            </w:r>
          </w:p>
        </w:tc>
        <w:tc>
          <w:tcPr>
            <w:shd w:fill="EFF6FF" w:val="solid"/>
            <w:tcMar>
              <w:top w:type="dxa" w:w="60"/>
              <w:left w:type="dxa" w:w="100"/>
              <w:bottom w:type="dxa" w:w="60"/>
              <w:right w:type="dxa" w:w="100"/>
            </w:tcMar>
          </w:tcPr>
          <w:p>
            <w:pPr>
              <w:spacing w:after="60" w:before="60"/>
            </w:pPr>
            <w:r>
              <w:rPr>
                <w:sz w:val="19"/>
                <w:szCs w:val="19"/>
              </w:rPr>
              <w:t xml:space="preserve">Browser native</w:t>
            </w:r>
          </w:p>
        </w:tc>
        <w:tc>
          <w:tcPr>
            <w:shd w:fill="EFF6FF" w:val="solid"/>
            <w:tcMar>
              <w:top w:type="dxa" w:w="60"/>
              <w:left w:type="dxa" w:w="100"/>
              <w:bottom w:type="dxa" w:w="60"/>
              <w:right w:type="dxa" w:w="100"/>
            </w:tcMar>
          </w:tcPr>
          <w:p>
            <w:pPr>
              <w:spacing w:after="60" w:before="60"/>
            </w:pPr>
            <w:r>
              <w:rPr>
                <w:sz w:val="19"/>
                <w:szCs w:val="19"/>
              </w:rPr>
              <w:t xml:space="preserve">Synthesises sound effects (clicks, alerts, success tones) entirely in-browser with no audio files</w:t>
            </w:r>
          </w:p>
        </w:tc>
      </w:tr>
      <w:tr>
        <w:tc>
          <w:tcPr>
            <w:shd w:fill="FFFFFF" w:val="solid"/>
            <w:tcMar>
              <w:top w:type="dxa" w:w="60"/>
              <w:left w:type="dxa" w:w="100"/>
              <w:bottom w:type="dxa" w:w="60"/>
              <w:right w:type="dxa" w:w="100"/>
            </w:tcMar>
          </w:tcPr>
          <w:p>
            <w:pPr>
              <w:spacing w:after="60" w:before="60"/>
            </w:pPr>
            <w:r>
              <w:rPr>
                <w:sz w:val="19"/>
                <w:szCs w:val="19"/>
              </w:rPr>
              <w:t xml:space="preserve">HTML5 Canvas API</w:t>
            </w:r>
          </w:p>
        </w:tc>
        <w:tc>
          <w:tcPr>
            <w:shd w:fill="FFFFFF" w:val="solid"/>
            <w:tcMar>
              <w:top w:type="dxa" w:w="60"/>
              <w:left w:type="dxa" w:w="100"/>
              <w:bottom w:type="dxa" w:w="60"/>
              <w:right w:type="dxa" w:w="100"/>
            </w:tcMar>
          </w:tcPr>
          <w:p>
            <w:pPr>
              <w:spacing w:after="60" w:before="60"/>
            </w:pPr>
            <w:r>
              <w:rPr>
                <w:sz w:val="19"/>
                <w:szCs w:val="19"/>
              </w:rPr>
              <w:t xml:space="preserve">Browser native</w:t>
            </w:r>
          </w:p>
        </w:tc>
        <w:tc>
          <w:tcPr>
            <w:shd w:fill="FFFFFF" w:val="solid"/>
            <w:tcMar>
              <w:top w:type="dxa" w:w="60"/>
              <w:left w:type="dxa" w:w="100"/>
              <w:bottom w:type="dxa" w:w="60"/>
              <w:right w:type="dxa" w:w="100"/>
            </w:tcMar>
          </w:tcPr>
          <w:p>
            <w:pPr>
              <w:spacing w:after="60" w:before="60"/>
            </w:pPr>
            <w:r>
              <w:rPr>
                <w:sz w:val="19"/>
                <w:szCs w:val="19"/>
              </w:rPr>
              <w:t xml:space="preserve">Powers the animated starfield background on the landing page</w:t>
            </w:r>
          </w:p>
        </w:tc>
      </w:tr>
    </w:tbl>
    <w:p>
      <w:pPr>
        <w:spacing w:after="100"/>
      </w:pPr>
    </w:p>
    <w:p>
      <w:pPr>
        <w:pStyle w:val="Heading2"/>
        <w:spacing w:after="120" w:before="320"/>
      </w:pPr>
      <w:r>
        <w:t xml:space="preserve">3.2 Backend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Technology</w:t>
            </w:r>
          </w:p>
        </w:tc>
        <w:tc>
          <w:tcPr>
            <w:shd w:fill="1E3A5F" w:val="solid"/>
            <w:tcMar>
              <w:top w:type="dxa" w:w="60"/>
              <w:left w:type="dxa" w:w="100"/>
              <w:bottom w:type="dxa" w:w="60"/>
              <w:right w:type="dxa" w:w="100"/>
            </w:tcMar>
          </w:tcPr>
          <w:p>
            <w:pPr>
              <w:spacing w:after="60" w:before="60"/>
            </w:pPr>
            <w:r>
              <w:rPr>
                <w:b/>
                <w:bCs/>
                <w:color w:val="FFFFFF"/>
                <w:sz w:val="19"/>
                <w:szCs w:val="19"/>
              </w:rPr>
              <w:t xml:space="preserve">Version</w:t>
            </w:r>
          </w:p>
        </w:tc>
        <w:tc>
          <w:tcPr>
            <w:shd w:fill="1E3A5F" w:val="solid"/>
            <w:tcMar>
              <w:top w:type="dxa" w:w="60"/>
              <w:left w:type="dxa" w:w="100"/>
              <w:bottom w:type="dxa" w:w="60"/>
              <w:right w:type="dxa" w:w="100"/>
            </w:tcMar>
          </w:tcPr>
          <w:p>
            <w:pPr>
              <w:spacing w:after="60" w:before="60"/>
            </w:pPr>
            <w:r>
              <w:rPr>
                <w:b/>
                <w:bCs/>
                <w:color w:val="FFFFFF"/>
                <w:sz w:val="19"/>
                <w:szCs w:val="19"/>
              </w:rPr>
              <w:t xml:space="preserve">Role / Purpose</w:t>
            </w:r>
          </w:p>
        </w:tc>
      </w:tr>
      <w:tr>
        <w:tc>
          <w:tcPr>
            <w:shd w:fill="EFF6FF" w:val="solid"/>
            <w:tcMar>
              <w:top w:type="dxa" w:w="60"/>
              <w:left w:type="dxa" w:w="100"/>
              <w:bottom w:type="dxa" w:w="60"/>
              <w:right w:type="dxa" w:w="100"/>
            </w:tcMar>
          </w:tcPr>
          <w:p>
            <w:pPr>
              <w:spacing w:after="60" w:before="60"/>
            </w:pPr>
            <w:r>
              <w:rPr>
                <w:sz w:val="19"/>
                <w:szCs w:val="19"/>
              </w:rPr>
              <w:t xml:space="preserve">Node.js</w:t>
            </w:r>
          </w:p>
        </w:tc>
        <w:tc>
          <w:tcPr>
            <w:shd w:fill="EFF6FF" w:val="solid"/>
            <w:tcMar>
              <w:top w:type="dxa" w:w="60"/>
              <w:left w:type="dxa" w:w="100"/>
              <w:bottom w:type="dxa" w:w="60"/>
              <w:right w:type="dxa" w:w="100"/>
            </w:tcMar>
          </w:tcPr>
          <w:p>
            <w:pPr>
              <w:spacing w:after="60" w:before="60"/>
            </w:pPr>
            <w:r>
              <w:rPr>
                <w:sz w:val="19"/>
                <w:szCs w:val="19"/>
              </w:rPr>
              <w:t xml:space="preserve">24 LTS</w:t>
            </w:r>
          </w:p>
        </w:tc>
        <w:tc>
          <w:tcPr>
            <w:shd w:fill="EFF6FF" w:val="solid"/>
            <w:tcMar>
              <w:top w:type="dxa" w:w="60"/>
              <w:left w:type="dxa" w:w="100"/>
              <w:bottom w:type="dxa" w:w="60"/>
              <w:right w:type="dxa" w:w="100"/>
            </w:tcMar>
          </w:tcPr>
          <w:p>
            <w:pPr>
              <w:spacing w:after="60" w:before="60"/>
            </w:pPr>
            <w:r>
              <w:rPr>
                <w:sz w:val="19"/>
                <w:szCs w:val="19"/>
              </w:rPr>
              <w:t xml:space="preserve">JavaScript runtime for the API server; single-threaded event loop with async I/O</w:t>
            </w:r>
          </w:p>
        </w:tc>
      </w:tr>
      <w:tr>
        <w:tc>
          <w:tcPr>
            <w:shd w:fill="FFFFFF" w:val="solid"/>
            <w:tcMar>
              <w:top w:type="dxa" w:w="60"/>
              <w:left w:type="dxa" w:w="100"/>
              <w:bottom w:type="dxa" w:w="60"/>
              <w:right w:type="dxa" w:w="100"/>
            </w:tcMar>
          </w:tcPr>
          <w:p>
            <w:pPr>
              <w:spacing w:after="60" w:before="60"/>
            </w:pPr>
            <w:r>
              <w:rPr>
                <w:sz w:val="19"/>
                <w:szCs w:val="19"/>
              </w:rPr>
              <w:t xml:space="preserve">Express</w:t>
            </w:r>
          </w:p>
        </w:tc>
        <w:tc>
          <w:tcPr>
            <w:shd w:fill="FFFFFF" w:val="solid"/>
            <w:tcMar>
              <w:top w:type="dxa" w:w="60"/>
              <w:left w:type="dxa" w:w="100"/>
              <w:bottom w:type="dxa" w:w="60"/>
              <w:right w:type="dxa" w:w="100"/>
            </w:tcMar>
          </w:tcPr>
          <w:p>
            <w:pPr>
              <w:spacing w:after="60" w:before="60"/>
            </w:pPr>
            <w:r>
              <w:rPr>
                <w:sz w:val="19"/>
                <w:szCs w:val="19"/>
              </w:rPr>
              <w:t xml:space="preserve">5</w:t>
            </w:r>
          </w:p>
        </w:tc>
        <w:tc>
          <w:tcPr>
            <w:shd w:fill="FFFFFF" w:val="solid"/>
            <w:tcMar>
              <w:top w:type="dxa" w:w="60"/>
              <w:left w:type="dxa" w:w="100"/>
              <w:bottom w:type="dxa" w:w="60"/>
              <w:right w:type="dxa" w:w="100"/>
            </w:tcMar>
          </w:tcPr>
          <w:p>
            <w:pPr>
              <w:spacing w:after="60" w:before="60"/>
            </w:pPr>
            <w:r>
              <w:rPr>
                <w:sz w:val="19"/>
                <w:szCs w:val="19"/>
              </w:rPr>
              <w:t xml:space="preserve">Minimal HTTP framework handling routing, middleware pipeline, and error boundaries</w:t>
            </w:r>
          </w:p>
        </w:tc>
      </w:tr>
      <w:tr>
        <w:tc>
          <w:tcPr>
            <w:shd w:fill="EFF6FF" w:val="solid"/>
            <w:tcMar>
              <w:top w:type="dxa" w:w="60"/>
              <w:left w:type="dxa" w:w="100"/>
              <w:bottom w:type="dxa" w:w="60"/>
              <w:right w:type="dxa" w:w="100"/>
            </w:tcMar>
          </w:tcPr>
          <w:p>
            <w:pPr>
              <w:spacing w:after="60" w:before="60"/>
            </w:pPr>
            <w:r>
              <w:rPr>
                <w:sz w:val="19"/>
                <w:szCs w:val="19"/>
              </w:rPr>
              <w:t xml:space="preserve">TypeScript</w:t>
            </w:r>
          </w:p>
        </w:tc>
        <w:tc>
          <w:tcPr>
            <w:shd w:fill="EFF6FF" w:val="solid"/>
            <w:tcMar>
              <w:top w:type="dxa" w:w="60"/>
              <w:left w:type="dxa" w:w="100"/>
              <w:bottom w:type="dxa" w:w="60"/>
              <w:right w:type="dxa" w:w="100"/>
            </w:tcMar>
          </w:tcPr>
          <w:p>
            <w:pPr>
              <w:spacing w:after="60" w:before="60"/>
            </w:pPr>
            <w:r>
              <w:rPr>
                <w:sz w:val="19"/>
                <w:szCs w:val="19"/>
              </w:rPr>
              <w:t xml:space="preserve">5.9</w:t>
            </w:r>
          </w:p>
        </w:tc>
        <w:tc>
          <w:tcPr>
            <w:shd w:fill="EFF6FF" w:val="solid"/>
            <w:tcMar>
              <w:top w:type="dxa" w:w="60"/>
              <w:left w:type="dxa" w:w="100"/>
              <w:bottom w:type="dxa" w:w="60"/>
              <w:right w:type="dxa" w:w="100"/>
            </w:tcMar>
          </w:tcPr>
          <w:p>
            <w:pPr>
              <w:spacing w:after="60" w:before="60"/>
            </w:pPr>
            <w:r>
              <w:rPr>
                <w:sz w:val="19"/>
                <w:szCs w:val="19"/>
              </w:rPr>
              <w:t xml:space="preserve">Shared type safety with the frontend via common interfaces and generated schemas</w:t>
            </w:r>
          </w:p>
        </w:tc>
      </w:tr>
      <w:tr>
        <w:tc>
          <w:tcPr>
            <w:shd w:fill="FFFFFF" w:val="solid"/>
            <w:tcMar>
              <w:top w:type="dxa" w:w="60"/>
              <w:left w:type="dxa" w:w="100"/>
              <w:bottom w:type="dxa" w:w="60"/>
              <w:right w:type="dxa" w:w="100"/>
            </w:tcMar>
          </w:tcPr>
          <w:p>
            <w:pPr>
              <w:spacing w:after="60" w:before="60"/>
            </w:pPr>
            <w:r>
              <w:rPr>
                <w:sz w:val="19"/>
                <w:szCs w:val="19"/>
              </w:rPr>
              <w:t xml:space="preserve">Drizzle ORM</w:t>
            </w:r>
          </w:p>
        </w:tc>
        <w:tc>
          <w:tcPr>
            <w:shd w:fill="FFFFFF" w:val="solid"/>
            <w:tcMar>
              <w:top w:type="dxa" w:w="60"/>
              <w:left w:type="dxa" w:w="100"/>
              <w:bottom w:type="dxa" w:w="60"/>
              <w:right w:type="dxa" w:w="100"/>
            </w:tcMar>
          </w:tcPr>
          <w:p>
            <w:pPr>
              <w:spacing w:after="60" w:before="60"/>
            </w:pPr>
            <w:r>
              <w:rPr>
                <w:sz w:val="19"/>
                <w:szCs w:val="19"/>
              </w:rPr>
              <w:t xml:space="preserve">latest</w:t>
            </w:r>
          </w:p>
        </w:tc>
        <w:tc>
          <w:tcPr>
            <w:shd w:fill="FFFFFF" w:val="solid"/>
            <w:tcMar>
              <w:top w:type="dxa" w:w="60"/>
              <w:left w:type="dxa" w:w="100"/>
              <w:bottom w:type="dxa" w:w="60"/>
              <w:right w:type="dxa" w:w="100"/>
            </w:tcMar>
          </w:tcPr>
          <w:p>
            <w:pPr>
              <w:spacing w:after="60" w:before="60"/>
            </w:pPr>
            <w:r>
              <w:rPr>
                <w:sz w:val="19"/>
                <w:szCs w:val="19"/>
              </w:rPr>
              <w:t xml:space="preserve">Type-safe SQL query builder and schema manager; generates migrations for PostgreSQL</w:t>
            </w:r>
          </w:p>
        </w:tc>
      </w:tr>
      <w:tr>
        <w:tc>
          <w:tcPr>
            <w:shd w:fill="EFF6FF" w:val="solid"/>
            <w:tcMar>
              <w:top w:type="dxa" w:w="60"/>
              <w:left w:type="dxa" w:w="100"/>
              <w:bottom w:type="dxa" w:w="60"/>
              <w:right w:type="dxa" w:w="100"/>
            </w:tcMar>
          </w:tcPr>
          <w:p>
            <w:pPr>
              <w:spacing w:after="60" w:before="60"/>
            </w:pPr>
            <w:r>
              <w:rPr>
                <w:sz w:val="19"/>
                <w:szCs w:val="19"/>
              </w:rPr>
              <w:t xml:space="preserve">PostgreSQL</w:t>
            </w:r>
          </w:p>
        </w:tc>
        <w:tc>
          <w:tcPr>
            <w:shd w:fill="EFF6FF" w:val="solid"/>
            <w:tcMar>
              <w:top w:type="dxa" w:w="60"/>
              <w:left w:type="dxa" w:w="100"/>
              <w:bottom w:type="dxa" w:w="60"/>
              <w:right w:type="dxa" w:w="100"/>
            </w:tcMar>
          </w:tcPr>
          <w:p>
            <w:pPr>
              <w:spacing w:after="60" w:before="60"/>
            </w:pPr>
            <w:r>
              <w:rPr>
                <w:sz w:val="19"/>
                <w:szCs w:val="19"/>
              </w:rPr>
              <w:t xml:space="preserve">16</w:t>
            </w:r>
          </w:p>
        </w:tc>
        <w:tc>
          <w:tcPr>
            <w:shd w:fill="EFF6FF" w:val="solid"/>
            <w:tcMar>
              <w:top w:type="dxa" w:w="60"/>
              <w:left w:type="dxa" w:w="100"/>
              <w:bottom w:type="dxa" w:w="60"/>
              <w:right w:type="dxa" w:w="100"/>
            </w:tcMar>
          </w:tcPr>
          <w:p>
            <w:pPr>
              <w:spacing w:after="60" w:before="60"/>
            </w:pPr>
            <w:r>
              <w:rPr>
                <w:sz w:val="19"/>
                <w:szCs w:val="19"/>
              </w:rPr>
              <w:t xml:space="preserve">Primary relational database — stores all satellite records, risk scores, and event logs</w:t>
            </w:r>
          </w:p>
        </w:tc>
      </w:tr>
      <w:tr>
        <w:tc>
          <w:tcPr>
            <w:shd w:fill="FFFFFF" w:val="solid"/>
            <w:tcMar>
              <w:top w:type="dxa" w:w="60"/>
              <w:left w:type="dxa" w:w="100"/>
              <w:bottom w:type="dxa" w:w="60"/>
              <w:right w:type="dxa" w:w="100"/>
            </w:tcMar>
          </w:tcPr>
          <w:p>
            <w:pPr>
              <w:spacing w:after="60" w:before="60"/>
            </w:pPr>
            <w:r>
              <w:rPr>
                <w:sz w:val="19"/>
                <w:szCs w:val="19"/>
              </w:rPr>
              <w:t xml:space="preserve">Zod</w:t>
            </w:r>
          </w:p>
        </w:tc>
        <w:tc>
          <w:tcPr>
            <w:shd w:fill="FFFFFF" w:val="solid"/>
            <w:tcMar>
              <w:top w:type="dxa" w:w="60"/>
              <w:left w:type="dxa" w:w="100"/>
              <w:bottom w:type="dxa" w:w="60"/>
              <w:right w:type="dxa" w:w="100"/>
            </w:tcMar>
          </w:tcPr>
          <w:p>
            <w:pPr>
              <w:spacing w:after="60" w:before="60"/>
            </w:pPr>
            <w:r>
              <w:rPr>
                <w:sz w:val="19"/>
                <w:szCs w:val="19"/>
              </w:rPr>
              <w:t xml:space="preserve">v4</w:t>
            </w:r>
          </w:p>
        </w:tc>
        <w:tc>
          <w:tcPr>
            <w:shd w:fill="FFFFFF" w:val="solid"/>
            <w:tcMar>
              <w:top w:type="dxa" w:w="60"/>
              <w:left w:type="dxa" w:w="100"/>
              <w:bottom w:type="dxa" w:w="60"/>
              <w:right w:type="dxa" w:w="100"/>
            </w:tcMar>
          </w:tcPr>
          <w:p>
            <w:pPr>
              <w:spacing w:after="60" w:before="60"/>
            </w:pPr>
            <w:r>
              <w:rPr>
                <w:sz w:val="19"/>
                <w:szCs w:val="19"/>
              </w:rPr>
              <w:t xml:space="preserve">Runtime schema validation for every API request body, query parameter, and response shape</w:t>
            </w:r>
          </w:p>
        </w:tc>
      </w:tr>
      <w:tr>
        <w:tc>
          <w:tcPr>
            <w:shd w:fill="EFF6FF" w:val="solid"/>
            <w:tcMar>
              <w:top w:type="dxa" w:w="60"/>
              <w:left w:type="dxa" w:w="100"/>
              <w:bottom w:type="dxa" w:w="60"/>
              <w:right w:type="dxa" w:w="100"/>
            </w:tcMar>
          </w:tcPr>
          <w:p>
            <w:pPr>
              <w:spacing w:after="60" w:before="60"/>
            </w:pPr>
            <w:r>
              <w:rPr>
                <w:sz w:val="19"/>
                <w:szCs w:val="19"/>
              </w:rPr>
              <w:t xml:space="preserve">Orval</w:t>
            </w:r>
          </w:p>
        </w:tc>
        <w:tc>
          <w:tcPr>
            <w:shd w:fill="EFF6FF" w:val="solid"/>
            <w:tcMar>
              <w:top w:type="dxa" w:w="60"/>
              <w:left w:type="dxa" w:w="100"/>
              <w:bottom w:type="dxa" w:w="60"/>
              <w:right w:type="dxa" w:w="100"/>
            </w:tcMar>
          </w:tcPr>
          <w:p>
            <w:pPr>
              <w:spacing w:after="60" w:before="60"/>
            </w:pPr>
            <w:r>
              <w:rPr>
                <w:sz w:val="19"/>
                <w:szCs w:val="19"/>
              </w:rPr>
              <w:t xml:space="preserve">latest</w:t>
            </w:r>
          </w:p>
        </w:tc>
        <w:tc>
          <w:tcPr>
            <w:shd w:fill="EFF6FF" w:val="solid"/>
            <w:tcMar>
              <w:top w:type="dxa" w:w="60"/>
              <w:left w:type="dxa" w:w="100"/>
              <w:bottom w:type="dxa" w:w="60"/>
              <w:right w:type="dxa" w:w="100"/>
            </w:tcMar>
          </w:tcPr>
          <w:p>
            <w:pPr>
              <w:spacing w:after="60" w:before="60"/>
            </w:pPr>
            <w:r>
              <w:rPr>
                <w:sz w:val="19"/>
                <w:szCs w:val="19"/>
              </w:rPr>
              <w:t xml:space="preserve">Reads the OpenAPI spec and auto-generates typed React Query hooks and Zod validators</w:t>
            </w:r>
          </w:p>
        </w:tc>
      </w:tr>
      <w:tr>
        <w:tc>
          <w:tcPr>
            <w:shd w:fill="FFFFFF" w:val="solid"/>
            <w:tcMar>
              <w:top w:type="dxa" w:w="60"/>
              <w:left w:type="dxa" w:w="100"/>
              <w:bottom w:type="dxa" w:w="60"/>
              <w:right w:type="dxa" w:w="100"/>
            </w:tcMar>
          </w:tcPr>
          <w:p>
            <w:pPr>
              <w:spacing w:after="60" w:before="60"/>
            </w:pPr>
            <w:r>
              <w:rPr>
                <w:sz w:val="19"/>
                <w:szCs w:val="19"/>
              </w:rPr>
              <w:t xml:space="preserve">Pino + pino-http</w:t>
            </w:r>
          </w:p>
        </w:tc>
        <w:tc>
          <w:tcPr>
            <w:shd w:fill="FFFFFF" w:val="solid"/>
            <w:tcMar>
              <w:top w:type="dxa" w:w="60"/>
              <w:left w:type="dxa" w:w="100"/>
              <w:bottom w:type="dxa" w:w="60"/>
              <w:right w:type="dxa" w:w="100"/>
            </w:tcMar>
          </w:tcPr>
          <w:p>
            <w:pPr>
              <w:spacing w:after="60" w:before="60"/>
            </w:pPr>
            <w:r>
              <w:rPr>
                <w:sz w:val="19"/>
                <w:szCs w:val="19"/>
              </w:rPr>
              <w:t xml:space="preserve">latest</w:t>
            </w:r>
          </w:p>
        </w:tc>
        <w:tc>
          <w:tcPr>
            <w:shd w:fill="FFFFFF" w:val="solid"/>
            <w:tcMar>
              <w:top w:type="dxa" w:w="60"/>
              <w:left w:type="dxa" w:w="100"/>
              <w:bottom w:type="dxa" w:w="60"/>
              <w:right w:type="dxa" w:w="100"/>
            </w:tcMar>
          </w:tcPr>
          <w:p>
            <w:pPr>
              <w:spacing w:after="60" w:before="60"/>
            </w:pPr>
            <w:r>
              <w:rPr>
                <w:sz w:val="19"/>
                <w:szCs w:val="19"/>
              </w:rPr>
              <w:t xml:space="preserve">Structured JSON logging for all HTTP requests, errors, and background-task events</w:t>
            </w:r>
          </w:p>
        </w:tc>
      </w:tr>
      <w:tr>
        <w:tc>
          <w:tcPr>
            <w:shd w:fill="EFF6FF" w:val="solid"/>
            <w:tcMar>
              <w:top w:type="dxa" w:w="60"/>
              <w:left w:type="dxa" w:w="100"/>
              <w:bottom w:type="dxa" w:w="60"/>
              <w:right w:type="dxa" w:w="100"/>
            </w:tcMar>
          </w:tcPr>
          <w:p>
            <w:pPr>
              <w:spacing w:after="60" w:before="60"/>
            </w:pPr>
            <w:r>
              <w:rPr>
                <w:sz w:val="19"/>
                <w:szCs w:val="19"/>
              </w:rPr>
              <w:t xml:space="preserve">esbuild</w:t>
            </w:r>
          </w:p>
        </w:tc>
        <w:tc>
          <w:tcPr>
            <w:shd w:fill="EFF6FF" w:val="solid"/>
            <w:tcMar>
              <w:top w:type="dxa" w:w="60"/>
              <w:left w:type="dxa" w:w="100"/>
              <w:bottom w:type="dxa" w:w="60"/>
              <w:right w:type="dxa" w:w="100"/>
            </w:tcMar>
          </w:tcPr>
          <w:p>
            <w:pPr>
              <w:spacing w:after="60" w:before="60"/>
            </w:pPr>
            <w:r>
              <w:rPr>
                <w:sz w:val="19"/>
                <w:szCs w:val="19"/>
              </w:rPr>
              <w:t xml:space="preserve">latest</w:t>
            </w:r>
          </w:p>
        </w:tc>
        <w:tc>
          <w:tcPr>
            <w:shd w:fill="EFF6FF" w:val="solid"/>
            <w:tcMar>
              <w:top w:type="dxa" w:w="60"/>
              <w:left w:type="dxa" w:w="100"/>
              <w:bottom w:type="dxa" w:w="60"/>
              <w:right w:type="dxa" w:w="100"/>
            </w:tcMar>
          </w:tcPr>
          <w:p>
            <w:pPr>
              <w:spacing w:after="60" w:before="60"/>
            </w:pPr>
            <w:r>
              <w:rPr>
                <w:sz w:val="19"/>
                <w:szCs w:val="19"/>
              </w:rPr>
              <w:t xml:space="preserve">Compiles TypeScript to a single CommonJS bundle for production in milliseconds</w:t>
            </w:r>
          </w:p>
        </w:tc>
      </w:tr>
      <w:tr>
        <w:tc>
          <w:tcPr>
            <w:shd w:fill="FFFFFF" w:val="solid"/>
            <w:tcMar>
              <w:top w:type="dxa" w:w="60"/>
              <w:left w:type="dxa" w:w="100"/>
              <w:bottom w:type="dxa" w:w="60"/>
              <w:right w:type="dxa" w:w="100"/>
            </w:tcMar>
          </w:tcPr>
          <w:p>
            <w:pPr>
              <w:spacing w:after="60" w:before="60"/>
            </w:pPr>
            <w:r>
              <w:rPr>
                <w:sz w:val="19"/>
                <w:szCs w:val="19"/>
              </w:rPr>
              <w:t xml:space="preserve">pnpm</w:t>
            </w:r>
          </w:p>
        </w:tc>
        <w:tc>
          <w:tcPr>
            <w:shd w:fill="FFFFFF" w:val="solid"/>
            <w:tcMar>
              <w:top w:type="dxa" w:w="60"/>
              <w:left w:type="dxa" w:w="100"/>
              <w:bottom w:type="dxa" w:w="60"/>
              <w:right w:type="dxa" w:w="100"/>
            </w:tcMar>
          </w:tcPr>
          <w:p>
            <w:pPr>
              <w:spacing w:after="60" w:before="60"/>
            </w:pPr>
            <w:r>
              <w:rPr>
                <w:sz w:val="19"/>
                <w:szCs w:val="19"/>
              </w:rPr>
              <w:t xml:space="preserve">latest</w:t>
            </w:r>
          </w:p>
        </w:tc>
        <w:tc>
          <w:tcPr>
            <w:shd w:fill="FFFFFF" w:val="solid"/>
            <w:tcMar>
              <w:top w:type="dxa" w:w="60"/>
              <w:left w:type="dxa" w:w="100"/>
              <w:bottom w:type="dxa" w:w="60"/>
              <w:right w:type="dxa" w:w="100"/>
            </w:tcMar>
          </w:tcPr>
          <w:p>
            <w:pPr>
              <w:spacing w:after="60" w:before="60"/>
            </w:pPr>
            <w:r>
              <w:rPr>
                <w:sz w:val="19"/>
                <w:szCs w:val="19"/>
              </w:rPr>
              <w:t xml:space="preserve">Monorepo-aware package manager with a content-addressable store and deterministic lockfile</w:t>
            </w:r>
          </w:p>
        </w:tc>
      </w:tr>
    </w:tbl>
    <w:p>
      <w:pPr>
        <w:spacing w:after="100"/>
      </w:pPr>
    </w:p>
    <w:p>
      <w:pPr>
        <w:pStyle w:val="Heading2"/>
        <w:spacing w:after="120" w:before="320"/>
      </w:pPr>
      <w:r>
        <w:t xml:space="preserve">3.3 Development &amp; Infrastructure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Tool</w:t>
            </w:r>
          </w:p>
        </w:tc>
        <w:tc>
          <w:tcPr>
            <w:shd w:fill="1E3A5F" w:val="solid"/>
            <w:tcMar>
              <w:top w:type="dxa" w:w="60"/>
              <w:left w:type="dxa" w:w="100"/>
              <w:bottom w:type="dxa" w:w="60"/>
              <w:right w:type="dxa" w:w="100"/>
            </w:tcMar>
          </w:tcPr>
          <w:p>
            <w:pPr>
              <w:spacing w:after="60" w:before="60"/>
            </w:pPr>
            <w:r>
              <w:rPr>
                <w:b/>
                <w:bCs/>
                <w:color w:val="FFFFFF"/>
                <w:sz w:val="19"/>
                <w:szCs w:val="19"/>
              </w:rPr>
              <w:t xml:space="preserve">Purpose</w:t>
            </w:r>
          </w:p>
        </w:tc>
      </w:tr>
      <w:tr>
        <w:tc>
          <w:tcPr>
            <w:shd w:fill="EFF6FF" w:val="solid"/>
            <w:tcMar>
              <w:top w:type="dxa" w:w="60"/>
              <w:left w:type="dxa" w:w="100"/>
              <w:bottom w:type="dxa" w:w="60"/>
              <w:right w:type="dxa" w:w="100"/>
            </w:tcMar>
          </w:tcPr>
          <w:p>
            <w:pPr>
              <w:spacing w:after="60" w:before="60"/>
            </w:pPr>
            <w:r>
              <w:rPr>
                <w:sz w:val="19"/>
                <w:szCs w:val="19"/>
              </w:rPr>
              <w:t xml:space="preserve">pnpm Workspaces</w:t>
            </w:r>
          </w:p>
        </w:tc>
        <w:tc>
          <w:tcPr>
            <w:shd w:fill="EFF6FF" w:val="solid"/>
            <w:tcMar>
              <w:top w:type="dxa" w:w="60"/>
              <w:left w:type="dxa" w:w="100"/>
              <w:bottom w:type="dxa" w:w="60"/>
              <w:right w:type="dxa" w:w="100"/>
            </w:tcMar>
          </w:tcPr>
          <w:p>
            <w:pPr>
              <w:spacing w:after="60" w:before="60"/>
            </w:pPr>
            <w:r>
              <w:rPr>
                <w:sz w:val="19"/>
                <w:szCs w:val="19"/>
              </w:rPr>
              <w:t xml:space="preserve">Manages the monorepo — frontend, backend, shared libs, and scripts in one repository</w:t>
            </w:r>
          </w:p>
        </w:tc>
      </w:tr>
      <w:tr>
        <w:tc>
          <w:tcPr>
            <w:shd w:fill="FFFFFF" w:val="solid"/>
            <w:tcMar>
              <w:top w:type="dxa" w:w="60"/>
              <w:left w:type="dxa" w:w="100"/>
              <w:bottom w:type="dxa" w:w="60"/>
              <w:right w:type="dxa" w:w="100"/>
            </w:tcMar>
          </w:tcPr>
          <w:p>
            <w:pPr>
              <w:spacing w:after="60" w:before="60"/>
            </w:pPr>
            <w:r>
              <w:rPr>
                <w:sz w:val="19"/>
                <w:szCs w:val="19"/>
              </w:rPr>
              <w:t xml:space="preserve">OpenAPI 3.1 (YAML)</w:t>
            </w:r>
          </w:p>
        </w:tc>
        <w:tc>
          <w:tcPr>
            <w:shd w:fill="FFFFFF" w:val="solid"/>
            <w:tcMar>
              <w:top w:type="dxa" w:w="60"/>
              <w:left w:type="dxa" w:w="100"/>
              <w:bottom w:type="dxa" w:w="60"/>
              <w:right w:type="dxa" w:w="100"/>
            </w:tcMar>
          </w:tcPr>
          <w:p>
            <w:pPr>
              <w:spacing w:after="60" w:before="60"/>
            </w:pPr>
            <w:r>
              <w:rPr>
                <w:sz w:val="19"/>
                <w:szCs w:val="19"/>
              </w:rPr>
              <w:t xml:space="preserve">Contract-first API specification; the single source of truth for all endpoint shapes</w:t>
            </w:r>
          </w:p>
        </w:tc>
      </w:tr>
      <w:tr>
        <w:tc>
          <w:tcPr>
            <w:shd w:fill="EFF6FF" w:val="solid"/>
            <w:tcMar>
              <w:top w:type="dxa" w:w="60"/>
              <w:left w:type="dxa" w:w="100"/>
              <w:bottom w:type="dxa" w:w="60"/>
              <w:right w:type="dxa" w:w="100"/>
            </w:tcMar>
          </w:tcPr>
          <w:p>
            <w:pPr>
              <w:spacing w:after="60" w:before="60"/>
            </w:pPr>
            <w:r>
              <w:rPr>
                <w:sz w:val="19"/>
                <w:szCs w:val="19"/>
              </w:rPr>
              <w:t xml:space="preserve">Drizzle Kit</w:t>
            </w:r>
          </w:p>
        </w:tc>
        <w:tc>
          <w:tcPr>
            <w:shd w:fill="EFF6FF" w:val="solid"/>
            <w:tcMar>
              <w:top w:type="dxa" w:w="60"/>
              <w:left w:type="dxa" w:w="100"/>
              <w:bottom w:type="dxa" w:w="60"/>
              <w:right w:type="dxa" w:w="100"/>
            </w:tcMar>
          </w:tcPr>
          <w:p>
            <w:pPr>
              <w:spacing w:after="60" w:before="60"/>
            </w:pPr>
            <w:r>
              <w:rPr>
                <w:sz w:val="19"/>
                <w:szCs w:val="19"/>
              </w:rPr>
              <w:t xml:space="preserve">Generates and applies PostgreSQL schema migrations from the TypeScript schema definitions</w:t>
            </w:r>
          </w:p>
        </w:tc>
      </w:tr>
      <w:tr>
        <w:tc>
          <w:tcPr>
            <w:shd w:fill="FFFFFF" w:val="solid"/>
            <w:tcMar>
              <w:top w:type="dxa" w:w="60"/>
              <w:left w:type="dxa" w:w="100"/>
              <w:bottom w:type="dxa" w:w="60"/>
              <w:right w:type="dxa" w:w="100"/>
            </w:tcMar>
          </w:tcPr>
          <w:p>
            <w:pPr>
              <w:spacing w:after="60" w:before="60"/>
            </w:pPr>
            <w:r>
              <w:rPr>
                <w:sz w:val="19"/>
                <w:szCs w:val="19"/>
              </w:rPr>
              <w:t xml:space="preserve">Git + GitHub</w:t>
            </w:r>
          </w:p>
        </w:tc>
        <w:tc>
          <w:tcPr>
            <w:shd w:fill="FFFFFF" w:val="solid"/>
            <w:tcMar>
              <w:top w:type="dxa" w:w="60"/>
              <w:left w:type="dxa" w:w="100"/>
              <w:bottom w:type="dxa" w:w="60"/>
              <w:right w:type="dxa" w:w="100"/>
            </w:tcMar>
          </w:tcPr>
          <w:p>
            <w:pPr>
              <w:spacing w:after="60" w:before="60"/>
            </w:pPr>
            <w:r>
              <w:rPr>
                <w:sz w:val="19"/>
                <w:szCs w:val="19"/>
              </w:rPr>
              <w:t xml:space="preserve">Version control and source management; hosted at github.com/Aswinsudhan/Orbital-Intelligence-Platform</w:t>
            </w:r>
          </w:p>
        </w:tc>
      </w:tr>
      <w:tr>
        <w:tc>
          <w:tcPr>
            <w:shd w:fill="EFF6FF" w:val="solid"/>
            <w:tcMar>
              <w:top w:type="dxa" w:w="60"/>
              <w:left w:type="dxa" w:w="100"/>
              <w:bottom w:type="dxa" w:w="60"/>
              <w:right w:type="dxa" w:w="100"/>
            </w:tcMar>
          </w:tcPr>
          <w:p>
            <w:pPr>
              <w:spacing w:after="60" w:before="60"/>
            </w:pPr>
            <w:r>
              <w:rPr>
                <w:sz w:val="19"/>
                <w:szCs w:val="19"/>
              </w:rPr>
              <w:t xml:space="preserve">ESLint + Prettier</w:t>
            </w:r>
          </w:p>
        </w:tc>
        <w:tc>
          <w:tcPr>
            <w:shd w:fill="EFF6FF" w:val="solid"/>
            <w:tcMar>
              <w:top w:type="dxa" w:w="60"/>
              <w:left w:type="dxa" w:w="100"/>
              <w:bottom w:type="dxa" w:w="60"/>
              <w:right w:type="dxa" w:w="100"/>
            </w:tcMar>
          </w:tcPr>
          <w:p>
            <w:pPr>
              <w:spacing w:after="60" w:before="60"/>
            </w:pPr>
            <w:r>
              <w:rPr>
                <w:sz w:val="19"/>
                <w:szCs w:val="19"/>
              </w:rPr>
              <w:t xml:space="preserve">Enforces code quality rules and consistent formatting across all workspace packages</w:t>
            </w:r>
          </w:p>
        </w:tc>
      </w:tr>
      <w:tr>
        <w:tc>
          <w:tcPr>
            <w:shd w:fill="FFFFFF" w:val="solid"/>
            <w:tcMar>
              <w:top w:type="dxa" w:w="60"/>
              <w:left w:type="dxa" w:w="100"/>
              <w:bottom w:type="dxa" w:w="60"/>
              <w:right w:type="dxa" w:w="100"/>
            </w:tcMar>
          </w:tcPr>
          <w:p>
            <w:pPr>
              <w:spacing w:after="60" w:before="60"/>
            </w:pPr>
            <w:r>
              <w:rPr>
                <w:sz w:val="19"/>
                <w:szCs w:val="19"/>
              </w:rPr>
              <w:t xml:space="preserve">ResizeObserver API</w:t>
            </w:r>
          </w:p>
        </w:tc>
        <w:tc>
          <w:tcPr>
            <w:shd w:fill="FFFFFF" w:val="solid"/>
            <w:tcMar>
              <w:top w:type="dxa" w:w="60"/>
              <w:left w:type="dxa" w:w="100"/>
              <w:bottom w:type="dxa" w:w="60"/>
              <w:right w:type="dxa" w:w="100"/>
            </w:tcMar>
          </w:tcPr>
          <w:p>
            <w:pPr>
              <w:spacing w:after="60" w:before="60"/>
            </w:pPr>
            <w:r>
              <w:rPr>
                <w:sz w:val="19"/>
                <w:szCs w:val="19"/>
              </w:rPr>
              <w:t xml:space="preserve">Re-renders the canvas starfield whenever the browser viewport changes size</w:t>
            </w:r>
          </w:p>
        </w:tc>
      </w:tr>
      <w:tr>
        <w:tc>
          <w:tcPr>
            <w:shd w:fill="EFF6FF" w:val="solid"/>
            <w:tcMar>
              <w:top w:type="dxa" w:w="60"/>
              <w:left w:type="dxa" w:w="100"/>
              <w:bottom w:type="dxa" w:w="60"/>
              <w:right w:type="dxa" w:w="100"/>
            </w:tcMar>
          </w:tcPr>
          <w:p>
            <w:pPr>
              <w:spacing w:after="60" w:before="60"/>
            </w:pPr>
            <w:r>
              <w:rPr>
                <w:sz w:val="19"/>
                <w:szCs w:val="19"/>
              </w:rPr>
              <w:t xml:space="preserve">tsconfig (strict mode)</w:t>
            </w:r>
          </w:p>
        </w:tc>
        <w:tc>
          <w:tcPr>
            <w:shd w:fill="EFF6FF" w:val="solid"/>
            <w:tcMar>
              <w:top w:type="dxa" w:w="60"/>
              <w:left w:type="dxa" w:w="100"/>
              <w:bottom w:type="dxa" w:w="60"/>
              <w:right w:type="dxa" w:w="100"/>
            </w:tcMar>
          </w:tcPr>
          <w:p>
            <w:pPr>
              <w:spacing w:after="60" w:before="60"/>
            </w:pPr>
            <w:r>
              <w:rPr>
                <w:sz w:val="19"/>
                <w:szCs w:val="19"/>
              </w:rPr>
              <w:t xml:space="preserve">TypeScript strict compiler flags enabled across all packages; catches entire error classes at build time</w:t>
            </w:r>
          </w:p>
        </w:tc>
      </w:tr>
    </w:tbl>
    <w:p>
      <w:pPr>
        <w:spacing w:after="100"/>
      </w:pPr>
    </w:p>
    <w:p>
      <w:r>
        <w:br w:type="page"/>
      </w:r>
    </w:p>
    <w:p>
      <w:pPr>
        <w:pStyle w:val="Heading1"/>
        <w:spacing w:after="160" w:before="480"/>
      </w:pPr>
      <w:r>
        <w:t xml:space="preserve">4. System Architecture</w:t>
      </w:r>
    </w:p>
    <w:p>
      <w:pPr>
        <w:spacing w:after="120" w:line="340"/>
      </w:pPr>
      <w:r>
        <w:rPr>
          <w:sz w:val="22"/>
          <w:szCs w:val="22"/>
        </w:rPr>
        <w:t xml:space="preserve">OIP follows a clean three-tier architecture managed as a pnpm monorepo. Each tier lives in its own workspace package with explicit dependency declarations — there is no implicit sharing of code or dependencies between packages.</w:t>
      </w:r>
    </w:p>
    <w:p>
      <w:pPr>
        <w:spacing w:after="100"/>
      </w:pPr>
    </w:p>
    <w:p>
      <w:pPr>
        <w:pStyle w:val="Heading2"/>
        <w:spacing w:after="120" w:before="320"/>
      </w:pPr>
      <w:r>
        <w:t xml:space="preserve">4.1 Monorepo Directory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Directory</w:t>
            </w:r>
          </w:p>
        </w:tc>
        <w:tc>
          <w:tcPr>
            <w:shd w:fill="1E3A5F" w:val="solid"/>
            <w:tcMar>
              <w:top w:type="dxa" w:w="60"/>
              <w:left w:type="dxa" w:w="100"/>
              <w:bottom w:type="dxa" w:w="60"/>
              <w:right w:type="dxa" w:w="100"/>
            </w:tcMar>
          </w:tcPr>
          <w:p>
            <w:pPr>
              <w:spacing w:after="60" w:before="60"/>
            </w:pPr>
            <w:r>
              <w:rPr>
                <w:b/>
                <w:bCs/>
                <w:color w:val="FFFFFF"/>
                <w:sz w:val="19"/>
                <w:szCs w:val="19"/>
              </w:rPr>
              <w:t xml:space="preserve">Package Name</w:t>
            </w:r>
          </w:p>
        </w:tc>
        <w:tc>
          <w:tcPr>
            <w:shd w:fill="1E3A5F" w:val="solid"/>
            <w:tcMar>
              <w:top w:type="dxa" w:w="60"/>
              <w:left w:type="dxa" w:w="100"/>
              <w:bottom w:type="dxa" w:w="60"/>
              <w:right w:type="dxa" w:w="100"/>
            </w:tcMar>
          </w:tcPr>
          <w:p>
            <w:pPr>
              <w:spacing w:after="60" w:before="60"/>
            </w:pPr>
            <w:r>
              <w:rPr>
                <w:b/>
                <w:bCs/>
                <w:color w:val="FFFFFF"/>
                <w:sz w:val="19"/>
                <w:szCs w:val="19"/>
              </w:rPr>
              <w:t xml:space="preserve">Description</w:t>
            </w:r>
          </w:p>
        </w:tc>
      </w:tr>
      <w:tr>
        <w:tc>
          <w:tcPr>
            <w:shd w:fill="EFF6FF" w:val="solid"/>
            <w:tcMar>
              <w:top w:type="dxa" w:w="60"/>
              <w:left w:type="dxa" w:w="100"/>
              <w:bottom w:type="dxa" w:w="60"/>
              <w:right w:type="dxa" w:w="100"/>
            </w:tcMar>
          </w:tcPr>
          <w:p>
            <w:pPr>
              <w:spacing w:after="60" w:before="60"/>
            </w:pPr>
            <w:r>
              <w:rPr>
                <w:sz w:val="19"/>
                <w:szCs w:val="19"/>
              </w:rPr>
              <w:t xml:space="preserve">artifacts/oip/</w:t>
            </w:r>
          </w:p>
        </w:tc>
        <w:tc>
          <w:tcPr>
            <w:shd w:fill="EFF6FF" w:val="solid"/>
            <w:tcMar>
              <w:top w:type="dxa" w:w="60"/>
              <w:left w:type="dxa" w:w="100"/>
              <w:bottom w:type="dxa" w:w="60"/>
              <w:right w:type="dxa" w:w="100"/>
            </w:tcMar>
          </w:tcPr>
          <w:p>
            <w:pPr>
              <w:spacing w:after="60" w:before="60"/>
            </w:pPr>
            <w:r>
              <w:rPr>
                <w:sz w:val="19"/>
                <w:szCs w:val="19"/>
              </w:rPr>
              <w:t xml:space="preserve">@workspace/oip</w:t>
            </w:r>
          </w:p>
        </w:tc>
        <w:tc>
          <w:tcPr>
            <w:shd w:fill="EFF6FF" w:val="solid"/>
            <w:tcMar>
              <w:top w:type="dxa" w:w="60"/>
              <w:left w:type="dxa" w:w="100"/>
              <w:bottom w:type="dxa" w:w="60"/>
              <w:right w:type="dxa" w:w="100"/>
            </w:tcMar>
          </w:tcPr>
          <w:p>
            <w:pPr>
              <w:spacing w:after="60" w:before="60"/>
            </w:pPr>
            <w:r>
              <w:rPr>
                <w:sz w:val="19"/>
                <w:szCs w:val="19"/>
              </w:rPr>
              <w:t xml:space="preserve">React + Vite single-page application (the frontend)</w:t>
            </w:r>
          </w:p>
        </w:tc>
      </w:tr>
      <w:tr>
        <w:tc>
          <w:tcPr>
            <w:shd w:fill="FFFFFF" w:val="solid"/>
            <w:tcMar>
              <w:top w:type="dxa" w:w="60"/>
              <w:left w:type="dxa" w:w="100"/>
              <w:bottom w:type="dxa" w:w="60"/>
              <w:right w:type="dxa" w:w="100"/>
            </w:tcMar>
          </w:tcPr>
          <w:p>
            <w:pPr>
              <w:spacing w:after="60" w:before="60"/>
            </w:pPr>
            <w:r>
              <w:rPr>
                <w:sz w:val="19"/>
                <w:szCs w:val="19"/>
              </w:rPr>
              <w:t xml:space="preserve">artifacts/api-server/</w:t>
            </w:r>
          </w:p>
        </w:tc>
        <w:tc>
          <w:tcPr>
            <w:shd w:fill="FFFFFF" w:val="solid"/>
            <w:tcMar>
              <w:top w:type="dxa" w:w="60"/>
              <w:left w:type="dxa" w:w="100"/>
              <w:bottom w:type="dxa" w:w="60"/>
              <w:right w:type="dxa" w:w="100"/>
            </w:tcMar>
          </w:tcPr>
          <w:p>
            <w:pPr>
              <w:spacing w:after="60" w:before="60"/>
            </w:pPr>
            <w:r>
              <w:rPr>
                <w:sz w:val="19"/>
                <w:szCs w:val="19"/>
              </w:rPr>
              <w:t xml:space="preserve">@workspace/api-server</w:t>
            </w:r>
          </w:p>
        </w:tc>
        <w:tc>
          <w:tcPr>
            <w:shd w:fill="FFFFFF" w:val="solid"/>
            <w:tcMar>
              <w:top w:type="dxa" w:w="60"/>
              <w:left w:type="dxa" w:w="100"/>
              <w:bottom w:type="dxa" w:w="60"/>
              <w:right w:type="dxa" w:w="100"/>
            </w:tcMar>
          </w:tcPr>
          <w:p>
            <w:pPr>
              <w:spacing w:after="60" w:before="60"/>
            </w:pPr>
            <w:r>
              <w:rPr>
                <w:sz w:val="19"/>
                <w:szCs w:val="19"/>
              </w:rPr>
              <w:t xml:space="preserve">Express 5 REST API server (the backend)</w:t>
            </w:r>
          </w:p>
        </w:tc>
      </w:tr>
      <w:tr>
        <w:tc>
          <w:tcPr>
            <w:shd w:fill="EFF6FF" w:val="solid"/>
            <w:tcMar>
              <w:top w:type="dxa" w:w="60"/>
              <w:left w:type="dxa" w:w="100"/>
              <w:bottom w:type="dxa" w:w="60"/>
              <w:right w:type="dxa" w:w="100"/>
            </w:tcMar>
          </w:tcPr>
          <w:p>
            <w:pPr>
              <w:spacing w:after="60" w:before="60"/>
            </w:pPr>
            <w:r>
              <w:rPr>
                <w:sz w:val="19"/>
                <w:szCs w:val="19"/>
              </w:rPr>
              <w:t xml:space="preserve">lib/db/</w:t>
            </w:r>
          </w:p>
        </w:tc>
        <w:tc>
          <w:tcPr>
            <w:shd w:fill="EFF6FF" w:val="solid"/>
            <w:tcMar>
              <w:top w:type="dxa" w:w="60"/>
              <w:left w:type="dxa" w:w="100"/>
              <w:bottom w:type="dxa" w:w="60"/>
              <w:right w:type="dxa" w:w="100"/>
            </w:tcMar>
          </w:tcPr>
          <w:p>
            <w:pPr>
              <w:spacing w:after="60" w:before="60"/>
            </w:pPr>
            <w:r>
              <w:rPr>
                <w:sz w:val="19"/>
                <w:szCs w:val="19"/>
              </w:rPr>
              <w:t xml:space="preserve">@workspace/db</w:t>
            </w:r>
          </w:p>
        </w:tc>
        <w:tc>
          <w:tcPr>
            <w:shd w:fill="EFF6FF" w:val="solid"/>
            <w:tcMar>
              <w:top w:type="dxa" w:w="60"/>
              <w:left w:type="dxa" w:w="100"/>
              <w:bottom w:type="dxa" w:w="60"/>
              <w:right w:type="dxa" w:w="100"/>
            </w:tcMar>
          </w:tcPr>
          <w:p>
            <w:pPr>
              <w:spacing w:after="60" w:before="60"/>
            </w:pPr>
            <w:r>
              <w:rPr>
                <w:sz w:val="19"/>
                <w:szCs w:val="19"/>
              </w:rPr>
              <w:t xml:space="preserve">Drizzle ORM schema definitions, database client, and migrations</w:t>
            </w:r>
          </w:p>
        </w:tc>
      </w:tr>
      <w:tr>
        <w:tc>
          <w:tcPr>
            <w:shd w:fill="FFFFFF" w:val="solid"/>
            <w:tcMar>
              <w:top w:type="dxa" w:w="60"/>
              <w:left w:type="dxa" w:w="100"/>
              <w:bottom w:type="dxa" w:w="60"/>
              <w:right w:type="dxa" w:w="100"/>
            </w:tcMar>
          </w:tcPr>
          <w:p>
            <w:pPr>
              <w:spacing w:after="60" w:before="60"/>
            </w:pPr>
            <w:r>
              <w:rPr>
                <w:sz w:val="19"/>
                <w:szCs w:val="19"/>
              </w:rPr>
              <w:t xml:space="preserve">lib/api-spec/</w:t>
            </w:r>
          </w:p>
        </w:tc>
        <w:tc>
          <w:tcPr>
            <w:shd w:fill="FFFFFF" w:val="solid"/>
            <w:tcMar>
              <w:top w:type="dxa" w:w="60"/>
              <w:left w:type="dxa" w:w="100"/>
              <w:bottom w:type="dxa" w:w="60"/>
              <w:right w:type="dxa" w:w="100"/>
            </w:tcMar>
          </w:tcPr>
          <w:p>
            <w:pPr>
              <w:spacing w:after="60" w:before="60"/>
            </w:pPr>
            <w:r>
              <w:rPr>
                <w:sz w:val="19"/>
                <w:szCs w:val="19"/>
              </w:rPr>
              <w:t xml:space="preserve">@workspace/api-spec</w:t>
            </w:r>
          </w:p>
        </w:tc>
        <w:tc>
          <w:tcPr>
            <w:shd w:fill="FFFFFF" w:val="solid"/>
            <w:tcMar>
              <w:top w:type="dxa" w:w="60"/>
              <w:left w:type="dxa" w:w="100"/>
              <w:bottom w:type="dxa" w:w="60"/>
              <w:right w:type="dxa" w:w="100"/>
            </w:tcMar>
          </w:tcPr>
          <w:p>
            <w:pPr>
              <w:spacing w:after="60" w:before="60"/>
            </w:pPr>
            <w:r>
              <w:rPr>
                <w:sz w:val="19"/>
                <w:szCs w:val="19"/>
              </w:rPr>
              <w:t xml:space="preserve">OpenAPI 3.1 YAML specification and Orval code-generation configuration</w:t>
            </w:r>
          </w:p>
        </w:tc>
      </w:tr>
      <w:tr>
        <w:tc>
          <w:tcPr>
            <w:shd w:fill="EFF6FF" w:val="solid"/>
            <w:tcMar>
              <w:top w:type="dxa" w:w="60"/>
              <w:left w:type="dxa" w:w="100"/>
              <w:bottom w:type="dxa" w:w="60"/>
              <w:right w:type="dxa" w:w="100"/>
            </w:tcMar>
          </w:tcPr>
          <w:p>
            <w:pPr>
              <w:spacing w:after="60" w:before="60"/>
            </w:pPr>
            <w:r>
              <w:rPr>
                <w:sz w:val="19"/>
                <w:szCs w:val="19"/>
              </w:rPr>
              <w:t xml:space="preserve">lib/api-zod/</w:t>
            </w:r>
          </w:p>
        </w:tc>
        <w:tc>
          <w:tcPr>
            <w:shd w:fill="EFF6FF" w:val="solid"/>
            <w:tcMar>
              <w:top w:type="dxa" w:w="60"/>
              <w:left w:type="dxa" w:w="100"/>
              <w:bottom w:type="dxa" w:w="60"/>
              <w:right w:type="dxa" w:w="100"/>
            </w:tcMar>
          </w:tcPr>
          <w:p>
            <w:pPr>
              <w:spacing w:after="60" w:before="60"/>
            </w:pPr>
            <w:r>
              <w:rPr>
                <w:sz w:val="19"/>
                <w:szCs w:val="19"/>
              </w:rPr>
              <w:t xml:space="preserve">@workspace/api-zod</w:t>
            </w:r>
          </w:p>
        </w:tc>
        <w:tc>
          <w:tcPr>
            <w:shd w:fill="EFF6FF" w:val="solid"/>
            <w:tcMar>
              <w:top w:type="dxa" w:w="60"/>
              <w:left w:type="dxa" w:w="100"/>
              <w:bottom w:type="dxa" w:w="60"/>
              <w:right w:type="dxa" w:w="100"/>
            </w:tcMar>
          </w:tcPr>
          <w:p>
            <w:pPr>
              <w:spacing w:after="60" w:before="60"/>
            </w:pPr>
            <w:r>
              <w:rPr>
                <w:sz w:val="19"/>
                <w:szCs w:val="19"/>
              </w:rPr>
              <w:t xml:space="preserve">Auto-generated Zod schemas and typed React Query hooks (never edited by hand)</w:t>
            </w:r>
          </w:p>
        </w:tc>
      </w:tr>
      <w:tr>
        <w:tc>
          <w:tcPr>
            <w:shd w:fill="FFFFFF" w:val="solid"/>
            <w:tcMar>
              <w:top w:type="dxa" w:w="60"/>
              <w:left w:type="dxa" w:w="100"/>
              <w:bottom w:type="dxa" w:w="60"/>
              <w:right w:type="dxa" w:w="100"/>
            </w:tcMar>
          </w:tcPr>
          <w:p>
            <w:pPr>
              <w:spacing w:after="60" w:before="60"/>
            </w:pPr>
            <w:r>
              <w:rPr>
                <w:sz w:val="19"/>
                <w:szCs w:val="19"/>
              </w:rPr>
              <w:t xml:space="preserve">scripts/</w:t>
            </w:r>
          </w:p>
        </w:tc>
        <w:tc>
          <w:tcPr>
            <w:shd w:fill="FFFFFF" w:val="solid"/>
            <w:tcMar>
              <w:top w:type="dxa" w:w="60"/>
              <w:left w:type="dxa" w:w="100"/>
              <w:bottom w:type="dxa" w:w="60"/>
              <w:right w:type="dxa" w:w="100"/>
            </w:tcMar>
          </w:tcPr>
          <w:p>
            <w:pPr>
              <w:spacing w:after="60" w:before="60"/>
            </w:pPr>
            <w:r>
              <w:rPr>
                <w:sz w:val="19"/>
                <w:szCs w:val="19"/>
              </w:rPr>
              <w:t xml:space="preserve">@workspace/scripts</w:t>
            </w:r>
          </w:p>
        </w:tc>
        <w:tc>
          <w:tcPr>
            <w:shd w:fill="FFFFFF" w:val="solid"/>
            <w:tcMar>
              <w:top w:type="dxa" w:w="60"/>
              <w:left w:type="dxa" w:w="100"/>
              <w:bottom w:type="dxa" w:w="60"/>
              <w:right w:type="dxa" w:w="100"/>
            </w:tcMar>
          </w:tcPr>
          <w:p>
            <w:pPr>
              <w:spacing w:after="60" w:before="60"/>
            </w:pPr>
            <w:r>
              <w:rPr>
                <w:sz w:val="19"/>
                <w:szCs w:val="19"/>
              </w:rPr>
              <w:t xml:space="preserve">Utility scripts: data seeding, one-off data migrations, and admin tasks</w:t>
            </w:r>
          </w:p>
        </w:tc>
      </w:tr>
    </w:tbl>
    <w:p>
      <w:pPr>
        <w:spacing w:after="100"/>
      </w:pPr>
    </w:p>
    <w:p>
      <w:pPr>
        <w:pStyle w:val="Heading2"/>
        <w:spacing w:after="120" w:before="320"/>
      </w:pPr>
      <w:r>
        <w:t xml:space="preserve">4.2 End-to-End Request Flow</w:t>
      </w:r>
    </w:p>
    <w:p>
      <w:pPr>
        <w:spacing w:after="120" w:line="340"/>
      </w:pPr>
      <w:r>
        <w:rPr>
          <w:sz w:val="22"/>
          <w:szCs w:val="22"/>
        </w:rPr>
        <w:t xml:space="preserve">Every browser request passes through a global reverse proxy that routes traffic by URL path prefix:</w:t>
      </w:r>
    </w:p>
    <w:p>
      <w:pPr>
        <w:pStyle w:val="ListParagraph"/>
        <w:numPr>
          <w:ilvl w:val="0"/>
          <w:numId w:val="1"/>
        </w:numPr>
        <w:spacing w:after="80"/>
      </w:pPr>
      <w:r>
        <w:rPr>
          <w:sz w:val="22"/>
          <w:szCs w:val="22"/>
        </w:rPr>
        <w:t xml:space="preserve">Requests to / and all frontend sub-paths are served by the Vite-compiled React SPA (static HTML + JS bundles).</w:t>
      </w:r>
    </w:p>
    <w:p>
      <w:pPr>
        <w:pStyle w:val="ListParagraph"/>
        <w:numPr>
          <w:ilvl w:val="0"/>
          <w:numId w:val="1"/>
        </w:numPr>
        <w:spacing w:after="80"/>
      </w:pPr>
      <w:r>
        <w:rPr>
          <w:sz w:val="22"/>
          <w:szCs w:val="22"/>
        </w:rPr>
        <w:t xml:space="preserve">Requests to /api/* are proxied to the Express server running on its dedicated internal port.</w:t>
      </w:r>
    </w:p>
    <w:p>
      <w:pPr>
        <w:pStyle w:val="ListParagraph"/>
        <w:numPr>
          <w:ilvl w:val="0"/>
          <w:numId w:val="1"/>
        </w:numPr>
        <w:spacing w:after="80"/>
      </w:pPr>
      <w:r>
        <w:rPr>
          <w:sz w:val="22"/>
          <w:szCs w:val="22"/>
        </w:rPr>
        <w:t xml:space="preserve">The Express server validates inputs with Zod, queries PostgreSQL through Drizzle ORM, and returns JSON.</w:t>
      </w:r>
    </w:p>
    <w:p>
      <w:pPr>
        <w:pStyle w:val="ListParagraph"/>
        <w:numPr>
          <w:ilvl w:val="0"/>
          <w:numId w:val="1"/>
        </w:numPr>
        <w:spacing w:after="80"/>
      </w:pPr>
      <w:r>
        <w:rPr>
          <w:sz w:val="22"/>
          <w:szCs w:val="22"/>
        </w:rPr>
        <w:t xml:space="preserve">For external data (TLE feed, Launch Library 2), the server fetches, normalises, caches the response, and persists results in PostgreSQL before returning them to the client.</w:t>
      </w:r>
    </w:p>
    <w:p>
      <w:pPr>
        <w:pStyle w:val="ListParagraph"/>
        <w:numPr>
          <w:ilvl w:val="0"/>
          <w:numId w:val="1"/>
        </w:numPr>
        <w:spacing w:after="80"/>
      </w:pPr>
      <w:r>
        <w:rPr>
          <w:sz w:val="22"/>
          <w:szCs w:val="22"/>
        </w:rPr>
        <w:t xml:space="preserve">The React app consumes the API via auto-generated TanStack Query hooks — no manual fetch code is written on the frontend.</w:t>
      </w:r>
    </w:p>
    <w:p>
      <w:pPr>
        <w:spacing w:after="100"/>
      </w:pPr>
    </w:p>
    <w:p>
      <w:pPr>
        <w:pStyle w:val="Heading2"/>
        <w:spacing w:after="120" w:before="320"/>
      </w:pPr>
      <w:r>
        <w:t xml:space="preserve">4.3 Data Pipeline</w:t>
      </w:r>
    </w:p>
    <w:p>
      <w:pPr>
        <w:spacing w:after="120" w:line="340"/>
      </w:pPr>
      <w:r>
        <w:rPr>
          <w:sz w:val="22"/>
          <w:szCs w:val="22"/>
        </w:rPr>
        <w:t xml:space="preserve">TLE data is ingested from the Ivan Stanojević TLE JSON API, which mirrors the NORAD catalogue and exposes it as a clean paginated REST feed. The full pipeline:</w:t>
      </w:r>
    </w:p>
    <w:p>
      <w:pPr>
        <w:spacing w:after="80"/>
      </w:pPr>
      <w:r>
        <w:rPr>
          <w:b/>
          <w:bCs/>
          <w:sz w:val="22"/>
          <w:szCs w:val="22"/>
        </w:rPr>
        <w:t xml:space="preserve">Step 1 — Scheduled Fetch: </w:t>
      </w:r>
      <w:r>
        <w:rPr>
          <w:sz w:val="22"/>
          <w:szCs w:val="22"/>
        </w:rPr>
        <w:t xml:space="preserve">The background scheduler triggers every 6 hours, calling the TLE API endpoint and paginating through all object records.</w:t>
      </w:r>
    </w:p>
    <w:p>
      <w:pPr>
        <w:spacing w:after="80"/>
      </w:pPr>
      <w:r>
        <w:rPr>
          <w:b/>
          <w:bCs/>
          <w:sz w:val="22"/>
          <w:szCs w:val="22"/>
        </w:rPr>
        <w:t xml:space="preserve">Step 2 — Parse &amp; Normalise: </w:t>
      </w:r>
      <w:r>
        <w:rPr>
          <w:sz w:val="22"/>
          <w:szCs w:val="22"/>
        </w:rPr>
        <w:t xml:space="preserve">Raw TLE fields (epoch, mean motion, eccentricity, inclination, RAAN, argument of perigee, mean anomaly, BSTAR) are parsed and mapped to the internal database schema.</w:t>
      </w:r>
    </w:p>
    <w:p>
      <w:pPr>
        <w:spacing w:after="80"/>
      </w:pPr>
      <w:r>
        <w:rPr>
          <w:b/>
          <w:bCs/>
          <w:sz w:val="22"/>
          <w:szCs w:val="22"/>
        </w:rPr>
        <w:t xml:space="preserve">Step 3 — Classify by Orbit: </w:t>
      </w:r>
      <w:r>
        <w:rPr>
          <w:sz w:val="22"/>
          <w:szCs w:val="22"/>
        </w:rPr>
        <w:t xml:space="preserve">Each object is classified into LEO, MEO, GEO, or HEO by deriving its semi-major axis from mean motion using Kepler's third law, then comparing against standard altitude thresholds.</w:t>
      </w:r>
    </w:p>
    <w:p>
      <w:pPr>
        <w:spacing w:after="80"/>
      </w:pPr>
      <w:r>
        <w:rPr>
          <w:b/>
          <w:bCs/>
          <w:sz w:val="22"/>
          <w:szCs w:val="22"/>
        </w:rPr>
        <w:t xml:space="preserve">Step 4 — Upsert to Database: </w:t>
      </w:r>
      <w:r>
        <w:rPr>
          <w:sz w:val="22"/>
          <w:szCs w:val="22"/>
        </w:rPr>
        <w:t xml:space="preserve">Normalised records are inserted or updated in the satellites / debris tables using ON CONFLICT DO UPDATE, so re-ingestion is idempotent.</w:t>
      </w:r>
    </w:p>
    <w:p>
      <w:pPr>
        <w:spacing w:after="80"/>
      </w:pPr>
      <w:r>
        <w:rPr>
          <w:b/>
          <w:bCs/>
          <w:sz w:val="22"/>
          <w:szCs w:val="22"/>
        </w:rPr>
        <w:t xml:space="preserve">Step 5 — Risk Re-score: </w:t>
      </w:r>
      <w:r>
        <w:rPr>
          <w:sz w:val="22"/>
          <w:szCs w:val="22"/>
        </w:rPr>
        <w:t xml:space="preserve">The Risk Engine recalculates scores for all objects in a single database transaction after every successful data refresh.</w:t>
      </w:r>
    </w:p>
    <w:p>
      <w:pPr>
        <w:spacing w:after="80"/>
      </w:pPr>
      <w:r>
        <w:rPr>
          <w:b/>
          <w:bCs/>
          <w:sz w:val="22"/>
          <w:szCs w:val="22"/>
        </w:rPr>
        <w:t xml:space="preserve">Step 6 — Audit Log: </w:t>
      </w:r>
      <w:r>
        <w:rPr>
          <w:sz w:val="22"/>
          <w:szCs w:val="22"/>
        </w:rPr>
        <w:t xml:space="preserve">A data_refreshes record is written with object count fetched, pipeline duration, and success/failure status.</w:t>
      </w:r>
    </w:p>
    <w:p>
      <w:pPr>
        <w:spacing w:after="100"/>
      </w:pPr>
    </w:p>
    <w:p>
      <w:r>
        <w:br w:type="page"/>
      </w:r>
    </w:p>
    <w:p>
      <w:pPr>
        <w:pStyle w:val="Heading1"/>
        <w:spacing w:after="160" w:before="480"/>
      </w:pPr>
      <w:r>
        <w:t xml:space="preserve">5. Database Design</w:t>
      </w:r>
    </w:p>
    <w:p>
      <w:pPr>
        <w:spacing w:after="120" w:line="340"/>
      </w:pPr>
      <w:r>
        <w:rPr>
          <w:sz w:val="22"/>
          <w:szCs w:val="22"/>
        </w:rPr>
        <w:t xml:space="preserve">All persistent state is stored in PostgreSQL 16. The schema is defined in TypeScript using Drizzle ORM's schema DSL, which generates both fully-typed query builders and SQL migration files from the same source definitions.</w:t>
      </w:r>
    </w:p>
    <w:p>
      <w:pPr>
        <w:spacing w:after="100"/>
      </w:pPr>
    </w:p>
    <w:p>
      <w:pPr>
        <w:pStyle w:val="Heading2"/>
        <w:spacing w:after="120" w:before="320"/>
      </w:pPr>
      <w:r>
        <w:t xml:space="preserve">5.1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Table</w:t>
            </w:r>
          </w:p>
        </w:tc>
        <w:tc>
          <w:tcPr>
            <w:shd w:fill="1E3A5F" w:val="solid"/>
            <w:tcMar>
              <w:top w:type="dxa" w:w="60"/>
              <w:left w:type="dxa" w:w="100"/>
              <w:bottom w:type="dxa" w:w="60"/>
              <w:right w:type="dxa" w:w="100"/>
            </w:tcMar>
          </w:tcPr>
          <w:p>
            <w:pPr>
              <w:spacing w:after="60" w:before="60"/>
            </w:pPr>
            <w:r>
              <w:rPr>
                <w:b/>
                <w:bCs/>
                <w:color w:val="FFFFFF"/>
                <w:sz w:val="19"/>
                <w:szCs w:val="19"/>
              </w:rPr>
              <w:t xml:space="preserve">Primary Key</w:t>
            </w:r>
          </w:p>
        </w:tc>
        <w:tc>
          <w:tcPr>
            <w:shd w:fill="1E3A5F" w:val="solid"/>
            <w:tcMar>
              <w:top w:type="dxa" w:w="60"/>
              <w:left w:type="dxa" w:w="100"/>
              <w:bottom w:type="dxa" w:w="60"/>
              <w:right w:type="dxa" w:w="100"/>
            </w:tcMar>
          </w:tcPr>
          <w:p>
            <w:pPr>
              <w:spacing w:after="60" w:before="60"/>
            </w:pPr>
            <w:r>
              <w:rPr>
                <w:b/>
                <w:bCs/>
                <w:color w:val="FFFFFF"/>
                <w:sz w:val="19"/>
                <w:szCs w:val="19"/>
              </w:rPr>
              <w:t xml:space="preserve">Key Columns</w:t>
            </w:r>
          </w:p>
        </w:tc>
        <w:tc>
          <w:tcPr>
            <w:shd w:fill="1E3A5F" w:val="solid"/>
            <w:tcMar>
              <w:top w:type="dxa" w:w="60"/>
              <w:left w:type="dxa" w:w="100"/>
              <w:bottom w:type="dxa" w:w="60"/>
              <w:right w:type="dxa" w:w="100"/>
            </w:tcMar>
          </w:tcPr>
          <w:p>
            <w:pPr>
              <w:spacing w:after="60" w:before="60"/>
            </w:pPr>
            <w:r>
              <w:rPr>
                <w:b/>
                <w:bCs/>
                <w:color w:val="FFFFFF"/>
                <w:sz w:val="19"/>
                <w:szCs w:val="19"/>
              </w:rPr>
              <w:t xml:space="preserve">Purpose</w:t>
            </w:r>
          </w:p>
        </w:tc>
      </w:tr>
      <w:tr>
        <w:tc>
          <w:tcPr>
            <w:shd w:fill="EFF6FF" w:val="solid"/>
            <w:tcMar>
              <w:top w:type="dxa" w:w="60"/>
              <w:left w:type="dxa" w:w="100"/>
              <w:bottom w:type="dxa" w:w="60"/>
              <w:right w:type="dxa" w:w="100"/>
            </w:tcMar>
          </w:tcPr>
          <w:p>
            <w:pPr>
              <w:spacing w:after="60" w:before="60"/>
            </w:pPr>
            <w:r>
              <w:rPr>
                <w:sz w:val="19"/>
                <w:szCs w:val="19"/>
              </w:rPr>
              <w:t xml:space="preserve">satellites</w:t>
            </w:r>
          </w:p>
        </w:tc>
        <w:tc>
          <w:tcPr>
            <w:shd w:fill="EFF6FF" w:val="solid"/>
            <w:tcMar>
              <w:top w:type="dxa" w:w="60"/>
              <w:left w:type="dxa" w:w="100"/>
              <w:bottom w:type="dxa" w:w="60"/>
              <w:right w:type="dxa" w:w="100"/>
            </w:tcMar>
          </w:tcPr>
          <w:p>
            <w:pPr>
              <w:spacing w:after="60" w:before="60"/>
            </w:pPr>
            <w:r>
              <w:rPr>
                <w:sz w:val="19"/>
                <w:szCs w:val="19"/>
              </w:rPr>
              <w:t xml:space="preserve">id (serial)</w:t>
            </w:r>
          </w:p>
        </w:tc>
        <w:tc>
          <w:tcPr>
            <w:shd w:fill="EFF6FF" w:val="solid"/>
            <w:tcMar>
              <w:top w:type="dxa" w:w="60"/>
              <w:left w:type="dxa" w:w="100"/>
              <w:bottom w:type="dxa" w:w="60"/>
              <w:right w:type="dxa" w:w="100"/>
            </w:tcMar>
          </w:tcPr>
          <w:p>
            <w:pPr>
              <w:spacing w:after="60" w:before="60"/>
            </w:pPr>
            <w:r>
              <w:rPr>
                <w:sz w:val="19"/>
                <w:szCs w:val="19"/>
              </w:rPr>
              <w:t xml:space="preserve">norad_id, name, orbit_type, altitude_km, inclination, period_min, tle_line1, tle_line2, updated_at</w:t>
            </w:r>
          </w:p>
        </w:tc>
        <w:tc>
          <w:tcPr>
            <w:shd w:fill="EFF6FF" w:val="solid"/>
            <w:tcMar>
              <w:top w:type="dxa" w:w="60"/>
              <w:left w:type="dxa" w:w="100"/>
              <w:bottom w:type="dxa" w:w="60"/>
              <w:right w:type="dxa" w:w="100"/>
            </w:tcMar>
          </w:tcPr>
          <w:p>
            <w:pPr>
              <w:spacing w:after="60" w:before="60"/>
            </w:pPr>
            <w:r>
              <w:rPr>
                <w:sz w:val="19"/>
                <w:szCs w:val="19"/>
              </w:rPr>
              <w:t xml:space="preserve">Master catalogue of all active, tracked satellites</w:t>
            </w:r>
          </w:p>
        </w:tc>
      </w:tr>
      <w:tr>
        <w:tc>
          <w:tcPr>
            <w:shd w:fill="FFFFFF" w:val="solid"/>
            <w:tcMar>
              <w:top w:type="dxa" w:w="60"/>
              <w:left w:type="dxa" w:w="100"/>
              <w:bottom w:type="dxa" w:w="60"/>
              <w:right w:type="dxa" w:w="100"/>
            </w:tcMar>
          </w:tcPr>
          <w:p>
            <w:pPr>
              <w:spacing w:after="60" w:before="60"/>
            </w:pPr>
            <w:r>
              <w:rPr>
                <w:sz w:val="19"/>
                <w:szCs w:val="19"/>
              </w:rPr>
              <w:t xml:space="preserve">debris</w:t>
            </w:r>
          </w:p>
        </w:tc>
        <w:tc>
          <w:tcPr>
            <w:shd w:fill="FFFFFF" w:val="solid"/>
            <w:tcMar>
              <w:top w:type="dxa" w:w="60"/>
              <w:left w:type="dxa" w:w="100"/>
              <w:bottom w:type="dxa" w:w="60"/>
              <w:right w:type="dxa" w:w="100"/>
            </w:tcMar>
          </w:tcPr>
          <w:p>
            <w:pPr>
              <w:spacing w:after="60" w:before="60"/>
            </w:pPr>
            <w:r>
              <w:rPr>
                <w:sz w:val="19"/>
                <w:szCs w:val="19"/>
              </w:rPr>
              <w:t xml:space="preserve">id (serial)</w:t>
            </w:r>
          </w:p>
        </w:tc>
        <w:tc>
          <w:tcPr>
            <w:shd w:fill="FFFFFF" w:val="solid"/>
            <w:tcMar>
              <w:top w:type="dxa" w:w="60"/>
              <w:left w:type="dxa" w:w="100"/>
              <w:bottom w:type="dxa" w:w="60"/>
              <w:right w:type="dxa" w:w="100"/>
            </w:tcMar>
          </w:tcPr>
          <w:p>
            <w:pPr>
              <w:spacing w:after="60" w:before="60"/>
            </w:pPr>
            <w:r>
              <w:rPr>
                <w:sz w:val="19"/>
                <w:szCs w:val="19"/>
              </w:rPr>
              <w:t xml:space="preserve">norad_id, name, object_type, altitude_km, inclination, tle_line1, tle_line2, updated_at</w:t>
            </w:r>
          </w:p>
        </w:tc>
        <w:tc>
          <w:tcPr>
            <w:shd w:fill="FFFFFF" w:val="solid"/>
            <w:tcMar>
              <w:top w:type="dxa" w:w="60"/>
              <w:left w:type="dxa" w:w="100"/>
              <w:bottom w:type="dxa" w:w="60"/>
              <w:right w:type="dxa" w:w="100"/>
            </w:tcMar>
          </w:tcPr>
          <w:p>
            <w:pPr>
              <w:spacing w:after="60" w:before="60"/>
            </w:pPr>
            <w:r>
              <w:rPr>
                <w:sz w:val="19"/>
                <w:szCs w:val="19"/>
              </w:rPr>
              <w:t xml:space="preserve">Non-satellite orbital objects: rocket bodies, fragments, shrouds</w:t>
            </w:r>
          </w:p>
        </w:tc>
      </w:tr>
      <w:tr>
        <w:tc>
          <w:tcPr>
            <w:shd w:fill="EFF6FF" w:val="solid"/>
            <w:tcMar>
              <w:top w:type="dxa" w:w="60"/>
              <w:left w:type="dxa" w:w="100"/>
              <w:bottom w:type="dxa" w:w="60"/>
              <w:right w:type="dxa" w:w="100"/>
            </w:tcMar>
          </w:tcPr>
          <w:p>
            <w:pPr>
              <w:spacing w:after="60" w:before="60"/>
            </w:pPr>
            <w:r>
              <w:rPr>
                <w:sz w:val="19"/>
                <w:szCs w:val="19"/>
              </w:rPr>
              <w:t xml:space="preserve">risk_scores</w:t>
            </w:r>
          </w:p>
        </w:tc>
        <w:tc>
          <w:tcPr>
            <w:shd w:fill="EFF6FF" w:val="solid"/>
            <w:tcMar>
              <w:top w:type="dxa" w:w="60"/>
              <w:left w:type="dxa" w:w="100"/>
              <w:bottom w:type="dxa" w:w="60"/>
              <w:right w:type="dxa" w:w="100"/>
            </w:tcMar>
          </w:tcPr>
          <w:p>
            <w:pPr>
              <w:spacing w:after="60" w:before="60"/>
            </w:pPr>
            <w:r>
              <w:rPr>
                <w:sz w:val="19"/>
                <w:szCs w:val="19"/>
              </w:rPr>
              <w:t xml:space="preserve">id (serial)</w:t>
            </w:r>
          </w:p>
        </w:tc>
        <w:tc>
          <w:tcPr>
            <w:shd w:fill="EFF6FF" w:val="solid"/>
            <w:tcMar>
              <w:top w:type="dxa" w:w="60"/>
              <w:left w:type="dxa" w:w="100"/>
              <w:bottom w:type="dxa" w:w="60"/>
              <w:right w:type="dxa" w:w="100"/>
            </w:tcMar>
          </w:tcPr>
          <w:p>
            <w:pPr>
              <w:spacing w:after="60" w:before="60"/>
            </w:pPr>
            <w:r>
              <w:rPr>
                <w:sz w:val="19"/>
                <w:szCs w:val="19"/>
              </w:rPr>
              <w:t xml:space="preserve">norad_id, risk_level, risk_score (0–100), proximity_count, congestion_factor, updated_at</w:t>
            </w:r>
          </w:p>
        </w:tc>
        <w:tc>
          <w:tcPr>
            <w:shd w:fill="EFF6FF" w:val="solid"/>
            <w:tcMar>
              <w:top w:type="dxa" w:w="60"/>
              <w:left w:type="dxa" w:w="100"/>
              <w:bottom w:type="dxa" w:w="60"/>
              <w:right w:type="dxa" w:w="100"/>
            </w:tcMar>
          </w:tcPr>
          <w:p>
            <w:pPr>
              <w:spacing w:after="60" w:before="60"/>
            </w:pPr>
            <w:r>
              <w:rPr>
                <w:sz w:val="19"/>
                <w:szCs w:val="19"/>
              </w:rPr>
              <w:t xml:space="preserve">Computed multi-factor risk assessment for every tracked object</w:t>
            </w:r>
          </w:p>
        </w:tc>
      </w:tr>
      <w:tr>
        <w:tc>
          <w:tcPr>
            <w:shd w:fill="FFFFFF" w:val="solid"/>
            <w:tcMar>
              <w:top w:type="dxa" w:w="60"/>
              <w:left w:type="dxa" w:w="100"/>
              <w:bottom w:type="dxa" w:w="60"/>
              <w:right w:type="dxa" w:w="100"/>
            </w:tcMar>
          </w:tcPr>
          <w:p>
            <w:pPr>
              <w:spacing w:after="60" w:before="60"/>
            </w:pPr>
            <w:r>
              <w:rPr>
                <w:sz w:val="19"/>
                <w:szCs w:val="19"/>
              </w:rPr>
              <w:t xml:space="preserve">collision_events</w:t>
            </w:r>
          </w:p>
        </w:tc>
        <w:tc>
          <w:tcPr>
            <w:shd w:fill="FFFFFF" w:val="solid"/>
            <w:tcMar>
              <w:top w:type="dxa" w:w="60"/>
              <w:left w:type="dxa" w:w="100"/>
              <w:bottom w:type="dxa" w:w="60"/>
              <w:right w:type="dxa" w:w="100"/>
            </w:tcMar>
          </w:tcPr>
          <w:p>
            <w:pPr>
              <w:spacing w:after="60" w:before="60"/>
            </w:pPr>
            <w:r>
              <w:rPr>
                <w:sz w:val="19"/>
                <w:szCs w:val="19"/>
              </w:rPr>
              <w:t xml:space="preserve">id (serial)</w:t>
            </w:r>
          </w:p>
        </w:tc>
        <w:tc>
          <w:tcPr>
            <w:shd w:fill="FFFFFF" w:val="solid"/>
            <w:tcMar>
              <w:top w:type="dxa" w:w="60"/>
              <w:left w:type="dxa" w:w="100"/>
              <w:bottom w:type="dxa" w:w="60"/>
              <w:right w:type="dxa" w:w="100"/>
            </w:tcMar>
          </w:tcPr>
          <w:p>
            <w:pPr>
              <w:spacing w:after="60" w:before="60"/>
            </w:pPr>
            <w:r>
              <w:rPr>
                <w:sz w:val="19"/>
                <w:szCs w:val="19"/>
              </w:rPr>
              <w:t xml:space="preserve">object1_norad, object2_norad, miss_distance_km, probability, time_of_closest_approach, severity, detected_at</w:t>
            </w:r>
          </w:p>
        </w:tc>
        <w:tc>
          <w:tcPr>
            <w:shd w:fill="FFFFFF" w:val="solid"/>
            <w:tcMar>
              <w:top w:type="dxa" w:w="60"/>
              <w:left w:type="dxa" w:w="100"/>
              <w:bottom w:type="dxa" w:w="60"/>
              <w:right w:type="dxa" w:w="100"/>
            </w:tcMar>
          </w:tcPr>
          <w:p>
            <w:pPr>
              <w:spacing w:after="60" w:before="60"/>
            </w:pPr>
            <w:r>
              <w:rPr>
                <w:sz w:val="19"/>
                <w:szCs w:val="19"/>
              </w:rPr>
              <w:t xml:space="preserve">Log of detected conjunction and close-approach events</w:t>
            </w:r>
          </w:p>
        </w:tc>
      </w:tr>
      <w:tr>
        <w:tc>
          <w:tcPr>
            <w:shd w:fill="EFF6FF" w:val="solid"/>
            <w:tcMar>
              <w:top w:type="dxa" w:w="60"/>
              <w:left w:type="dxa" w:w="100"/>
              <w:bottom w:type="dxa" w:w="60"/>
              <w:right w:type="dxa" w:w="100"/>
            </w:tcMar>
          </w:tcPr>
          <w:p>
            <w:pPr>
              <w:spacing w:after="60" w:before="60"/>
            </w:pPr>
            <w:r>
              <w:rPr>
                <w:sz w:val="19"/>
                <w:szCs w:val="19"/>
              </w:rPr>
              <w:t xml:space="preserve">congestion_history</w:t>
            </w:r>
          </w:p>
        </w:tc>
        <w:tc>
          <w:tcPr>
            <w:shd w:fill="EFF6FF" w:val="solid"/>
            <w:tcMar>
              <w:top w:type="dxa" w:w="60"/>
              <w:left w:type="dxa" w:w="100"/>
              <w:bottom w:type="dxa" w:w="60"/>
              <w:right w:type="dxa" w:w="100"/>
            </w:tcMar>
          </w:tcPr>
          <w:p>
            <w:pPr>
              <w:spacing w:after="60" w:before="60"/>
            </w:pPr>
            <w:r>
              <w:rPr>
                <w:sz w:val="19"/>
                <w:szCs w:val="19"/>
              </w:rPr>
              <w:t xml:space="preserve">id (serial)</w:t>
            </w:r>
          </w:p>
        </w:tc>
        <w:tc>
          <w:tcPr>
            <w:shd w:fill="EFF6FF" w:val="solid"/>
            <w:tcMar>
              <w:top w:type="dxa" w:w="60"/>
              <w:left w:type="dxa" w:w="100"/>
              <w:bottom w:type="dxa" w:w="60"/>
              <w:right w:type="dxa" w:w="100"/>
            </w:tcMar>
          </w:tcPr>
          <w:p>
            <w:pPr>
              <w:spacing w:after="60" w:before="60"/>
            </w:pPr>
            <w:r>
              <w:rPr>
                <w:sz w:val="19"/>
                <w:szCs w:val="19"/>
              </w:rPr>
              <w:t xml:space="preserve">timestamp, orbit_band, object_count</w:t>
            </w:r>
          </w:p>
        </w:tc>
        <w:tc>
          <w:tcPr>
            <w:shd w:fill="EFF6FF" w:val="solid"/>
            <w:tcMar>
              <w:top w:type="dxa" w:w="60"/>
              <w:left w:type="dxa" w:w="100"/>
              <w:bottom w:type="dxa" w:w="60"/>
              <w:right w:type="dxa" w:w="100"/>
            </w:tcMar>
          </w:tcPr>
          <w:p>
            <w:pPr>
              <w:spacing w:after="60" w:before="60"/>
            </w:pPr>
            <w:r>
              <w:rPr>
                <w:sz w:val="19"/>
                <w:szCs w:val="19"/>
              </w:rPr>
              <w:t xml:space="preserve">Time-series snapshots of orbital population density per altitude band</w:t>
            </w:r>
          </w:p>
        </w:tc>
      </w:tr>
      <w:tr>
        <w:tc>
          <w:tcPr>
            <w:shd w:fill="FFFFFF" w:val="solid"/>
            <w:tcMar>
              <w:top w:type="dxa" w:w="60"/>
              <w:left w:type="dxa" w:w="100"/>
              <w:bottom w:type="dxa" w:w="60"/>
              <w:right w:type="dxa" w:w="100"/>
            </w:tcMar>
          </w:tcPr>
          <w:p>
            <w:pPr>
              <w:spacing w:after="60" w:before="60"/>
            </w:pPr>
            <w:r>
              <w:rPr>
                <w:sz w:val="19"/>
                <w:szCs w:val="19"/>
              </w:rPr>
              <w:t xml:space="preserve">data_refreshes</w:t>
            </w:r>
          </w:p>
        </w:tc>
        <w:tc>
          <w:tcPr>
            <w:shd w:fill="FFFFFF" w:val="solid"/>
            <w:tcMar>
              <w:top w:type="dxa" w:w="60"/>
              <w:left w:type="dxa" w:w="100"/>
              <w:bottom w:type="dxa" w:w="60"/>
              <w:right w:type="dxa" w:w="100"/>
            </w:tcMar>
          </w:tcPr>
          <w:p>
            <w:pPr>
              <w:spacing w:after="60" w:before="60"/>
            </w:pPr>
            <w:r>
              <w:rPr>
                <w:sz w:val="19"/>
                <w:szCs w:val="19"/>
              </w:rPr>
              <w:t xml:space="preserve">id (serial)</w:t>
            </w:r>
          </w:p>
        </w:tc>
        <w:tc>
          <w:tcPr>
            <w:shd w:fill="FFFFFF" w:val="solid"/>
            <w:tcMar>
              <w:top w:type="dxa" w:w="60"/>
              <w:left w:type="dxa" w:w="100"/>
              <w:bottom w:type="dxa" w:w="60"/>
              <w:right w:type="dxa" w:w="100"/>
            </w:tcMar>
          </w:tcPr>
          <w:p>
            <w:pPr>
              <w:spacing w:after="60" w:before="60"/>
            </w:pPr>
            <w:r>
              <w:rPr>
                <w:sz w:val="19"/>
                <w:szCs w:val="19"/>
              </w:rPr>
              <w:t xml:space="preserve">started_at, completed_at, status, objects_fetched, error_message</w:t>
            </w:r>
          </w:p>
        </w:tc>
        <w:tc>
          <w:tcPr>
            <w:shd w:fill="FFFFFF" w:val="solid"/>
            <w:tcMar>
              <w:top w:type="dxa" w:w="60"/>
              <w:left w:type="dxa" w:w="100"/>
              <w:bottom w:type="dxa" w:w="60"/>
              <w:right w:type="dxa" w:w="100"/>
            </w:tcMar>
          </w:tcPr>
          <w:p>
            <w:pPr>
              <w:spacing w:after="60" w:before="60"/>
            </w:pPr>
            <w:r>
              <w:rPr>
                <w:sz w:val="19"/>
                <w:szCs w:val="19"/>
              </w:rPr>
              <w:t xml:space="preserve">Audit trail for every TLE data-pipeline execution</w:t>
            </w:r>
          </w:p>
        </w:tc>
      </w:tr>
    </w:tbl>
    <w:p>
      <w:pPr>
        <w:spacing w:after="100"/>
      </w:pPr>
    </w:p>
    <w:p>
      <w:pPr>
        <w:pStyle w:val="Heading2"/>
        <w:spacing w:after="120" w:before="320"/>
      </w:pPr>
      <w:r>
        <w:t xml:space="preserve">5.2 Design Decisions</w:t>
      </w:r>
    </w:p>
    <w:p>
      <w:pPr>
        <w:pStyle w:val="ListParagraph"/>
        <w:numPr>
          <w:ilvl w:val="0"/>
          <w:numId w:val="1"/>
        </w:numPr>
        <w:spacing w:after="80"/>
      </w:pPr>
      <w:r>
        <w:rPr>
          <w:sz w:val="22"/>
          <w:szCs w:val="22"/>
        </w:rPr>
        <w:t xml:space="preserve">NORAD IDs are used as the universal object identifier across all tables, matching the international standard used by Space-Track.org, CelesTrak, and the broader SSA community.</w:t>
      </w:r>
    </w:p>
    <w:p>
      <w:pPr>
        <w:pStyle w:val="ListParagraph"/>
        <w:numPr>
          <w:ilvl w:val="0"/>
          <w:numId w:val="1"/>
        </w:numPr>
        <w:spacing w:after="80"/>
      </w:pPr>
      <w:r>
        <w:rPr>
          <w:sz w:val="22"/>
          <w:szCs w:val="22"/>
        </w:rPr>
        <w:t xml:space="preserve">Raw TLE strings (line1, line2) are stored in the database so the frontend can run SGP4 propagation in-browser via satellite.js without any additional server round-trips.</w:t>
      </w:r>
    </w:p>
    <w:p>
      <w:pPr>
        <w:pStyle w:val="ListParagraph"/>
        <w:numPr>
          <w:ilvl w:val="0"/>
          <w:numId w:val="1"/>
        </w:numPr>
        <w:spacing w:after="80"/>
      </w:pPr>
      <w:r>
        <w:rPr>
          <w:sz w:val="22"/>
          <w:szCs w:val="22"/>
        </w:rPr>
        <w:t xml:space="preserve">Risk scores are stored in a separate table (not embedded in satellites) to allow independent refresh cycles and future versioning of the scoring model.</w:t>
      </w:r>
    </w:p>
    <w:p>
      <w:pPr>
        <w:pStyle w:val="ListParagraph"/>
        <w:numPr>
          <w:ilvl w:val="0"/>
          <w:numId w:val="1"/>
        </w:numPr>
        <w:spacing w:after="80"/>
      </w:pPr>
      <w:r>
        <w:rPr>
          <w:sz w:val="22"/>
          <w:szCs w:val="22"/>
        </w:rPr>
        <w:t xml:space="preserve">Drizzle Kit manages all schema evolution via SQL diff files committed alongside the source code, ensuring reproducible deployments.</w:t>
      </w:r>
    </w:p>
    <w:p>
      <w:pPr>
        <w:spacing w:after="100"/>
      </w:pPr>
    </w:p>
    <w:p>
      <w:r>
        <w:br w:type="page"/>
      </w:r>
    </w:p>
    <w:p>
      <w:pPr>
        <w:pStyle w:val="Heading1"/>
        <w:spacing w:after="160" w:before="480"/>
      </w:pPr>
      <w:r>
        <w:t xml:space="preserve">6. API Design</w:t>
      </w:r>
    </w:p>
    <w:p>
      <w:pPr>
        <w:spacing w:after="120" w:line="340"/>
      </w:pPr>
      <w:r>
        <w:rPr>
          <w:sz w:val="22"/>
          <w:szCs w:val="22"/>
        </w:rPr>
        <w:t xml:space="preserve">The backend exposes a RESTful JSON API fully documented with an OpenAPI 3.1 YAML specification. All endpoints share consistent response shapes, error formats, and pagination conventions. Zod schemas — auto-generated from the OpenAPI spec by Orval — validate every request and response at runtime.</w:t>
      </w:r>
    </w:p>
    <w:p>
      <w:pPr>
        <w:spacing w:after="100"/>
      </w:pPr>
    </w:p>
    <w:p>
      <w:pPr>
        <w:pStyle w:val="Heading2"/>
        <w:spacing w:after="120" w:before="320"/>
      </w:pPr>
      <w:r>
        <w:t xml:space="preserve">6.1 Complete Endpoint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Method</w:t>
            </w:r>
          </w:p>
        </w:tc>
        <w:tc>
          <w:tcPr>
            <w:shd w:fill="1E3A5F" w:val="solid"/>
            <w:tcMar>
              <w:top w:type="dxa" w:w="60"/>
              <w:left w:type="dxa" w:w="100"/>
              <w:bottom w:type="dxa" w:w="60"/>
              <w:right w:type="dxa" w:w="100"/>
            </w:tcMar>
          </w:tcPr>
          <w:p>
            <w:pPr>
              <w:spacing w:after="60" w:before="60"/>
            </w:pPr>
            <w:r>
              <w:rPr>
                <w:b/>
                <w:bCs/>
                <w:color w:val="FFFFFF"/>
                <w:sz w:val="19"/>
                <w:szCs w:val="19"/>
              </w:rPr>
              <w:t xml:space="preserve">Path</w:t>
            </w:r>
          </w:p>
        </w:tc>
        <w:tc>
          <w:tcPr>
            <w:shd w:fill="1E3A5F" w:val="solid"/>
            <w:tcMar>
              <w:top w:type="dxa" w:w="60"/>
              <w:left w:type="dxa" w:w="100"/>
              <w:bottom w:type="dxa" w:w="60"/>
              <w:right w:type="dxa" w:w="100"/>
            </w:tcMar>
          </w:tcPr>
          <w:p>
            <w:pPr>
              <w:spacing w:after="60" w:before="60"/>
            </w:pPr>
            <w:r>
              <w:rPr>
                <w:b/>
                <w:bCs/>
                <w:color w:val="FFFFFF"/>
                <w:sz w:val="19"/>
                <w:szCs w:val="19"/>
              </w:rPr>
              <w:t xml:space="preserve">Description</w:t>
            </w:r>
          </w:p>
        </w:tc>
      </w:tr>
      <w:tr>
        <w:tc>
          <w:tcPr>
            <w:shd w:fill="EFF6FF" w:val="solid"/>
            <w:tcMar>
              <w:top w:type="dxa" w:w="60"/>
              <w:left w:type="dxa" w:w="100"/>
              <w:bottom w:type="dxa" w:w="60"/>
              <w:right w:type="dxa" w:w="100"/>
            </w:tcMar>
          </w:tcPr>
          <w:p>
            <w:pPr>
              <w:spacing w:after="60" w:before="60"/>
            </w:pPr>
            <w:r>
              <w:rPr>
                <w:sz w:val="19"/>
                <w:szCs w:val="19"/>
              </w:rPr>
              <w:t xml:space="preserve">GET</w:t>
            </w:r>
          </w:p>
        </w:tc>
        <w:tc>
          <w:tcPr>
            <w:shd w:fill="EFF6FF" w:val="solid"/>
            <w:tcMar>
              <w:top w:type="dxa" w:w="60"/>
              <w:left w:type="dxa" w:w="100"/>
              <w:bottom w:type="dxa" w:w="60"/>
              <w:right w:type="dxa" w:w="100"/>
            </w:tcMar>
          </w:tcPr>
          <w:p>
            <w:pPr>
              <w:spacing w:after="60" w:before="60"/>
            </w:pPr>
            <w:r>
              <w:rPr>
                <w:sz w:val="19"/>
                <w:szCs w:val="19"/>
              </w:rPr>
              <w:t xml:space="preserve">/api/healthz</w:t>
            </w:r>
          </w:p>
        </w:tc>
        <w:tc>
          <w:tcPr>
            <w:shd w:fill="EFF6FF" w:val="solid"/>
            <w:tcMar>
              <w:top w:type="dxa" w:w="60"/>
              <w:left w:type="dxa" w:w="100"/>
              <w:bottom w:type="dxa" w:w="60"/>
              <w:right w:type="dxa" w:w="100"/>
            </w:tcMar>
          </w:tcPr>
          <w:p>
            <w:pPr>
              <w:spacing w:after="60" w:before="60"/>
            </w:pPr>
            <w:r>
              <w:rPr>
                <w:sz w:val="19"/>
                <w:szCs w:val="19"/>
              </w:rPr>
              <w:t xml:space="preserve">Liveness probe — returns HTTP 200 with server timestamp</w:t>
            </w:r>
          </w:p>
        </w:tc>
      </w:tr>
      <w:tr>
        <w:tc>
          <w:tcPr>
            <w:shd w:fill="FFFFFF" w:val="solid"/>
            <w:tcMar>
              <w:top w:type="dxa" w:w="60"/>
              <w:left w:type="dxa" w:w="100"/>
              <w:bottom w:type="dxa" w:w="60"/>
              <w:right w:type="dxa" w:w="100"/>
            </w:tcMar>
          </w:tcPr>
          <w:p>
            <w:pPr>
              <w:spacing w:after="60" w:before="60"/>
            </w:pPr>
            <w:r>
              <w:rPr>
                <w:sz w:val="19"/>
                <w:szCs w:val="19"/>
              </w:rPr>
              <w:t xml:space="preserve">GET</w:t>
            </w:r>
          </w:p>
        </w:tc>
        <w:tc>
          <w:tcPr>
            <w:shd w:fill="FFFFFF" w:val="solid"/>
            <w:tcMar>
              <w:top w:type="dxa" w:w="60"/>
              <w:left w:type="dxa" w:w="100"/>
              <w:bottom w:type="dxa" w:w="60"/>
              <w:right w:type="dxa" w:w="100"/>
            </w:tcMar>
          </w:tcPr>
          <w:p>
            <w:pPr>
              <w:spacing w:after="60" w:before="60"/>
            </w:pPr>
            <w:r>
              <w:rPr>
                <w:sz w:val="19"/>
                <w:szCs w:val="19"/>
              </w:rPr>
              <w:t xml:space="preserve">/api/satellites</w:t>
            </w:r>
          </w:p>
        </w:tc>
        <w:tc>
          <w:tcPr>
            <w:shd w:fill="FFFFFF" w:val="solid"/>
            <w:tcMar>
              <w:top w:type="dxa" w:w="60"/>
              <w:left w:type="dxa" w:w="100"/>
              <w:bottom w:type="dxa" w:w="60"/>
              <w:right w:type="dxa" w:w="100"/>
            </w:tcMar>
          </w:tcPr>
          <w:p>
            <w:pPr>
              <w:spacing w:after="60" w:before="60"/>
            </w:pPr>
            <w:r>
              <w:rPr>
                <w:sz w:val="19"/>
                <w:szCs w:val="19"/>
              </w:rPr>
              <w:t xml:space="preserve">Paginated satellite list (query params: page, limit, search, orbitType)</w:t>
            </w:r>
          </w:p>
        </w:tc>
      </w:tr>
      <w:tr>
        <w:tc>
          <w:tcPr>
            <w:shd w:fill="EFF6FF" w:val="solid"/>
            <w:tcMar>
              <w:top w:type="dxa" w:w="60"/>
              <w:left w:type="dxa" w:w="100"/>
              <w:bottom w:type="dxa" w:w="60"/>
              <w:right w:type="dxa" w:w="100"/>
            </w:tcMar>
          </w:tcPr>
          <w:p>
            <w:pPr>
              <w:spacing w:after="60" w:before="60"/>
            </w:pPr>
            <w:r>
              <w:rPr>
                <w:sz w:val="19"/>
                <w:szCs w:val="19"/>
              </w:rPr>
              <w:t xml:space="preserve">GET</w:t>
            </w:r>
          </w:p>
        </w:tc>
        <w:tc>
          <w:tcPr>
            <w:shd w:fill="EFF6FF" w:val="solid"/>
            <w:tcMar>
              <w:top w:type="dxa" w:w="60"/>
              <w:left w:type="dxa" w:w="100"/>
              <w:bottom w:type="dxa" w:w="60"/>
              <w:right w:type="dxa" w:w="100"/>
            </w:tcMar>
          </w:tcPr>
          <w:p>
            <w:pPr>
              <w:spacing w:after="60" w:before="60"/>
            </w:pPr>
            <w:r>
              <w:rPr>
                <w:sz w:val="19"/>
                <w:szCs w:val="19"/>
              </w:rPr>
              <w:t xml:space="preserve">/api/satellites/:id</w:t>
            </w:r>
          </w:p>
        </w:tc>
        <w:tc>
          <w:tcPr>
            <w:shd w:fill="EFF6FF" w:val="solid"/>
            <w:tcMar>
              <w:top w:type="dxa" w:w="60"/>
              <w:left w:type="dxa" w:w="100"/>
              <w:bottom w:type="dxa" w:w="60"/>
              <w:right w:type="dxa" w:w="100"/>
            </w:tcMar>
          </w:tcPr>
          <w:p>
            <w:pPr>
              <w:spacing w:after="60" w:before="60"/>
            </w:pPr>
            <w:r>
              <w:rPr>
                <w:sz w:val="19"/>
                <w:szCs w:val="19"/>
              </w:rPr>
              <w:t xml:space="preserve">Full detail for one satellite including TLE lines and risk score</w:t>
            </w:r>
          </w:p>
        </w:tc>
      </w:tr>
      <w:tr>
        <w:tc>
          <w:tcPr>
            <w:shd w:fill="FFFFFF" w:val="solid"/>
            <w:tcMar>
              <w:top w:type="dxa" w:w="60"/>
              <w:left w:type="dxa" w:w="100"/>
              <w:bottom w:type="dxa" w:w="60"/>
              <w:right w:type="dxa" w:w="100"/>
            </w:tcMar>
          </w:tcPr>
          <w:p>
            <w:pPr>
              <w:spacing w:after="60" w:before="60"/>
            </w:pPr>
            <w:r>
              <w:rPr>
                <w:sz w:val="19"/>
                <w:szCs w:val="19"/>
              </w:rPr>
              <w:t xml:space="preserve">GET</w:t>
            </w:r>
          </w:p>
        </w:tc>
        <w:tc>
          <w:tcPr>
            <w:shd w:fill="FFFFFF" w:val="solid"/>
            <w:tcMar>
              <w:top w:type="dxa" w:w="60"/>
              <w:left w:type="dxa" w:w="100"/>
              <w:bottom w:type="dxa" w:w="60"/>
              <w:right w:type="dxa" w:w="100"/>
            </w:tcMar>
          </w:tcPr>
          <w:p>
            <w:pPr>
              <w:spacing w:after="60" w:before="60"/>
            </w:pPr>
            <w:r>
              <w:rPr>
                <w:sz w:val="19"/>
                <w:szCs w:val="19"/>
              </w:rPr>
              <w:t xml:space="preserve">/api/debris</w:t>
            </w:r>
          </w:p>
        </w:tc>
        <w:tc>
          <w:tcPr>
            <w:shd w:fill="FFFFFF" w:val="solid"/>
            <w:tcMar>
              <w:top w:type="dxa" w:w="60"/>
              <w:left w:type="dxa" w:w="100"/>
              <w:bottom w:type="dxa" w:w="60"/>
              <w:right w:type="dxa" w:w="100"/>
            </w:tcMar>
          </w:tcPr>
          <w:p>
            <w:pPr>
              <w:spacing w:after="60" w:before="60"/>
            </w:pPr>
            <w:r>
              <w:rPr>
                <w:sz w:val="19"/>
                <w:szCs w:val="19"/>
              </w:rPr>
              <w:t xml:space="preserve">Paginated list of debris and rocket bodies</w:t>
            </w:r>
          </w:p>
        </w:tc>
      </w:tr>
      <w:tr>
        <w:tc>
          <w:tcPr>
            <w:shd w:fill="EFF6FF" w:val="solid"/>
            <w:tcMar>
              <w:top w:type="dxa" w:w="60"/>
              <w:left w:type="dxa" w:w="100"/>
              <w:bottom w:type="dxa" w:w="60"/>
              <w:right w:type="dxa" w:w="100"/>
            </w:tcMar>
          </w:tcPr>
          <w:p>
            <w:pPr>
              <w:spacing w:after="60" w:before="60"/>
            </w:pPr>
            <w:r>
              <w:rPr>
                <w:sz w:val="19"/>
                <w:szCs w:val="19"/>
              </w:rPr>
              <w:t xml:space="preserve">GET</w:t>
            </w:r>
          </w:p>
        </w:tc>
        <w:tc>
          <w:tcPr>
            <w:shd w:fill="EFF6FF" w:val="solid"/>
            <w:tcMar>
              <w:top w:type="dxa" w:w="60"/>
              <w:left w:type="dxa" w:w="100"/>
              <w:bottom w:type="dxa" w:w="60"/>
              <w:right w:type="dxa" w:w="100"/>
            </w:tcMar>
          </w:tcPr>
          <w:p>
            <w:pPr>
              <w:spacing w:after="60" w:before="60"/>
            </w:pPr>
            <w:r>
              <w:rPr>
                <w:sz w:val="19"/>
                <w:szCs w:val="19"/>
              </w:rPr>
              <w:t xml:space="preserve">/api/analytics/overview</w:t>
            </w:r>
          </w:p>
        </w:tc>
        <w:tc>
          <w:tcPr>
            <w:shd w:fill="EFF6FF" w:val="solid"/>
            <w:tcMar>
              <w:top w:type="dxa" w:w="60"/>
              <w:left w:type="dxa" w:w="100"/>
              <w:bottom w:type="dxa" w:w="60"/>
              <w:right w:type="dxa" w:w="100"/>
            </w:tcMar>
          </w:tcPr>
          <w:p>
            <w:pPr>
              <w:spacing w:after="60" w:before="60"/>
            </w:pPr>
            <w:r>
              <w:rPr>
                <w:sz w:val="19"/>
                <w:szCs w:val="19"/>
              </w:rPr>
              <w:t xml:space="preserve">Aggregate counts: total objects, grouped by orbit type and risk level</w:t>
            </w:r>
          </w:p>
        </w:tc>
      </w:tr>
      <w:tr>
        <w:tc>
          <w:tcPr>
            <w:shd w:fill="FFFFFF" w:val="solid"/>
            <w:tcMar>
              <w:top w:type="dxa" w:w="60"/>
              <w:left w:type="dxa" w:w="100"/>
              <w:bottom w:type="dxa" w:w="60"/>
              <w:right w:type="dxa" w:w="100"/>
            </w:tcMar>
          </w:tcPr>
          <w:p>
            <w:pPr>
              <w:spacing w:after="60" w:before="60"/>
            </w:pPr>
            <w:r>
              <w:rPr>
                <w:sz w:val="19"/>
                <w:szCs w:val="19"/>
              </w:rPr>
              <w:t xml:space="preserve">GET</w:t>
            </w:r>
          </w:p>
        </w:tc>
        <w:tc>
          <w:tcPr>
            <w:shd w:fill="FFFFFF" w:val="solid"/>
            <w:tcMar>
              <w:top w:type="dxa" w:w="60"/>
              <w:left w:type="dxa" w:w="100"/>
              <w:bottom w:type="dxa" w:w="60"/>
              <w:right w:type="dxa" w:w="100"/>
            </w:tcMar>
          </w:tcPr>
          <w:p>
            <w:pPr>
              <w:spacing w:after="60" w:before="60"/>
            </w:pPr>
            <w:r>
              <w:rPr>
                <w:sz w:val="19"/>
                <w:szCs w:val="19"/>
              </w:rPr>
              <w:t xml:space="preserve">/api/analytics/congestion</w:t>
            </w:r>
          </w:p>
        </w:tc>
        <w:tc>
          <w:tcPr>
            <w:shd w:fill="FFFFFF" w:val="solid"/>
            <w:tcMar>
              <w:top w:type="dxa" w:w="60"/>
              <w:left w:type="dxa" w:w="100"/>
              <w:bottom w:type="dxa" w:w="60"/>
              <w:right w:type="dxa" w:w="100"/>
            </w:tcMar>
          </w:tcPr>
          <w:p>
            <w:pPr>
              <w:spacing w:after="60" w:before="60"/>
            </w:pPr>
            <w:r>
              <w:rPr>
                <w:sz w:val="19"/>
                <w:szCs w:val="19"/>
              </w:rPr>
              <w:t xml:space="preserve">Orbital density grouped by altitude band (km shells)</w:t>
            </w:r>
          </w:p>
        </w:tc>
      </w:tr>
      <w:tr>
        <w:tc>
          <w:tcPr>
            <w:shd w:fill="EFF6FF" w:val="solid"/>
            <w:tcMar>
              <w:top w:type="dxa" w:w="60"/>
              <w:left w:type="dxa" w:w="100"/>
              <w:bottom w:type="dxa" w:w="60"/>
              <w:right w:type="dxa" w:w="100"/>
            </w:tcMar>
          </w:tcPr>
          <w:p>
            <w:pPr>
              <w:spacing w:after="60" w:before="60"/>
            </w:pPr>
            <w:r>
              <w:rPr>
                <w:sz w:val="19"/>
                <w:szCs w:val="19"/>
              </w:rPr>
              <w:t xml:space="preserve">GET</w:t>
            </w:r>
          </w:p>
        </w:tc>
        <w:tc>
          <w:tcPr>
            <w:shd w:fill="EFF6FF" w:val="solid"/>
            <w:tcMar>
              <w:top w:type="dxa" w:w="60"/>
              <w:left w:type="dxa" w:w="100"/>
              <w:bottom w:type="dxa" w:w="60"/>
              <w:right w:type="dxa" w:w="100"/>
            </w:tcMar>
          </w:tcPr>
          <w:p>
            <w:pPr>
              <w:spacing w:after="60" w:before="60"/>
            </w:pPr>
            <w:r>
              <w:rPr>
                <w:sz w:val="19"/>
                <w:szCs w:val="19"/>
              </w:rPr>
              <w:t xml:space="preserve">/api/analytics/forecast</w:t>
            </w:r>
          </w:p>
        </w:tc>
        <w:tc>
          <w:tcPr>
            <w:shd w:fill="EFF6FF" w:val="solid"/>
            <w:tcMar>
              <w:top w:type="dxa" w:w="60"/>
              <w:left w:type="dxa" w:w="100"/>
              <w:bottom w:type="dxa" w:w="60"/>
              <w:right w:type="dxa" w:w="100"/>
            </w:tcMar>
          </w:tcPr>
          <w:p>
            <w:pPr>
              <w:spacing w:after="60" w:before="60"/>
            </w:pPr>
            <w:r>
              <w:rPr>
                <w:sz w:val="19"/>
                <w:szCs w:val="19"/>
              </w:rPr>
              <w:t xml:space="preserve">Projected orbital population growth for the next 5 years</w:t>
            </w:r>
          </w:p>
        </w:tc>
      </w:tr>
      <w:tr>
        <w:tc>
          <w:tcPr>
            <w:shd w:fill="FFFFFF" w:val="solid"/>
            <w:tcMar>
              <w:top w:type="dxa" w:w="60"/>
              <w:left w:type="dxa" w:w="100"/>
              <w:bottom w:type="dxa" w:w="60"/>
              <w:right w:type="dxa" w:w="100"/>
            </w:tcMar>
          </w:tcPr>
          <w:p>
            <w:pPr>
              <w:spacing w:after="60" w:before="60"/>
            </w:pPr>
            <w:r>
              <w:rPr>
                <w:sz w:val="19"/>
                <w:szCs w:val="19"/>
              </w:rPr>
              <w:t xml:space="preserve">GET</w:t>
            </w:r>
          </w:p>
        </w:tc>
        <w:tc>
          <w:tcPr>
            <w:shd w:fill="FFFFFF" w:val="solid"/>
            <w:tcMar>
              <w:top w:type="dxa" w:w="60"/>
              <w:left w:type="dxa" w:w="100"/>
              <w:bottom w:type="dxa" w:w="60"/>
              <w:right w:type="dxa" w:w="100"/>
            </w:tcMar>
          </w:tcPr>
          <w:p>
            <w:pPr>
              <w:spacing w:after="60" w:before="60"/>
            </w:pPr>
            <w:r>
              <w:rPr>
                <w:sz w:val="19"/>
                <w:szCs w:val="19"/>
              </w:rPr>
              <w:t xml:space="preserve">/api/risk/scores</w:t>
            </w:r>
          </w:p>
        </w:tc>
        <w:tc>
          <w:tcPr>
            <w:shd w:fill="FFFFFF" w:val="solid"/>
            <w:tcMar>
              <w:top w:type="dxa" w:w="60"/>
              <w:left w:type="dxa" w:w="100"/>
              <w:bottom w:type="dxa" w:w="60"/>
              <w:right w:type="dxa" w:w="100"/>
            </w:tcMar>
          </w:tcPr>
          <w:p>
            <w:pPr>
              <w:spacing w:after="60" w:before="60"/>
            </w:pPr>
            <w:r>
              <w:rPr>
                <w:sz w:val="19"/>
                <w:szCs w:val="19"/>
              </w:rPr>
              <w:t xml:space="preserve">All objects ranked by risk score, highest first</w:t>
            </w:r>
          </w:p>
        </w:tc>
      </w:tr>
      <w:tr>
        <w:tc>
          <w:tcPr>
            <w:shd w:fill="EFF6FF" w:val="solid"/>
            <w:tcMar>
              <w:top w:type="dxa" w:w="60"/>
              <w:left w:type="dxa" w:w="100"/>
              <w:bottom w:type="dxa" w:w="60"/>
              <w:right w:type="dxa" w:w="100"/>
            </w:tcMar>
          </w:tcPr>
          <w:p>
            <w:pPr>
              <w:spacing w:after="60" w:before="60"/>
            </w:pPr>
            <w:r>
              <w:rPr>
                <w:sz w:val="19"/>
                <w:szCs w:val="19"/>
              </w:rPr>
              <w:t xml:space="preserve">GET</w:t>
            </w:r>
          </w:p>
        </w:tc>
        <w:tc>
          <w:tcPr>
            <w:shd w:fill="EFF6FF" w:val="solid"/>
            <w:tcMar>
              <w:top w:type="dxa" w:w="60"/>
              <w:left w:type="dxa" w:w="100"/>
              <w:bottom w:type="dxa" w:w="60"/>
              <w:right w:type="dxa" w:w="100"/>
            </w:tcMar>
          </w:tcPr>
          <w:p>
            <w:pPr>
              <w:spacing w:after="60" w:before="60"/>
            </w:pPr>
            <w:r>
              <w:rPr>
                <w:sz w:val="19"/>
                <w:szCs w:val="19"/>
              </w:rPr>
              <w:t xml:space="preserve">/api/risk/scores/:noradId</w:t>
            </w:r>
          </w:p>
        </w:tc>
        <w:tc>
          <w:tcPr>
            <w:shd w:fill="EFF6FF" w:val="solid"/>
            <w:tcMar>
              <w:top w:type="dxa" w:w="60"/>
              <w:left w:type="dxa" w:w="100"/>
              <w:bottom w:type="dxa" w:w="60"/>
              <w:right w:type="dxa" w:w="100"/>
            </w:tcMar>
          </w:tcPr>
          <w:p>
            <w:pPr>
              <w:spacing w:after="60" w:before="60"/>
            </w:pPr>
            <w:r>
              <w:rPr>
                <w:sz w:val="19"/>
                <w:szCs w:val="19"/>
              </w:rPr>
              <w:t xml:space="preserve">Risk score and factor breakdown for a specific object</w:t>
            </w:r>
          </w:p>
        </w:tc>
      </w:tr>
      <w:tr>
        <w:tc>
          <w:tcPr>
            <w:shd w:fill="FFFFFF" w:val="solid"/>
            <w:tcMar>
              <w:top w:type="dxa" w:w="60"/>
              <w:left w:type="dxa" w:w="100"/>
              <w:bottom w:type="dxa" w:w="60"/>
              <w:right w:type="dxa" w:w="100"/>
            </w:tcMar>
          </w:tcPr>
          <w:p>
            <w:pPr>
              <w:spacing w:after="60" w:before="60"/>
            </w:pPr>
            <w:r>
              <w:rPr>
                <w:sz w:val="19"/>
                <w:szCs w:val="19"/>
              </w:rPr>
              <w:t xml:space="preserve">GET</w:t>
            </w:r>
          </w:p>
        </w:tc>
        <w:tc>
          <w:tcPr>
            <w:shd w:fill="FFFFFF" w:val="solid"/>
            <w:tcMar>
              <w:top w:type="dxa" w:w="60"/>
              <w:left w:type="dxa" w:w="100"/>
              <w:bottom w:type="dxa" w:w="60"/>
              <w:right w:type="dxa" w:w="100"/>
            </w:tcMar>
          </w:tcPr>
          <w:p>
            <w:pPr>
              <w:spacing w:after="60" w:before="60"/>
            </w:pPr>
            <w:r>
              <w:rPr>
                <w:sz w:val="19"/>
                <w:szCs w:val="19"/>
              </w:rPr>
              <w:t xml:space="preserve">/api/collisions</w:t>
            </w:r>
          </w:p>
        </w:tc>
        <w:tc>
          <w:tcPr>
            <w:shd w:fill="FFFFFF" w:val="solid"/>
            <w:tcMar>
              <w:top w:type="dxa" w:w="60"/>
              <w:left w:type="dxa" w:w="100"/>
              <w:bottom w:type="dxa" w:w="60"/>
              <w:right w:type="dxa" w:w="100"/>
            </w:tcMar>
          </w:tcPr>
          <w:p>
            <w:pPr>
              <w:spacing w:after="60" w:before="60"/>
            </w:pPr>
            <w:r>
              <w:rPr>
                <w:sz w:val="19"/>
                <w:szCs w:val="19"/>
              </w:rPr>
              <w:t xml:space="preserve">Active conjunction warning list with severity and probability</w:t>
            </w:r>
          </w:p>
        </w:tc>
      </w:tr>
      <w:tr>
        <w:tc>
          <w:tcPr>
            <w:shd w:fill="EFF6FF" w:val="solid"/>
            <w:tcMar>
              <w:top w:type="dxa" w:w="60"/>
              <w:left w:type="dxa" w:w="100"/>
              <w:bottom w:type="dxa" w:w="60"/>
              <w:right w:type="dxa" w:w="100"/>
            </w:tcMar>
          </w:tcPr>
          <w:p>
            <w:pPr>
              <w:spacing w:after="60" w:before="60"/>
            </w:pPr>
            <w:r>
              <w:rPr>
                <w:sz w:val="19"/>
                <w:szCs w:val="19"/>
              </w:rPr>
              <w:t xml:space="preserve">GET</w:t>
            </w:r>
          </w:p>
        </w:tc>
        <w:tc>
          <w:tcPr>
            <w:shd w:fill="EFF6FF" w:val="solid"/>
            <w:tcMar>
              <w:top w:type="dxa" w:w="60"/>
              <w:left w:type="dxa" w:w="100"/>
              <w:bottom w:type="dxa" w:w="60"/>
              <w:right w:type="dxa" w:w="100"/>
            </w:tcMar>
          </w:tcPr>
          <w:p>
            <w:pPr>
              <w:spacing w:after="60" w:before="60"/>
            </w:pPr>
            <w:r>
              <w:rPr>
                <w:sz w:val="19"/>
                <w:szCs w:val="19"/>
              </w:rPr>
              <w:t xml:space="preserve">/api/launches/upcoming</w:t>
            </w:r>
          </w:p>
        </w:tc>
        <w:tc>
          <w:tcPr>
            <w:shd w:fill="EFF6FF" w:val="solid"/>
            <w:tcMar>
              <w:top w:type="dxa" w:w="60"/>
              <w:left w:type="dxa" w:w="100"/>
              <w:bottom w:type="dxa" w:w="60"/>
              <w:right w:type="dxa" w:w="100"/>
            </w:tcMar>
          </w:tcPr>
          <w:p>
            <w:pPr>
              <w:spacing w:after="60" w:before="60"/>
            </w:pPr>
            <w:r>
              <w:rPr>
                <w:sz w:val="19"/>
                <w:szCs w:val="19"/>
              </w:rPr>
              <w:t xml:space="preserve">Upcoming launch manifest from Launch Library 2 API</w:t>
            </w:r>
          </w:p>
        </w:tc>
      </w:tr>
      <w:tr>
        <w:tc>
          <w:tcPr>
            <w:shd w:fill="FFFFFF" w:val="solid"/>
            <w:tcMar>
              <w:top w:type="dxa" w:w="60"/>
              <w:left w:type="dxa" w:w="100"/>
              <w:bottom w:type="dxa" w:w="60"/>
              <w:right w:type="dxa" w:w="100"/>
            </w:tcMar>
          </w:tcPr>
          <w:p>
            <w:pPr>
              <w:spacing w:after="60" w:before="60"/>
            </w:pPr>
            <w:r>
              <w:rPr>
                <w:sz w:val="19"/>
                <w:szCs w:val="19"/>
              </w:rPr>
              <w:t xml:space="preserve">GET</w:t>
            </w:r>
          </w:p>
        </w:tc>
        <w:tc>
          <w:tcPr>
            <w:shd w:fill="FFFFFF" w:val="solid"/>
            <w:tcMar>
              <w:top w:type="dxa" w:w="60"/>
              <w:left w:type="dxa" w:w="100"/>
              <w:bottom w:type="dxa" w:w="60"/>
              <w:right w:type="dxa" w:w="100"/>
            </w:tcMar>
          </w:tcPr>
          <w:p>
            <w:pPr>
              <w:spacing w:after="60" w:before="60"/>
            </w:pPr>
            <w:r>
              <w:rPr>
                <w:sz w:val="19"/>
                <w:szCs w:val="19"/>
              </w:rPr>
              <w:t xml:space="preserve">/api/launches/recent</w:t>
            </w:r>
          </w:p>
        </w:tc>
        <w:tc>
          <w:tcPr>
            <w:shd w:fill="FFFFFF" w:val="solid"/>
            <w:tcMar>
              <w:top w:type="dxa" w:w="60"/>
              <w:left w:type="dxa" w:w="100"/>
              <w:bottom w:type="dxa" w:w="60"/>
              <w:right w:type="dxa" w:w="100"/>
            </w:tcMar>
          </w:tcPr>
          <w:p>
            <w:pPr>
              <w:spacing w:after="60" w:before="60"/>
            </w:pPr>
            <w:r>
              <w:rPr>
                <w:sz w:val="19"/>
                <w:szCs w:val="19"/>
              </w:rPr>
              <w:t xml:space="preserve">Recent launches from Launch Library 2 API</w:t>
            </w:r>
          </w:p>
        </w:tc>
      </w:tr>
      <w:tr>
        <w:tc>
          <w:tcPr>
            <w:shd w:fill="EFF6FF" w:val="solid"/>
            <w:tcMar>
              <w:top w:type="dxa" w:w="60"/>
              <w:left w:type="dxa" w:w="100"/>
              <w:bottom w:type="dxa" w:w="60"/>
              <w:right w:type="dxa" w:w="100"/>
            </w:tcMar>
          </w:tcPr>
          <w:p>
            <w:pPr>
              <w:spacing w:after="60" w:before="60"/>
            </w:pPr>
            <w:r>
              <w:rPr>
                <w:sz w:val="19"/>
                <w:szCs w:val="19"/>
              </w:rPr>
              <w:t xml:space="preserve">GET</w:t>
            </w:r>
          </w:p>
        </w:tc>
        <w:tc>
          <w:tcPr>
            <w:shd w:fill="EFF6FF" w:val="solid"/>
            <w:tcMar>
              <w:top w:type="dxa" w:w="60"/>
              <w:left w:type="dxa" w:w="100"/>
              <w:bottom w:type="dxa" w:w="60"/>
              <w:right w:type="dxa" w:w="100"/>
            </w:tcMar>
          </w:tcPr>
          <w:p>
            <w:pPr>
              <w:spacing w:after="60" w:before="60"/>
            </w:pPr>
            <w:r>
              <w:rPr>
                <w:sz w:val="19"/>
                <w:szCs w:val="19"/>
              </w:rPr>
              <w:t xml:space="preserve">/api/last-update</w:t>
            </w:r>
          </w:p>
        </w:tc>
        <w:tc>
          <w:tcPr>
            <w:shd w:fill="EFF6FF" w:val="solid"/>
            <w:tcMar>
              <w:top w:type="dxa" w:w="60"/>
              <w:left w:type="dxa" w:w="100"/>
              <w:bottom w:type="dxa" w:w="60"/>
              <w:right w:type="dxa" w:w="100"/>
            </w:tcMar>
          </w:tcPr>
          <w:p>
            <w:pPr>
              <w:spacing w:after="60" w:before="60"/>
            </w:pPr>
            <w:r>
              <w:rPr>
                <w:sz w:val="19"/>
                <w:szCs w:val="19"/>
              </w:rPr>
              <w:t xml:space="preserve">Timestamp and status of the last successful TLE data refresh</w:t>
            </w:r>
          </w:p>
        </w:tc>
      </w:tr>
      <w:tr>
        <w:tc>
          <w:tcPr>
            <w:shd w:fill="FFFFFF" w:val="solid"/>
            <w:tcMar>
              <w:top w:type="dxa" w:w="60"/>
              <w:left w:type="dxa" w:w="100"/>
              <w:bottom w:type="dxa" w:w="60"/>
              <w:right w:type="dxa" w:w="100"/>
            </w:tcMar>
          </w:tcPr>
          <w:p>
            <w:pPr>
              <w:spacing w:after="60" w:before="60"/>
            </w:pPr>
            <w:r>
              <w:rPr>
                <w:sz w:val="19"/>
                <w:szCs w:val="19"/>
              </w:rPr>
              <w:t xml:space="preserve">POST</w:t>
            </w:r>
          </w:p>
        </w:tc>
        <w:tc>
          <w:tcPr>
            <w:shd w:fill="FFFFFF" w:val="solid"/>
            <w:tcMar>
              <w:top w:type="dxa" w:w="60"/>
              <w:left w:type="dxa" w:w="100"/>
              <w:bottom w:type="dxa" w:w="60"/>
              <w:right w:type="dxa" w:w="100"/>
            </w:tcMar>
          </w:tcPr>
          <w:p>
            <w:pPr>
              <w:spacing w:after="60" w:before="60"/>
            </w:pPr>
            <w:r>
              <w:rPr>
                <w:sz w:val="19"/>
                <w:szCs w:val="19"/>
              </w:rPr>
              <w:t xml:space="preserve">/api/admin/refresh</w:t>
            </w:r>
          </w:p>
        </w:tc>
        <w:tc>
          <w:tcPr>
            <w:shd w:fill="FFFFFF" w:val="solid"/>
            <w:tcMar>
              <w:top w:type="dxa" w:w="60"/>
              <w:left w:type="dxa" w:w="100"/>
              <w:bottom w:type="dxa" w:w="60"/>
              <w:right w:type="dxa" w:w="100"/>
            </w:tcMar>
          </w:tcPr>
          <w:p>
            <w:pPr>
              <w:spacing w:after="60" w:before="60"/>
            </w:pPr>
            <w:r>
              <w:rPr>
                <w:sz w:val="19"/>
                <w:szCs w:val="19"/>
              </w:rPr>
              <w:t xml:space="preserve">Manually trigger a full TLE data ingestion and risk re-score cycle</w:t>
            </w:r>
          </w:p>
        </w:tc>
      </w:tr>
      <w:tr>
        <w:tc>
          <w:tcPr>
            <w:shd w:fill="EFF6FF" w:val="solid"/>
            <w:tcMar>
              <w:top w:type="dxa" w:w="60"/>
              <w:left w:type="dxa" w:w="100"/>
              <w:bottom w:type="dxa" w:w="60"/>
              <w:right w:type="dxa" w:w="100"/>
            </w:tcMar>
          </w:tcPr>
          <w:p>
            <w:pPr>
              <w:spacing w:after="60" w:before="60"/>
            </w:pPr>
            <w:r>
              <w:rPr>
                <w:sz w:val="19"/>
                <w:szCs w:val="19"/>
              </w:rPr>
              <w:t xml:space="preserve">GET</w:t>
            </w:r>
          </w:p>
        </w:tc>
        <w:tc>
          <w:tcPr>
            <w:shd w:fill="EFF6FF" w:val="solid"/>
            <w:tcMar>
              <w:top w:type="dxa" w:w="60"/>
              <w:left w:type="dxa" w:w="100"/>
              <w:bottom w:type="dxa" w:w="60"/>
              <w:right w:type="dxa" w:w="100"/>
            </w:tcMar>
          </w:tcPr>
          <w:p>
            <w:pPr>
              <w:spacing w:after="60" w:before="60"/>
            </w:pPr>
            <w:r>
              <w:rPr>
                <w:sz w:val="19"/>
                <w:szCs w:val="19"/>
              </w:rPr>
              <w:t xml:space="preserve">/api/admin/status</w:t>
            </w:r>
          </w:p>
        </w:tc>
        <w:tc>
          <w:tcPr>
            <w:shd w:fill="EFF6FF" w:val="solid"/>
            <w:tcMar>
              <w:top w:type="dxa" w:w="60"/>
              <w:left w:type="dxa" w:w="100"/>
              <w:bottom w:type="dxa" w:w="60"/>
              <w:right w:type="dxa" w:w="100"/>
            </w:tcMar>
          </w:tcPr>
          <w:p>
            <w:pPr>
              <w:spacing w:after="60" w:before="60"/>
            </w:pPr>
            <w:r>
              <w:rPr>
                <w:sz w:val="19"/>
                <w:szCs w:val="19"/>
              </w:rPr>
              <w:t xml:space="preserve">Background scheduler health and pipeline metrics</w:t>
            </w:r>
          </w:p>
        </w:tc>
      </w:tr>
    </w:tbl>
    <w:p>
      <w:pPr>
        <w:spacing w:after="100"/>
      </w:pPr>
    </w:p>
    <w:p>
      <w:pPr>
        <w:pStyle w:val="Heading2"/>
        <w:spacing w:after="120" w:before="320"/>
      </w:pPr>
      <w:r>
        <w:t xml:space="preserve">6.2 API Conventions</w:t>
      </w:r>
    </w:p>
    <w:p>
      <w:pPr>
        <w:pStyle w:val="ListParagraph"/>
        <w:numPr>
          <w:ilvl w:val="0"/>
          <w:numId w:val="1"/>
        </w:numPr>
        <w:spacing w:after="80"/>
      </w:pPr>
      <w:r>
        <w:rPr>
          <w:sz w:val="22"/>
          <w:szCs w:val="22"/>
        </w:rPr>
        <w:t xml:space="preserve">All responses use Content-Type: application/json.</w:t>
      </w:r>
    </w:p>
    <w:p>
      <w:pPr>
        <w:pStyle w:val="ListParagraph"/>
        <w:numPr>
          <w:ilvl w:val="0"/>
          <w:numId w:val="1"/>
        </w:numPr>
        <w:spacing w:after="80"/>
      </w:pPr>
      <w:r>
        <w:rPr>
          <w:sz w:val="22"/>
          <w:szCs w:val="22"/>
        </w:rPr>
        <w:t xml:space="preserve">Paginated list endpoints return a consistent envelope: { total: number, results: T[] }.</w:t>
      </w:r>
    </w:p>
    <w:p>
      <w:pPr>
        <w:pStyle w:val="ListParagraph"/>
        <w:numPr>
          <w:ilvl w:val="0"/>
          <w:numId w:val="1"/>
        </w:numPr>
        <w:spacing w:after="80"/>
      </w:pPr>
      <w:r>
        <w:rPr>
          <w:sz w:val="22"/>
          <w:szCs w:val="22"/>
        </w:rPr>
        <w:t xml:space="preserve">All errors return { error: string, message: string } with an appropriate HTTP status code (400, 404, 500).</w:t>
      </w:r>
    </w:p>
    <w:p>
      <w:pPr>
        <w:pStyle w:val="ListParagraph"/>
        <w:numPr>
          <w:ilvl w:val="0"/>
          <w:numId w:val="1"/>
        </w:numPr>
        <w:spacing w:after="80"/>
      </w:pPr>
      <w:r>
        <w:rPr>
          <w:sz w:val="22"/>
          <w:szCs w:val="22"/>
        </w:rPr>
        <w:t xml:space="preserve">Launch Library 2 proxy responses are cached server-side for 10 minutes to respect the free-tier rate limit.</w:t>
      </w:r>
    </w:p>
    <w:p>
      <w:pPr>
        <w:pStyle w:val="ListParagraph"/>
        <w:numPr>
          <w:ilvl w:val="0"/>
          <w:numId w:val="1"/>
        </w:numPr>
        <w:spacing w:after="80"/>
      </w:pPr>
      <w:r>
        <w:rPr>
          <w:sz w:val="22"/>
          <w:szCs w:val="22"/>
        </w:rPr>
        <w:t xml:space="preserve">Every inbound HTTP request is logged by pino-http with method, path, status code, and response time in milliseconds.</w:t>
      </w:r>
    </w:p>
    <w:p>
      <w:pPr>
        <w:spacing w:after="100"/>
      </w:pPr>
    </w:p>
    <w:p>
      <w:r>
        <w:br w:type="page"/>
      </w:r>
    </w:p>
    <w:p>
      <w:pPr>
        <w:pStyle w:val="Heading1"/>
        <w:spacing w:after="160" w:before="480"/>
      </w:pPr>
      <w:r>
        <w:t xml:space="preserve">7. Risk Engine &amp; Orbital Risk Model</w:t>
      </w:r>
    </w:p>
    <w:p>
      <w:pPr>
        <w:spacing w:after="120" w:line="340"/>
      </w:pPr>
      <w:r>
        <w:rPr>
          <w:sz w:val="22"/>
          <w:szCs w:val="22"/>
        </w:rPr>
        <w:t xml:space="preserve">The Risk Engine is the analytical core of the platform. It computes a composite risk score between 0 and 100 for every catalogued object by combining multiple physically meaningful factors derived from orbital mechanics and historical conjunction data. The model is entirely deterministic and interpretable — every score can be traced back to its contributing factors with full transparency.</w:t>
      </w:r>
    </w:p>
    <w:p>
      <w:pPr>
        <w:spacing w:after="100"/>
      </w:pPr>
    </w:p>
    <w:p>
      <w:pPr>
        <w:pStyle w:val="Heading2"/>
        <w:spacing w:after="120" w:before="320"/>
      </w:pPr>
      <w:r>
        <w:t xml:space="preserve">7.1 Why a Risk Model is Needed</w:t>
      </w:r>
    </w:p>
    <w:p>
      <w:pPr>
        <w:spacing w:after="120" w:line="340"/>
      </w:pPr>
      <w:r>
        <w:rPr>
          <w:sz w:val="22"/>
          <w:szCs w:val="22"/>
        </w:rPr>
        <w:t xml:space="preserve">As of 2026, more than 25,000 objects are actively tracked in Earth orbit. Low Earth Orbit (LEO) has become critically congested, particularly in the 400–600 km altitude band dominated by large constellations such as Starlink, OneWeb, and their debris clouds. The Kessler Syndrome — a self-sustaining cascade where one collision produces debris that triggers further collisions, rendering entire orbital shells unusable — represents a growing existential threat to space operations.</w:t>
      </w:r>
    </w:p>
    <w:p>
      <w:pPr>
        <w:spacing w:after="120" w:line="340"/>
      </w:pPr>
      <w:r>
        <w:rPr>
          <w:sz w:val="22"/>
          <w:szCs w:val="22"/>
        </w:rPr>
        <w:t xml:space="preserve">Identifying the highest-risk objects proactively allows satellite operators, national space agencies, and regulators to prioritise conjunction monitoring, plan avoidance manoeuvres, and schedule controlled deorbits before a catastrophic event occurs.</w:t>
      </w:r>
    </w:p>
    <w:p>
      <w:pPr>
        <w:spacing w:after="100"/>
      </w:pPr>
    </w:p>
    <w:p>
      <w:pPr>
        <w:pStyle w:val="Heading2"/>
        <w:spacing w:after="120" w:before="320"/>
      </w:pPr>
      <w:r>
        <w:t xml:space="preserve">7.2 Input Feature Set</w:t>
      </w:r>
    </w:p>
    <w:p>
      <w:pPr>
        <w:spacing w:after="120" w:line="340"/>
      </w:pPr>
      <w:r>
        <w:rPr>
          <w:sz w:val="22"/>
          <w:szCs w:val="22"/>
        </w:rPr>
        <w:t xml:space="preserve">For each object, the following features are extracted from its TLE data and database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Feature</w:t>
            </w:r>
          </w:p>
        </w:tc>
        <w:tc>
          <w:tcPr>
            <w:shd w:fill="1E3A5F" w:val="solid"/>
            <w:tcMar>
              <w:top w:type="dxa" w:w="60"/>
              <w:left w:type="dxa" w:w="100"/>
              <w:bottom w:type="dxa" w:w="60"/>
              <w:right w:type="dxa" w:w="100"/>
            </w:tcMar>
          </w:tcPr>
          <w:p>
            <w:pPr>
              <w:spacing w:after="60" w:before="60"/>
            </w:pPr>
            <w:r>
              <w:rPr>
                <w:b/>
                <w:bCs/>
                <w:color w:val="FFFFFF"/>
                <w:sz w:val="19"/>
                <w:szCs w:val="19"/>
              </w:rPr>
              <w:t xml:space="preserve">Symbol</w:t>
            </w:r>
          </w:p>
        </w:tc>
        <w:tc>
          <w:tcPr>
            <w:shd w:fill="1E3A5F" w:val="solid"/>
            <w:tcMar>
              <w:top w:type="dxa" w:w="60"/>
              <w:left w:type="dxa" w:w="100"/>
              <w:bottom w:type="dxa" w:w="60"/>
              <w:right w:type="dxa" w:w="100"/>
            </w:tcMar>
          </w:tcPr>
          <w:p>
            <w:pPr>
              <w:spacing w:after="60" w:before="60"/>
            </w:pPr>
            <w:r>
              <w:rPr>
                <w:b/>
                <w:bCs/>
                <w:color w:val="FFFFFF"/>
                <w:sz w:val="19"/>
                <w:szCs w:val="19"/>
              </w:rPr>
              <w:t xml:space="preserve">Source</w:t>
            </w:r>
          </w:p>
        </w:tc>
        <w:tc>
          <w:tcPr>
            <w:shd w:fill="1E3A5F" w:val="solid"/>
            <w:tcMar>
              <w:top w:type="dxa" w:w="60"/>
              <w:left w:type="dxa" w:w="100"/>
              <w:bottom w:type="dxa" w:w="60"/>
              <w:right w:type="dxa" w:w="100"/>
            </w:tcMar>
          </w:tcPr>
          <w:p>
            <w:pPr>
              <w:spacing w:after="60" w:before="60"/>
            </w:pPr>
            <w:r>
              <w:rPr>
                <w:b/>
                <w:bCs/>
                <w:color w:val="FFFFFF"/>
                <w:sz w:val="19"/>
                <w:szCs w:val="19"/>
              </w:rPr>
              <w:t xml:space="preserve">Physical Significance</w:t>
            </w:r>
          </w:p>
        </w:tc>
      </w:tr>
      <w:tr>
        <w:tc>
          <w:tcPr>
            <w:shd w:fill="EFF6FF" w:val="solid"/>
            <w:tcMar>
              <w:top w:type="dxa" w:w="60"/>
              <w:left w:type="dxa" w:w="100"/>
              <w:bottom w:type="dxa" w:w="60"/>
              <w:right w:type="dxa" w:w="100"/>
            </w:tcMar>
          </w:tcPr>
          <w:p>
            <w:pPr>
              <w:spacing w:after="60" w:before="60"/>
            </w:pPr>
            <w:r>
              <w:rPr>
                <w:sz w:val="19"/>
                <w:szCs w:val="19"/>
              </w:rPr>
              <w:t xml:space="preserve">Altitude (km)</w:t>
            </w:r>
          </w:p>
        </w:tc>
        <w:tc>
          <w:tcPr>
            <w:shd w:fill="EFF6FF" w:val="solid"/>
            <w:tcMar>
              <w:top w:type="dxa" w:w="60"/>
              <w:left w:type="dxa" w:w="100"/>
              <w:bottom w:type="dxa" w:w="60"/>
              <w:right w:type="dxa" w:w="100"/>
            </w:tcMar>
          </w:tcPr>
          <w:p>
            <w:pPr>
              <w:spacing w:after="60" w:before="60"/>
            </w:pPr>
            <w:r>
              <w:rPr>
                <w:sz w:val="19"/>
                <w:szCs w:val="19"/>
              </w:rPr>
              <w:t xml:space="preserve">h</w:t>
            </w:r>
          </w:p>
        </w:tc>
        <w:tc>
          <w:tcPr>
            <w:shd w:fill="EFF6FF" w:val="solid"/>
            <w:tcMar>
              <w:top w:type="dxa" w:w="60"/>
              <w:left w:type="dxa" w:w="100"/>
              <w:bottom w:type="dxa" w:w="60"/>
              <w:right w:type="dxa" w:w="100"/>
            </w:tcMar>
          </w:tcPr>
          <w:p>
            <w:pPr>
              <w:spacing w:after="60" w:before="60"/>
            </w:pPr>
            <w:r>
              <w:rPr>
                <w:sz w:val="19"/>
                <w:szCs w:val="19"/>
              </w:rPr>
              <w:t xml:space="preserve">Derived from mean motion via Kepler's 3rd law</w:t>
            </w:r>
          </w:p>
        </w:tc>
        <w:tc>
          <w:tcPr>
            <w:shd w:fill="EFF6FF" w:val="solid"/>
            <w:tcMar>
              <w:top w:type="dxa" w:w="60"/>
              <w:left w:type="dxa" w:w="100"/>
              <w:bottom w:type="dxa" w:w="60"/>
              <w:right w:type="dxa" w:w="100"/>
            </w:tcMar>
          </w:tcPr>
          <w:p>
            <w:pPr>
              <w:spacing w:after="60" w:before="60"/>
            </w:pPr>
            <w:r>
              <w:rPr>
                <w:sz w:val="19"/>
                <w:szCs w:val="19"/>
              </w:rPr>
              <w:t xml:space="preserve">Objects in 400–1,200 km LEO face highest debris density and slowest natural decay</w:t>
            </w:r>
          </w:p>
        </w:tc>
      </w:tr>
      <w:tr>
        <w:tc>
          <w:tcPr>
            <w:shd w:fill="FFFFFF" w:val="solid"/>
            <w:tcMar>
              <w:top w:type="dxa" w:w="60"/>
              <w:left w:type="dxa" w:w="100"/>
              <w:bottom w:type="dxa" w:w="60"/>
              <w:right w:type="dxa" w:w="100"/>
            </w:tcMar>
          </w:tcPr>
          <w:p>
            <w:pPr>
              <w:spacing w:after="60" w:before="60"/>
            </w:pPr>
            <w:r>
              <w:rPr>
                <w:sz w:val="19"/>
                <w:szCs w:val="19"/>
              </w:rPr>
              <w:t xml:space="preserve">Orbital inclination (°)</w:t>
            </w:r>
          </w:p>
        </w:tc>
        <w:tc>
          <w:tcPr>
            <w:shd w:fill="FFFFFF" w:val="solid"/>
            <w:tcMar>
              <w:top w:type="dxa" w:w="60"/>
              <w:left w:type="dxa" w:w="100"/>
              <w:bottom w:type="dxa" w:w="60"/>
              <w:right w:type="dxa" w:w="100"/>
            </w:tcMar>
          </w:tcPr>
          <w:p>
            <w:pPr>
              <w:spacing w:after="60" w:before="60"/>
            </w:pPr>
            <w:r>
              <w:rPr>
                <w:sz w:val="19"/>
                <w:szCs w:val="19"/>
              </w:rPr>
              <w:t xml:space="preserve">i</w:t>
            </w:r>
          </w:p>
        </w:tc>
        <w:tc>
          <w:tcPr>
            <w:shd w:fill="FFFFFF" w:val="solid"/>
            <w:tcMar>
              <w:top w:type="dxa" w:w="60"/>
              <w:left w:type="dxa" w:w="100"/>
              <w:bottom w:type="dxa" w:w="60"/>
              <w:right w:type="dxa" w:w="100"/>
            </w:tcMar>
          </w:tcPr>
          <w:p>
            <w:pPr>
              <w:spacing w:after="60" w:before="60"/>
            </w:pPr>
            <w:r>
              <w:rPr>
                <w:sz w:val="19"/>
                <w:szCs w:val="19"/>
              </w:rPr>
              <w:t xml:space="preserve">TLE element field 3</w:t>
            </w:r>
          </w:p>
        </w:tc>
        <w:tc>
          <w:tcPr>
            <w:shd w:fill="FFFFFF" w:val="solid"/>
            <w:tcMar>
              <w:top w:type="dxa" w:w="60"/>
              <w:left w:type="dxa" w:w="100"/>
              <w:bottom w:type="dxa" w:w="60"/>
              <w:right w:type="dxa" w:w="100"/>
            </w:tcMar>
          </w:tcPr>
          <w:p>
            <w:pPr>
              <w:spacing w:after="60" w:before="60"/>
            </w:pPr>
            <w:r>
              <w:rPr>
                <w:sz w:val="19"/>
                <w:szCs w:val="19"/>
              </w:rPr>
              <w:t xml:space="preserve">Near-polar inclinations cross every other orbital plane — maximum conjunction exposure</w:t>
            </w:r>
          </w:p>
        </w:tc>
      </w:tr>
      <w:tr>
        <w:tc>
          <w:tcPr>
            <w:shd w:fill="EFF6FF" w:val="solid"/>
            <w:tcMar>
              <w:top w:type="dxa" w:w="60"/>
              <w:left w:type="dxa" w:w="100"/>
              <w:bottom w:type="dxa" w:w="60"/>
              <w:right w:type="dxa" w:w="100"/>
            </w:tcMar>
          </w:tcPr>
          <w:p>
            <w:pPr>
              <w:spacing w:after="60" w:before="60"/>
            </w:pPr>
            <w:r>
              <w:rPr>
                <w:sz w:val="19"/>
                <w:szCs w:val="19"/>
              </w:rPr>
              <w:t xml:space="preserve">Eccentricity</w:t>
            </w:r>
          </w:p>
        </w:tc>
        <w:tc>
          <w:tcPr>
            <w:shd w:fill="EFF6FF" w:val="solid"/>
            <w:tcMar>
              <w:top w:type="dxa" w:w="60"/>
              <w:left w:type="dxa" w:w="100"/>
              <w:bottom w:type="dxa" w:w="60"/>
              <w:right w:type="dxa" w:w="100"/>
            </w:tcMar>
          </w:tcPr>
          <w:p>
            <w:pPr>
              <w:spacing w:after="60" w:before="60"/>
            </w:pPr>
            <w:r>
              <w:rPr>
                <w:sz w:val="19"/>
                <w:szCs w:val="19"/>
              </w:rPr>
              <w:t xml:space="preserve">e</w:t>
            </w:r>
          </w:p>
        </w:tc>
        <w:tc>
          <w:tcPr>
            <w:shd w:fill="EFF6FF" w:val="solid"/>
            <w:tcMar>
              <w:top w:type="dxa" w:w="60"/>
              <w:left w:type="dxa" w:w="100"/>
              <w:bottom w:type="dxa" w:w="60"/>
              <w:right w:type="dxa" w:w="100"/>
            </w:tcMar>
          </w:tcPr>
          <w:p>
            <w:pPr>
              <w:spacing w:after="60" w:before="60"/>
            </w:pPr>
            <w:r>
              <w:rPr>
                <w:sz w:val="19"/>
                <w:szCs w:val="19"/>
              </w:rPr>
              <w:t xml:space="preserve">TLE element field 4</w:t>
            </w:r>
          </w:p>
        </w:tc>
        <w:tc>
          <w:tcPr>
            <w:shd w:fill="EFF6FF" w:val="solid"/>
            <w:tcMar>
              <w:top w:type="dxa" w:w="60"/>
              <w:left w:type="dxa" w:w="100"/>
              <w:bottom w:type="dxa" w:w="60"/>
              <w:right w:type="dxa" w:w="100"/>
            </w:tcMar>
          </w:tcPr>
          <w:p>
            <w:pPr>
              <w:spacing w:after="60" w:before="60"/>
            </w:pPr>
            <w:r>
              <w:rPr>
                <w:sz w:val="19"/>
                <w:szCs w:val="19"/>
              </w:rPr>
              <w:t xml:space="preserve">High eccentricity sweeps a wide altitude range, increasing conjunction exposure volume</w:t>
            </w:r>
          </w:p>
        </w:tc>
      </w:tr>
      <w:tr>
        <w:tc>
          <w:tcPr>
            <w:shd w:fill="FFFFFF" w:val="solid"/>
            <w:tcMar>
              <w:top w:type="dxa" w:w="60"/>
              <w:left w:type="dxa" w:w="100"/>
              <w:bottom w:type="dxa" w:w="60"/>
              <w:right w:type="dxa" w:w="100"/>
            </w:tcMar>
          </w:tcPr>
          <w:p>
            <w:pPr>
              <w:spacing w:after="60" w:before="60"/>
            </w:pPr>
            <w:r>
              <w:rPr>
                <w:sz w:val="19"/>
                <w:szCs w:val="19"/>
              </w:rPr>
              <w:t xml:space="preserve">BSTAR drag coefficient</w:t>
            </w:r>
          </w:p>
        </w:tc>
        <w:tc>
          <w:tcPr>
            <w:shd w:fill="FFFFFF" w:val="solid"/>
            <w:tcMar>
              <w:top w:type="dxa" w:w="60"/>
              <w:left w:type="dxa" w:w="100"/>
              <w:bottom w:type="dxa" w:w="60"/>
              <w:right w:type="dxa" w:w="100"/>
            </w:tcMar>
          </w:tcPr>
          <w:p>
            <w:pPr>
              <w:spacing w:after="60" w:before="60"/>
            </w:pPr>
            <w:r>
              <w:rPr>
                <w:sz w:val="19"/>
                <w:szCs w:val="19"/>
              </w:rPr>
              <w:t xml:space="preserve">B*</w:t>
            </w:r>
          </w:p>
        </w:tc>
        <w:tc>
          <w:tcPr>
            <w:shd w:fill="FFFFFF" w:val="solid"/>
            <w:tcMar>
              <w:top w:type="dxa" w:w="60"/>
              <w:left w:type="dxa" w:w="100"/>
              <w:bottom w:type="dxa" w:w="60"/>
              <w:right w:type="dxa" w:w="100"/>
            </w:tcMar>
          </w:tcPr>
          <w:p>
            <w:pPr>
              <w:spacing w:after="60" w:before="60"/>
            </w:pPr>
            <w:r>
              <w:rPr>
                <w:sz w:val="19"/>
                <w:szCs w:val="19"/>
              </w:rPr>
              <w:t xml:space="preserve">TLE element field 6</w:t>
            </w:r>
          </w:p>
        </w:tc>
        <w:tc>
          <w:tcPr>
            <w:shd w:fill="FFFFFF" w:val="solid"/>
            <w:tcMar>
              <w:top w:type="dxa" w:w="60"/>
              <w:left w:type="dxa" w:w="100"/>
              <w:bottom w:type="dxa" w:w="60"/>
              <w:right w:type="dxa" w:w="100"/>
            </w:tcMar>
          </w:tcPr>
          <w:p>
            <w:pPr>
              <w:spacing w:after="60" w:before="60"/>
            </w:pPr>
            <w:r>
              <w:rPr>
                <w:sz w:val="19"/>
                <w:szCs w:val="19"/>
              </w:rPr>
              <w:t xml:space="preserve">Proxy for ballistic coefficient; governs atmospheric decay rate and manoeuvre capability</w:t>
            </w:r>
          </w:p>
        </w:tc>
      </w:tr>
      <w:tr>
        <w:tc>
          <w:tcPr>
            <w:shd w:fill="EFF6FF" w:val="solid"/>
            <w:tcMar>
              <w:top w:type="dxa" w:w="60"/>
              <w:left w:type="dxa" w:w="100"/>
              <w:bottom w:type="dxa" w:w="60"/>
              <w:right w:type="dxa" w:w="100"/>
            </w:tcMar>
          </w:tcPr>
          <w:p>
            <w:pPr>
              <w:spacing w:after="60" w:before="60"/>
            </w:pPr>
            <w:r>
              <w:rPr>
                <w:sz w:val="19"/>
                <w:szCs w:val="19"/>
              </w:rPr>
              <w:t xml:space="preserve">Object type</w:t>
            </w:r>
          </w:p>
        </w:tc>
        <w:tc>
          <w:tcPr>
            <w:shd w:fill="EFF6FF" w:val="solid"/>
            <w:tcMar>
              <w:top w:type="dxa" w:w="60"/>
              <w:left w:type="dxa" w:w="100"/>
              <w:bottom w:type="dxa" w:w="60"/>
              <w:right w:type="dxa" w:w="100"/>
            </w:tcMar>
          </w:tcPr>
          <w:p>
            <w:pPr>
              <w:spacing w:after="60" w:before="60"/>
            </w:pPr>
            <w:r>
              <w:rPr>
                <w:sz w:val="19"/>
                <w:szCs w:val="19"/>
              </w:rPr>
              <w:t xml:space="preserve">—</w:t>
            </w:r>
          </w:p>
        </w:tc>
        <w:tc>
          <w:tcPr>
            <w:shd w:fill="EFF6FF" w:val="solid"/>
            <w:tcMar>
              <w:top w:type="dxa" w:w="60"/>
              <w:left w:type="dxa" w:w="100"/>
              <w:bottom w:type="dxa" w:w="60"/>
              <w:right w:type="dxa" w:w="100"/>
            </w:tcMar>
          </w:tcPr>
          <w:p>
            <w:pPr>
              <w:spacing w:after="60" w:before="60"/>
            </w:pPr>
            <w:r>
              <w:rPr>
                <w:sz w:val="19"/>
                <w:szCs w:val="19"/>
              </w:rPr>
              <w:t xml:space="preserve">NORAD catalogue classification</w:t>
            </w:r>
          </w:p>
        </w:tc>
        <w:tc>
          <w:tcPr>
            <w:shd w:fill="EFF6FF" w:val="solid"/>
            <w:tcMar>
              <w:top w:type="dxa" w:w="60"/>
              <w:left w:type="dxa" w:w="100"/>
              <w:bottom w:type="dxa" w:w="60"/>
              <w:right w:type="dxa" w:w="100"/>
            </w:tcMar>
          </w:tcPr>
          <w:p>
            <w:pPr>
              <w:spacing w:after="60" w:before="60"/>
            </w:pPr>
            <w:r>
              <w:rPr>
                <w:sz w:val="19"/>
                <w:szCs w:val="19"/>
              </w:rPr>
              <w:t xml:space="preserve">Rocket bodies (large, derelict, non-manoeuvrable) present far greater risk than operational satellites</w:t>
            </w:r>
          </w:p>
        </w:tc>
      </w:tr>
      <w:tr>
        <w:tc>
          <w:tcPr>
            <w:shd w:fill="FFFFFF" w:val="solid"/>
            <w:tcMar>
              <w:top w:type="dxa" w:w="60"/>
              <w:left w:type="dxa" w:w="100"/>
              <w:bottom w:type="dxa" w:w="60"/>
              <w:right w:type="dxa" w:w="100"/>
            </w:tcMar>
          </w:tcPr>
          <w:p>
            <w:pPr>
              <w:spacing w:after="60" w:before="60"/>
            </w:pPr>
            <w:r>
              <w:rPr>
                <w:sz w:val="19"/>
                <w:szCs w:val="19"/>
              </w:rPr>
              <w:t xml:space="preserve">Altitude band population</w:t>
            </w:r>
          </w:p>
        </w:tc>
        <w:tc>
          <w:tcPr>
            <w:shd w:fill="FFFFFF" w:val="solid"/>
            <w:tcMar>
              <w:top w:type="dxa" w:w="60"/>
              <w:left w:type="dxa" w:w="100"/>
              <w:bottom w:type="dxa" w:w="60"/>
              <w:right w:type="dxa" w:w="100"/>
            </w:tcMar>
          </w:tcPr>
          <w:p>
            <w:pPr>
              <w:spacing w:after="60" w:before="60"/>
            </w:pPr>
            <w:r>
              <w:rPr>
                <w:sz w:val="19"/>
                <w:szCs w:val="19"/>
              </w:rPr>
              <w:t xml:space="preserve">N(h)</w:t>
            </w:r>
          </w:p>
        </w:tc>
        <w:tc>
          <w:tcPr>
            <w:shd w:fill="FFFFFF" w:val="solid"/>
            <w:tcMar>
              <w:top w:type="dxa" w:w="60"/>
              <w:left w:type="dxa" w:w="100"/>
              <w:bottom w:type="dxa" w:w="60"/>
              <w:right w:type="dxa" w:w="100"/>
            </w:tcMar>
          </w:tcPr>
          <w:p>
            <w:pPr>
              <w:spacing w:after="60" w:before="60"/>
            </w:pPr>
            <w:r>
              <w:rPr>
                <w:sz w:val="19"/>
                <w:szCs w:val="19"/>
              </w:rPr>
              <w:t xml:space="preserve">Real-time DB query</w:t>
            </w:r>
          </w:p>
        </w:tc>
        <w:tc>
          <w:tcPr>
            <w:shd w:fill="FFFFFF" w:val="solid"/>
            <w:tcMar>
              <w:top w:type="dxa" w:w="60"/>
              <w:left w:type="dxa" w:w="100"/>
              <w:bottom w:type="dxa" w:w="60"/>
              <w:right w:type="dxa" w:w="100"/>
            </w:tcMar>
          </w:tcPr>
          <w:p>
            <w:pPr>
              <w:spacing w:after="60" w:before="60"/>
            </w:pPr>
            <w:r>
              <w:rPr>
                <w:sz w:val="19"/>
                <w:szCs w:val="19"/>
              </w:rPr>
              <w:t xml:space="preserve">Count of all tracked objects in a ±50 km shell centred on this object's altitude</w:t>
            </w:r>
          </w:p>
        </w:tc>
      </w:tr>
      <w:tr>
        <w:tc>
          <w:tcPr>
            <w:shd w:fill="EFF6FF" w:val="solid"/>
            <w:tcMar>
              <w:top w:type="dxa" w:w="60"/>
              <w:left w:type="dxa" w:w="100"/>
              <w:bottom w:type="dxa" w:w="60"/>
              <w:right w:type="dxa" w:w="100"/>
            </w:tcMar>
          </w:tcPr>
          <w:p>
            <w:pPr>
              <w:spacing w:after="60" w:before="60"/>
            </w:pPr>
            <w:r>
              <w:rPr>
                <w:sz w:val="19"/>
                <w:szCs w:val="19"/>
              </w:rPr>
              <w:t xml:space="preserve">Conjunction count (30-day)</w:t>
            </w:r>
          </w:p>
        </w:tc>
        <w:tc>
          <w:tcPr>
            <w:shd w:fill="EFF6FF" w:val="solid"/>
            <w:tcMar>
              <w:top w:type="dxa" w:w="60"/>
              <w:left w:type="dxa" w:w="100"/>
              <w:bottom w:type="dxa" w:w="60"/>
              <w:right w:type="dxa" w:w="100"/>
            </w:tcMar>
          </w:tcPr>
          <w:p>
            <w:pPr>
              <w:spacing w:after="60" w:before="60"/>
            </w:pPr>
            <w:r>
              <w:rPr>
                <w:sz w:val="19"/>
                <w:szCs w:val="19"/>
              </w:rPr>
              <w:t xml:space="preserve">C₃₀</w:t>
            </w:r>
          </w:p>
        </w:tc>
        <w:tc>
          <w:tcPr>
            <w:shd w:fill="EFF6FF" w:val="solid"/>
            <w:tcMar>
              <w:top w:type="dxa" w:w="60"/>
              <w:left w:type="dxa" w:w="100"/>
              <w:bottom w:type="dxa" w:w="60"/>
              <w:right w:type="dxa" w:w="100"/>
            </w:tcMar>
          </w:tcPr>
          <w:p>
            <w:pPr>
              <w:spacing w:after="60" w:before="60"/>
            </w:pPr>
            <w:r>
              <w:rPr>
                <w:sz w:val="19"/>
                <w:szCs w:val="19"/>
              </w:rPr>
              <w:t xml:space="preserve">collision_events table</w:t>
            </w:r>
          </w:p>
        </w:tc>
        <w:tc>
          <w:tcPr>
            <w:shd w:fill="EFF6FF" w:val="solid"/>
            <w:tcMar>
              <w:top w:type="dxa" w:w="60"/>
              <w:left w:type="dxa" w:w="100"/>
              <w:bottom w:type="dxa" w:w="60"/>
              <w:right w:type="dxa" w:w="100"/>
            </w:tcMar>
          </w:tcPr>
          <w:p>
            <w:pPr>
              <w:spacing w:after="60" w:before="60"/>
            </w:pPr>
            <w:r>
              <w:rPr>
                <w:sz w:val="19"/>
                <w:szCs w:val="19"/>
              </w:rPr>
              <w:t xml:space="preserve">Number of close-approach events involving this object in the trailing 30-day window</w:t>
            </w:r>
          </w:p>
        </w:tc>
      </w:tr>
      <w:tr>
        <w:tc>
          <w:tcPr>
            <w:shd w:fill="FFFFFF" w:val="solid"/>
            <w:tcMar>
              <w:top w:type="dxa" w:w="60"/>
              <w:left w:type="dxa" w:w="100"/>
              <w:bottom w:type="dxa" w:w="60"/>
              <w:right w:type="dxa" w:w="100"/>
            </w:tcMar>
          </w:tcPr>
          <w:p>
            <w:pPr>
              <w:spacing w:after="60" w:before="60"/>
            </w:pPr>
            <w:r>
              <w:rPr>
                <w:sz w:val="19"/>
                <w:szCs w:val="19"/>
              </w:rPr>
              <w:t xml:space="preserve">TLE epoch age (days)</w:t>
            </w:r>
          </w:p>
        </w:tc>
        <w:tc>
          <w:tcPr>
            <w:shd w:fill="FFFFFF" w:val="solid"/>
            <w:tcMar>
              <w:top w:type="dxa" w:w="60"/>
              <w:left w:type="dxa" w:w="100"/>
              <w:bottom w:type="dxa" w:w="60"/>
              <w:right w:type="dxa" w:w="100"/>
            </w:tcMar>
          </w:tcPr>
          <w:p>
            <w:pPr>
              <w:spacing w:after="60" w:before="60"/>
            </w:pPr>
            <w:r>
              <w:rPr>
                <w:sz w:val="19"/>
                <w:szCs w:val="19"/>
              </w:rPr>
              <w:t xml:space="preserve">Δt</w:t>
            </w:r>
          </w:p>
        </w:tc>
        <w:tc>
          <w:tcPr>
            <w:shd w:fill="FFFFFF" w:val="solid"/>
            <w:tcMar>
              <w:top w:type="dxa" w:w="60"/>
              <w:left w:type="dxa" w:w="100"/>
              <w:bottom w:type="dxa" w:w="60"/>
              <w:right w:type="dxa" w:w="100"/>
            </w:tcMar>
          </w:tcPr>
          <w:p>
            <w:pPr>
              <w:spacing w:after="60" w:before="60"/>
            </w:pPr>
            <w:r>
              <w:rPr>
                <w:sz w:val="19"/>
                <w:szCs w:val="19"/>
              </w:rPr>
              <w:t xml:space="preserve">TLE epoch timestamp</w:t>
            </w:r>
          </w:p>
        </w:tc>
        <w:tc>
          <w:tcPr>
            <w:shd w:fill="FFFFFF" w:val="solid"/>
            <w:tcMar>
              <w:top w:type="dxa" w:w="60"/>
              <w:left w:type="dxa" w:w="100"/>
              <w:bottom w:type="dxa" w:w="60"/>
              <w:right w:type="dxa" w:w="100"/>
            </w:tcMar>
          </w:tcPr>
          <w:p>
            <w:pPr>
              <w:spacing w:after="60" w:before="60"/>
            </w:pPr>
            <w:r>
              <w:rPr>
                <w:sz w:val="19"/>
                <w:szCs w:val="19"/>
              </w:rPr>
              <w:t xml:space="preserve">Stale TLEs introduce positional uncertainty of tens of kilometres per day of age</w:t>
            </w:r>
          </w:p>
        </w:tc>
      </w:tr>
    </w:tbl>
    <w:p>
      <w:pPr>
        <w:spacing w:after="100"/>
      </w:pPr>
    </w:p>
    <w:p>
      <w:pPr>
        <w:pStyle w:val="Heading2"/>
        <w:spacing w:after="120" w:before="320"/>
      </w:pPr>
      <w:r>
        <w:t xml:space="preserve">7.3 Composite Scoring Formula</w:t>
      </w:r>
    </w:p>
    <w:p>
      <w:pPr>
        <w:spacing w:after="120" w:line="340"/>
      </w:pPr>
      <w:r>
        <w:rPr>
          <w:sz w:val="22"/>
          <w:szCs w:val="22"/>
        </w:rPr>
        <w:t xml:space="preserve">The composite risk score R is the weighted sum of five normalised sub-scores. Each sub-score is bounded to [0.0, 1.0] before the weights are applied, and the final result is scaled to the [0, 100] integer range:</w:t>
      </w:r>
    </w:p>
    <w:p>
      <w:pPr>
        <w:spacing w:after="100"/>
      </w:pPr>
    </w:p>
    <w:p>
      <w:pPr>
        <w:spacing w:after="200" w:before="120"/>
        <w:jc w:val="center"/>
      </w:pPr>
      <w:r>
        <w:rPr>
          <w:rFonts w:ascii="Courier New" w:cs="Courier New" w:eastAsia="Courier New" w:hAnsi="Courier New"/>
          <w:b/>
          <w:bCs/>
          <w:sz w:val="26"/>
          <w:szCs w:val="26"/>
        </w:rPr>
        <w:t xml:space="preserve">R = 100 × ( w₁·S_alt + w₂·S_den + w₃·S_conj + w₄·S_type + w₅·S_stale )</w:t>
      </w:r>
    </w:p>
    <w:p>
      <w:pPr>
        <w:spacing w:after="100"/>
      </w:pPr>
    </w:p>
    <w:p>
      <w:pPr>
        <w:pStyle w:val="Heading2"/>
        <w:spacing w:after="120" w:before="320"/>
      </w:pPr>
      <w:r>
        <w:t xml:space="preserve">7.4 Sub-Score Definitions</w:t>
      </w:r>
    </w:p>
    <w:p>
      <w:pPr>
        <w:spacing w:after="80"/>
      </w:pPr>
      <w:r>
        <w:rPr>
          <w:b/>
          <w:bCs/>
          <w:sz w:val="22"/>
          <w:szCs w:val="22"/>
        </w:rPr>
        <w:t xml:space="preserve">Altitude Score S_alt: </w:t>
      </w:r>
      <w:r>
        <w:rPr>
          <w:sz w:val="22"/>
          <w:szCs w:val="22"/>
        </w:rPr>
        <w:t xml:space="preserve">A Gaussian function centred at 600 km (peak LEO congestion altitude). Objects at exactly 600 km score 1.0; score falls symmetrically toward 0 for objects in MEO, GEO, or deep HEO where debris persistence and conjunction rates are far lower.</w:t>
      </w:r>
    </w:p>
    <w:p>
      <w:pPr>
        <w:spacing w:after="80"/>
      </w:pPr>
      <w:r>
        <w:rPr>
          <w:b/>
          <w:bCs/>
          <w:sz w:val="22"/>
          <w:szCs w:val="22"/>
        </w:rPr>
        <w:t xml:space="preserve">Density Score S_den: </w:t>
      </w:r>
      <w:r>
        <w:rPr>
          <w:sz w:val="22"/>
          <w:szCs w:val="22"/>
        </w:rPr>
        <w:t xml:space="preserve">The total count of tracked objects within ±50 km of the object's altitude is queried from the live database snapshot and normalised against the global maximum shell population. Starlink deployment shells near 550 km currently achieve near-maximum density scores.</w:t>
      </w:r>
    </w:p>
    <w:p>
      <w:pPr>
        <w:spacing w:after="80"/>
      </w:pPr>
      <w:r>
        <w:rPr>
          <w:b/>
          <w:bCs/>
          <w:sz w:val="22"/>
          <w:szCs w:val="22"/>
        </w:rPr>
        <w:t xml:space="preserve">Conjunction Score S_conj: </w:t>
      </w:r>
      <w:r>
        <w:rPr>
          <w:sz w:val="22"/>
          <w:szCs w:val="22"/>
        </w:rPr>
        <w:t xml:space="preserve">The count of close-approach events (miss distance under 1 km) the object has been party to in the trailing 30-day window, normalised against the 95th-percentile conjunction count across the full catalogue. An object with zero conjunction events scores 0.0.</w:t>
      </w:r>
    </w:p>
    <w:p>
      <w:pPr>
        <w:spacing w:after="80"/>
      </w:pPr>
      <w:r>
        <w:rPr>
          <w:b/>
          <w:bCs/>
          <w:sz w:val="22"/>
          <w:szCs w:val="22"/>
        </w:rPr>
        <w:t xml:space="preserve">Object Type Score S_type: </w:t>
      </w:r>
      <w:r>
        <w:rPr>
          <w:sz w:val="22"/>
          <w:szCs w:val="22"/>
        </w:rPr>
        <w:t xml:space="preserve">A fixed score assigned by object classification. Derelict rocket bodies score 0.9 (massive, tumbling, non-manoeuvrable). Unknown fragments score 0.7 (high uncertainty). Active satellites score 0.4 (manoeuvrable). Payloads in controlled orbits score 0.3.</w:t>
      </w:r>
    </w:p>
    <w:p>
      <w:pPr>
        <w:spacing w:after="80"/>
      </w:pPr>
      <w:r>
        <w:rPr>
          <w:b/>
          <w:bCs/>
          <w:sz w:val="22"/>
          <w:szCs w:val="22"/>
        </w:rPr>
        <w:t xml:space="preserve">Staleness Score S_stale: </w:t>
      </w:r>
      <w:r>
        <w:rPr>
          <w:sz w:val="22"/>
          <w:szCs w:val="22"/>
        </w:rPr>
        <w:t xml:space="preserve">Rises linearly from 0.0 (TLE epoch is today) to 1.0 (epoch is 14 or more days old). A stale TLE means the object's predicted position can be wrong by tens of kilometres, which undermines the validity of the other scores.</w:t>
      </w:r>
    </w:p>
    <w:p>
      <w:pPr>
        <w:spacing w:after="100"/>
      </w:pPr>
    </w:p>
    <w:p>
      <w:pPr>
        <w:pStyle w:val="Heading2"/>
        <w:spacing w:after="120" w:before="320"/>
      </w:pPr>
      <w:r>
        <w:t xml:space="preserve">7.5 Weight Calibration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Sub-Score</w:t>
            </w:r>
          </w:p>
        </w:tc>
        <w:tc>
          <w:tcPr>
            <w:shd w:fill="1E3A5F" w:val="solid"/>
            <w:tcMar>
              <w:top w:type="dxa" w:w="60"/>
              <w:left w:type="dxa" w:w="100"/>
              <w:bottom w:type="dxa" w:w="60"/>
              <w:right w:type="dxa" w:w="100"/>
            </w:tcMar>
          </w:tcPr>
          <w:p>
            <w:pPr>
              <w:spacing w:after="60" w:before="60"/>
            </w:pPr>
            <w:r>
              <w:rPr>
                <w:b/>
                <w:bCs/>
                <w:color w:val="FFFFFF"/>
                <w:sz w:val="19"/>
                <w:szCs w:val="19"/>
              </w:rPr>
              <w:t xml:space="preserve">Weight</w:t>
            </w:r>
          </w:p>
        </w:tc>
        <w:tc>
          <w:tcPr>
            <w:shd w:fill="1E3A5F" w:val="solid"/>
            <w:tcMar>
              <w:top w:type="dxa" w:w="60"/>
              <w:left w:type="dxa" w:w="100"/>
              <w:bottom w:type="dxa" w:w="60"/>
              <w:right w:type="dxa" w:w="100"/>
            </w:tcMar>
          </w:tcPr>
          <w:p>
            <w:pPr>
              <w:spacing w:after="60" w:before="60"/>
            </w:pPr>
            <w:r>
              <w:rPr>
                <w:b/>
                <w:bCs/>
                <w:color w:val="FFFFFF"/>
                <w:sz w:val="19"/>
                <w:szCs w:val="19"/>
              </w:rPr>
              <w:t xml:space="preserve">Justification</w:t>
            </w:r>
          </w:p>
        </w:tc>
      </w:tr>
      <w:tr>
        <w:tc>
          <w:tcPr>
            <w:shd w:fill="EFF6FF" w:val="solid"/>
            <w:tcMar>
              <w:top w:type="dxa" w:w="60"/>
              <w:left w:type="dxa" w:w="100"/>
              <w:bottom w:type="dxa" w:w="60"/>
              <w:right w:type="dxa" w:w="100"/>
            </w:tcMar>
          </w:tcPr>
          <w:p>
            <w:pPr>
              <w:spacing w:after="60" w:before="60"/>
            </w:pPr>
            <w:r>
              <w:rPr>
                <w:sz w:val="19"/>
                <w:szCs w:val="19"/>
              </w:rPr>
              <w:t xml:space="preserve">S_alt  (Altitude)</w:t>
            </w:r>
          </w:p>
        </w:tc>
        <w:tc>
          <w:tcPr>
            <w:shd w:fill="EFF6FF" w:val="solid"/>
            <w:tcMar>
              <w:top w:type="dxa" w:w="60"/>
              <w:left w:type="dxa" w:w="100"/>
              <w:bottom w:type="dxa" w:w="60"/>
              <w:right w:type="dxa" w:w="100"/>
            </w:tcMar>
          </w:tcPr>
          <w:p>
            <w:pPr>
              <w:spacing w:after="60" w:before="60"/>
            </w:pPr>
            <w:r>
              <w:rPr>
                <w:sz w:val="19"/>
                <w:szCs w:val="19"/>
              </w:rPr>
              <w:t xml:space="preserve">0.25</w:t>
            </w:r>
          </w:p>
        </w:tc>
        <w:tc>
          <w:tcPr>
            <w:shd w:fill="EFF6FF" w:val="solid"/>
            <w:tcMar>
              <w:top w:type="dxa" w:w="60"/>
              <w:left w:type="dxa" w:w="100"/>
              <w:bottom w:type="dxa" w:w="60"/>
              <w:right w:type="dxa" w:w="100"/>
            </w:tcMar>
          </w:tcPr>
          <w:p>
            <w:pPr>
              <w:spacing w:after="60" w:before="60"/>
            </w:pPr>
            <w:r>
              <w:rPr>
                <w:sz w:val="19"/>
                <w:szCs w:val="19"/>
              </w:rPr>
              <w:t xml:space="preserve">Altitude is the primary driver of long-term debris persistence and deorbit timeline</w:t>
            </w:r>
          </w:p>
        </w:tc>
      </w:tr>
      <w:tr>
        <w:tc>
          <w:tcPr>
            <w:shd w:fill="FFFFFF" w:val="solid"/>
            <w:tcMar>
              <w:top w:type="dxa" w:w="60"/>
              <w:left w:type="dxa" w:w="100"/>
              <w:bottom w:type="dxa" w:w="60"/>
              <w:right w:type="dxa" w:w="100"/>
            </w:tcMar>
          </w:tcPr>
          <w:p>
            <w:pPr>
              <w:spacing w:after="60" w:before="60"/>
            </w:pPr>
            <w:r>
              <w:rPr>
                <w:sz w:val="19"/>
                <w:szCs w:val="19"/>
              </w:rPr>
              <w:t xml:space="preserve">S_den  (Local density)</w:t>
            </w:r>
          </w:p>
        </w:tc>
        <w:tc>
          <w:tcPr>
            <w:shd w:fill="FFFFFF" w:val="solid"/>
            <w:tcMar>
              <w:top w:type="dxa" w:w="60"/>
              <w:left w:type="dxa" w:w="100"/>
              <w:bottom w:type="dxa" w:w="60"/>
              <w:right w:type="dxa" w:w="100"/>
            </w:tcMar>
          </w:tcPr>
          <w:p>
            <w:pPr>
              <w:spacing w:after="60" w:before="60"/>
            </w:pPr>
            <w:r>
              <w:rPr>
                <w:sz w:val="19"/>
                <w:szCs w:val="19"/>
              </w:rPr>
              <w:t xml:space="preserve">0.30</w:t>
            </w:r>
          </w:p>
        </w:tc>
        <w:tc>
          <w:tcPr>
            <w:shd w:fill="FFFFFF" w:val="solid"/>
            <w:tcMar>
              <w:top w:type="dxa" w:w="60"/>
              <w:left w:type="dxa" w:w="100"/>
              <w:bottom w:type="dxa" w:w="60"/>
              <w:right w:type="dxa" w:w="100"/>
            </w:tcMar>
          </w:tcPr>
          <w:p>
            <w:pPr>
              <w:spacing w:after="60" w:before="60"/>
            </w:pPr>
            <w:r>
              <w:rPr>
                <w:sz w:val="19"/>
                <w:szCs w:val="19"/>
              </w:rPr>
              <w:t xml:space="preserve">Local orbital congestion is the most immediate and direct collision risk factor</w:t>
            </w:r>
          </w:p>
        </w:tc>
      </w:tr>
      <w:tr>
        <w:tc>
          <w:tcPr>
            <w:shd w:fill="EFF6FF" w:val="solid"/>
            <w:tcMar>
              <w:top w:type="dxa" w:w="60"/>
              <w:left w:type="dxa" w:w="100"/>
              <w:bottom w:type="dxa" w:w="60"/>
              <w:right w:type="dxa" w:w="100"/>
            </w:tcMar>
          </w:tcPr>
          <w:p>
            <w:pPr>
              <w:spacing w:after="60" w:before="60"/>
            </w:pPr>
            <w:r>
              <w:rPr>
                <w:sz w:val="19"/>
                <w:szCs w:val="19"/>
              </w:rPr>
              <w:t xml:space="preserve">S_conj (Conjunction history)</w:t>
            </w:r>
          </w:p>
        </w:tc>
        <w:tc>
          <w:tcPr>
            <w:shd w:fill="EFF6FF" w:val="solid"/>
            <w:tcMar>
              <w:top w:type="dxa" w:w="60"/>
              <w:left w:type="dxa" w:w="100"/>
              <w:bottom w:type="dxa" w:w="60"/>
              <w:right w:type="dxa" w:w="100"/>
            </w:tcMar>
          </w:tcPr>
          <w:p>
            <w:pPr>
              <w:spacing w:after="60" w:before="60"/>
            </w:pPr>
            <w:r>
              <w:rPr>
                <w:sz w:val="19"/>
                <w:szCs w:val="19"/>
              </w:rPr>
              <w:t xml:space="preserve">0.25</w:t>
            </w:r>
          </w:p>
        </w:tc>
        <w:tc>
          <w:tcPr>
            <w:shd w:fill="EFF6FF" w:val="solid"/>
            <w:tcMar>
              <w:top w:type="dxa" w:w="60"/>
              <w:left w:type="dxa" w:w="100"/>
              <w:bottom w:type="dxa" w:w="60"/>
              <w:right w:type="dxa" w:w="100"/>
            </w:tcMar>
          </w:tcPr>
          <w:p>
            <w:pPr>
              <w:spacing w:after="60" w:before="60"/>
            </w:pPr>
            <w:r>
              <w:rPr>
                <w:sz w:val="19"/>
                <w:szCs w:val="19"/>
              </w:rPr>
              <w:t xml:space="preserve">Historical close approaches are the strongest empirical predictor of future conjunction events</w:t>
            </w:r>
          </w:p>
        </w:tc>
      </w:tr>
      <w:tr>
        <w:tc>
          <w:tcPr>
            <w:shd w:fill="FFFFFF" w:val="solid"/>
            <w:tcMar>
              <w:top w:type="dxa" w:w="60"/>
              <w:left w:type="dxa" w:w="100"/>
              <w:bottom w:type="dxa" w:w="60"/>
              <w:right w:type="dxa" w:w="100"/>
            </w:tcMar>
          </w:tcPr>
          <w:p>
            <w:pPr>
              <w:spacing w:after="60" w:before="60"/>
            </w:pPr>
            <w:r>
              <w:rPr>
                <w:sz w:val="19"/>
                <w:szCs w:val="19"/>
              </w:rPr>
              <w:t xml:space="preserve">S_type (Object type)</w:t>
            </w:r>
          </w:p>
        </w:tc>
        <w:tc>
          <w:tcPr>
            <w:shd w:fill="FFFFFF" w:val="solid"/>
            <w:tcMar>
              <w:top w:type="dxa" w:w="60"/>
              <w:left w:type="dxa" w:w="100"/>
              <w:bottom w:type="dxa" w:w="60"/>
              <w:right w:type="dxa" w:w="100"/>
            </w:tcMar>
          </w:tcPr>
          <w:p>
            <w:pPr>
              <w:spacing w:after="60" w:before="60"/>
            </w:pPr>
            <w:r>
              <w:rPr>
                <w:sz w:val="19"/>
                <w:szCs w:val="19"/>
              </w:rPr>
              <w:t xml:space="preserve">0.12</w:t>
            </w:r>
          </w:p>
        </w:tc>
        <w:tc>
          <w:tcPr>
            <w:shd w:fill="FFFFFF" w:val="solid"/>
            <w:tcMar>
              <w:top w:type="dxa" w:w="60"/>
              <w:left w:type="dxa" w:w="100"/>
              <w:bottom w:type="dxa" w:w="60"/>
              <w:right w:type="dxa" w:w="100"/>
            </w:tcMar>
          </w:tcPr>
          <w:p>
            <w:pPr>
              <w:spacing w:after="60" w:before="60"/>
            </w:pPr>
            <w:r>
              <w:rPr>
                <w:sz w:val="19"/>
                <w:szCs w:val="19"/>
              </w:rPr>
              <w:t xml:space="preserve">Manoeuvrability and mass determine consequence severity, not just probability</w:t>
            </w:r>
          </w:p>
        </w:tc>
      </w:tr>
      <w:tr>
        <w:tc>
          <w:tcPr>
            <w:shd w:fill="EFF6FF" w:val="solid"/>
            <w:tcMar>
              <w:top w:type="dxa" w:w="60"/>
              <w:left w:type="dxa" w:w="100"/>
              <w:bottom w:type="dxa" w:w="60"/>
              <w:right w:type="dxa" w:w="100"/>
            </w:tcMar>
          </w:tcPr>
          <w:p>
            <w:pPr>
              <w:spacing w:after="60" w:before="60"/>
            </w:pPr>
            <w:r>
              <w:rPr>
                <w:sz w:val="19"/>
                <w:szCs w:val="19"/>
              </w:rPr>
              <w:t xml:space="preserve">S_stale (TLE age)</w:t>
            </w:r>
          </w:p>
        </w:tc>
        <w:tc>
          <w:tcPr>
            <w:shd w:fill="EFF6FF" w:val="solid"/>
            <w:tcMar>
              <w:top w:type="dxa" w:w="60"/>
              <w:left w:type="dxa" w:w="100"/>
              <w:bottom w:type="dxa" w:w="60"/>
              <w:right w:type="dxa" w:w="100"/>
            </w:tcMar>
          </w:tcPr>
          <w:p>
            <w:pPr>
              <w:spacing w:after="60" w:before="60"/>
            </w:pPr>
            <w:r>
              <w:rPr>
                <w:sz w:val="19"/>
                <w:szCs w:val="19"/>
              </w:rPr>
              <w:t xml:space="preserve">0.08</w:t>
            </w:r>
          </w:p>
        </w:tc>
        <w:tc>
          <w:tcPr>
            <w:shd w:fill="EFF6FF" w:val="solid"/>
            <w:tcMar>
              <w:top w:type="dxa" w:w="60"/>
              <w:left w:type="dxa" w:w="100"/>
              <w:bottom w:type="dxa" w:w="60"/>
              <w:right w:type="dxa" w:w="100"/>
            </w:tcMar>
          </w:tcPr>
          <w:p>
            <w:pPr>
              <w:spacing w:after="60" w:before="60"/>
            </w:pPr>
            <w:r>
              <w:rPr>
                <w:sz w:val="19"/>
                <w:szCs w:val="19"/>
              </w:rPr>
              <w:t xml:space="preserve">Affects confidence in all other sub-scores; modulates overall score reliability</w:t>
            </w:r>
          </w:p>
        </w:tc>
      </w:tr>
    </w:tbl>
    <w:p>
      <w:pPr>
        <w:spacing w:after="120" w:line="340"/>
      </w:pPr>
      <w:r>
        <w:rPr>
          <w:sz w:val="22"/>
          <w:szCs w:val="22"/>
        </w:rPr>
        <w:t xml:space="preserve">Weights were calibrated against published ESA and NASA conjunction data and validated against historically high-risk objects: the Fengyun-1C debris cloud (2007 ASAT test), the Iridium 33 / Cosmos 2251 collision remnants (2009), and BREEZE-M rocket bodies in GTO. All known high-risk objects consistently score above 80 under the model.</w:t>
      </w:r>
    </w:p>
    <w:p>
      <w:pPr>
        <w:spacing w:after="100"/>
      </w:pPr>
    </w:p>
    <w:p>
      <w:pPr>
        <w:pStyle w:val="Heading2"/>
        <w:spacing w:after="120" w:before="320"/>
      </w:pPr>
      <w:r>
        <w:t xml:space="preserve">7.6 Risk Level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Score Range</w:t>
            </w:r>
          </w:p>
        </w:tc>
        <w:tc>
          <w:tcPr>
            <w:shd w:fill="1E3A5F" w:val="solid"/>
            <w:tcMar>
              <w:top w:type="dxa" w:w="60"/>
              <w:left w:type="dxa" w:w="100"/>
              <w:bottom w:type="dxa" w:w="60"/>
              <w:right w:type="dxa" w:w="100"/>
            </w:tcMar>
          </w:tcPr>
          <w:p>
            <w:pPr>
              <w:spacing w:after="60" w:before="60"/>
            </w:pPr>
            <w:r>
              <w:rPr>
                <w:b/>
                <w:bCs/>
                <w:color w:val="FFFFFF"/>
                <w:sz w:val="19"/>
                <w:szCs w:val="19"/>
              </w:rPr>
              <w:t xml:space="preserve">Risk Level</w:t>
            </w:r>
          </w:p>
        </w:tc>
        <w:tc>
          <w:tcPr>
            <w:shd w:fill="1E3A5F" w:val="solid"/>
            <w:tcMar>
              <w:top w:type="dxa" w:w="60"/>
              <w:left w:type="dxa" w:w="100"/>
              <w:bottom w:type="dxa" w:w="60"/>
              <w:right w:type="dxa" w:w="100"/>
            </w:tcMar>
          </w:tcPr>
          <w:p>
            <w:pPr>
              <w:spacing w:after="60" w:before="60"/>
            </w:pPr>
            <w:r>
              <w:rPr>
                <w:b/>
                <w:bCs/>
                <w:color w:val="FFFFFF"/>
                <w:sz w:val="19"/>
                <w:szCs w:val="19"/>
              </w:rPr>
              <w:t xml:space="preserve">Colour Code</w:t>
            </w:r>
          </w:p>
        </w:tc>
        <w:tc>
          <w:tcPr>
            <w:shd w:fill="1E3A5F" w:val="solid"/>
            <w:tcMar>
              <w:top w:type="dxa" w:w="60"/>
              <w:left w:type="dxa" w:w="100"/>
              <w:bottom w:type="dxa" w:w="60"/>
              <w:right w:type="dxa" w:w="100"/>
            </w:tcMar>
          </w:tcPr>
          <w:p>
            <w:pPr>
              <w:spacing w:after="60" w:before="60"/>
            </w:pPr>
            <w:r>
              <w:rPr>
                <w:b/>
                <w:bCs/>
                <w:color w:val="FFFFFF"/>
                <w:sz w:val="19"/>
                <w:szCs w:val="19"/>
              </w:rPr>
              <w:t xml:space="preserve">Recommended Operator Action</w:t>
            </w:r>
          </w:p>
        </w:tc>
      </w:tr>
      <w:tr>
        <w:tc>
          <w:tcPr>
            <w:shd w:fill="EFF6FF" w:val="solid"/>
            <w:tcMar>
              <w:top w:type="dxa" w:w="60"/>
              <w:left w:type="dxa" w:w="100"/>
              <w:bottom w:type="dxa" w:w="60"/>
              <w:right w:type="dxa" w:w="100"/>
            </w:tcMar>
          </w:tcPr>
          <w:p>
            <w:pPr>
              <w:spacing w:after="60" w:before="60"/>
            </w:pPr>
            <w:r>
              <w:rPr>
                <w:sz w:val="19"/>
                <w:szCs w:val="19"/>
              </w:rPr>
              <w:t xml:space="preserve">0 – 30</w:t>
            </w:r>
          </w:p>
        </w:tc>
        <w:tc>
          <w:tcPr>
            <w:shd w:fill="EFF6FF" w:val="solid"/>
            <w:tcMar>
              <w:top w:type="dxa" w:w="60"/>
              <w:left w:type="dxa" w:w="100"/>
              <w:bottom w:type="dxa" w:w="60"/>
              <w:right w:type="dxa" w:w="100"/>
            </w:tcMar>
          </w:tcPr>
          <w:p>
            <w:pPr>
              <w:spacing w:after="60" w:before="60"/>
            </w:pPr>
            <w:r>
              <w:rPr>
                <w:sz w:val="19"/>
                <w:szCs w:val="19"/>
              </w:rPr>
              <w:t xml:space="preserve">LOW</w:t>
            </w:r>
          </w:p>
        </w:tc>
        <w:tc>
          <w:tcPr>
            <w:shd w:fill="EFF6FF" w:val="solid"/>
            <w:tcMar>
              <w:top w:type="dxa" w:w="60"/>
              <w:left w:type="dxa" w:w="100"/>
              <w:bottom w:type="dxa" w:w="60"/>
              <w:right w:type="dxa" w:w="100"/>
            </w:tcMar>
          </w:tcPr>
          <w:p>
            <w:pPr>
              <w:spacing w:after="60" w:before="60"/>
            </w:pPr>
            <w:r>
              <w:rPr>
                <w:sz w:val="19"/>
                <w:szCs w:val="19"/>
              </w:rPr>
              <w:t xml:space="preserve">Green</w:t>
            </w:r>
          </w:p>
        </w:tc>
        <w:tc>
          <w:tcPr>
            <w:shd w:fill="EFF6FF" w:val="solid"/>
            <w:tcMar>
              <w:top w:type="dxa" w:w="60"/>
              <w:left w:type="dxa" w:w="100"/>
              <w:bottom w:type="dxa" w:w="60"/>
              <w:right w:type="dxa" w:w="100"/>
            </w:tcMar>
          </w:tcPr>
          <w:p>
            <w:pPr>
              <w:spacing w:after="60" w:before="60"/>
            </w:pPr>
            <w:r>
              <w:rPr>
                <w:sz w:val="19"/>
                <w:szCs w:val="19"/>
              </w:rPr>
              <w:t xml:space="preserve">Routine monitoring; no immediate action required</w:t>
            </w:r>
          </w:p>
        </w:tc>
      </w:tr>
      <w:tr>
        <w:tc>
          <w:tcPr>
            <w:shd w:fill="FFFFFF" w:val="solid"/>
            <w:tcMar>
              <w:top w:type="dxa" w:w="60"/>
              <w:left w:type="dxa" w:w="100"/>
              <w:bottom w:type="dxa" w:w="60"/>
              <w:right w:type="dxa" w:w="100"/>
            </w:tcMar>
          </w:tcPr>
          <w:p>
            <w:pPr>
              <w:spacing w:after="60" w:before="60"/>
            </w:pPr>
            <w:r>
              <w:rPr>
                <w:sz w:val="19"/>
                <w:szCs w:val="19"/>
              </w:rPr>
              <w:t xml:space="preserve">31 – 60</w:t>
            </w:r>
          </w:p>
        </w:tc>
        <w:tc>
          <w:tcPr>
            <w:shd w:fill="FFFFFF" w:val="solid"/>
            <w:tcMar>
              <w:top w:type="dxa" w:w="60"/>
              <w:left w:type="dxa" w:w="100"/>
              <w:bottom w:type="dxa" w:w="60"/>
              <w:right w:type="dxa" w:w="100"/>
            </w:tcMar>
          </w:tcPr>
          <w:p>
            <w:pPr>
              <w:spacing w:after="60" w:before="60"/>
            </w:pPr>
            <w:r>
              <w:rPr>
                <w:sz w:val="19"/>
                <w:szCs w:val="19"/>
              </w:rPr>
              <w:t xml:space="preserve">MEDIUM</w:t>
            </w:r>
          </w:p>
        </w:tc>
        <w:tc>
          <w:tcPr>
            <w:shd w:fill="FFFFFF" w:val="solid"/>
            <w:tcMar>
              <w:top w:type="dxa" w:w="60"/>
              <w:left w:type="dxa" w:w="100"/>
              <w:bottom w:type="dxa" w:w="60"/>
              <w:right w:type="dxa" w:w="100"/>
            </w:tcMar>
          </w:tcPr>
          <w:p>
            <w:pPr>
              <w:spacing w:after="60" w:before="60"/>
            </w:pPr>
            <w:r>
              <w:rPr>
                <w:sz w:val="19"/>
                <w:szCs w:val="19"/>
              </w:rPr>
              <w:t xml:space="preserve">Amber</w:t>
            </w:r>
          </w:p>
        </w:tc>
        <w:tc>
          <w:tcPr>
            <w:shd w:fill="FFFFFF" w:val="solid"/>
            <w:tcMar>
              <w:top w:type="dxa" w:w="60"/>
              <w:left w:type="dxa" w:w="100"/>
              <w:bottom w:type="dxa" w:w="60"/>
              <w:right w:type="dxa" w:w="100"/>
            </w:tcMar>
          </w:tcPr>
          <w:p>
            <w:pPr>
              <w:spacing w:after="60" w:before="60"/>
            </w:pPr>
            <w:r>
              <w:rPr>
                <w:sz w:val="19"/>
                <w:szCs w:val="19"/>
              </w:rPr>
              <w:t xml:space="preserve">Enhanced monitoring; include in weekly conjunction review cycle</w:t>
            </w:r>
          </w:p>
        </w:tc>
      </w:tr>
      <w:tr>
        <w:tc>
          <w:tcPr>
            <w:shd w:fill="EFF6FF" w:val="solid"/>
            <w:tcMar>
              <w:top w:type="dxa" w:w="60"/>
              <w:left w:type="dxa" w:w="100"/>
              <w:bottom w:type="dxa" w:w="60"/>
              <w:right w:type="dxa" w:w="100"/>
            </w:tcMar>
          </w:tcPr>
          <w:p>
            <w:pPr>
              <w:spacing w:after="60" w:before="60"/>
            </w:pPr>
            <w:r>
              <w:rPr>
                <w:sz w:val="19"/>
                <w:szCs w:val="19"/>
              </w:rPr>
              <w:t xml:space="preserve">61 – 80</w:t>
            </w:r>
          </w:p>
        </w:tc>
        <w:tc>
          <w:tcPr>
            <w:shd w:fill="EFF6FF" w:val="solid"/>
            <w:tcMar>
              <w:top w:type="dxa" w:w="60"/>
              <w:left w:type="dxa" w:w="100"/>
              <w:bottom w:type="dxa" w:w="60"/>
              <w:right w:type="dxa" w:w="100"/>
            </w:tcMar>
          </w:tcPr>
          <w:p>
            <w:pPr>
              <w:spacing w:after="60" w:before="60"/>
            </w:pPr>
            <w:r>
              <w:rPr>
                <w:sz w:val="19"/>
                <w:szCs w:val="19"/>
              </w:rPr>
              <w:t xml:space="preserve">HIGH</w:t>
            </w:r>
          </w:p>
        </w:tc>
        <w:tc>
          <w:tcPr>
            <w:shd w:fill="EFF6FF" w:val="solid"/>
            <w:tcMar>
              <w:top w:type="dxa" w:w="60"/>
              <w:left w:type="dxa" w:w="100"/>
              <w:bottom w:type="dxa" w:w="60"/>
              <w:right w:type="dxa" w:w="100"/>
            </w:tcMar>
          </w:tcPr>
          <w:p>
            <w:pPr>
              <w:spacing w:after="60" w:before="60"/>
            </w:pPr>
            <w:r>
              <w:rPr>
                <w:sz w:val="19"/>
                <w:szCs w:val="19"/>
              </w:rPr>
              <w:t xml:space="preserve">Orange</w:t>
            </w:r>
          </w:p>
        </w:tc>
        <w:tc>
          <w:tcPr>
            <w:shd w:fill="EFF6FF" w:val="solid"/>
            <w:tcMar>
              <w:top w:type="dxa" w:w="60"/>
              <w:left w:type="dxa" w:w="100"/>
              <w:bottom w:type="dxa" w:w="60"/>
              <w:right w:type="dxa" w:w="100"/>
            </w:tcMar>
          </w:tcPr>
          <w:p>
            <w:pPr>
              <w:spacing w:after="60" w:before="60"/>
            </w:pPr>
            <w:r>
              <w:rPr>
                <w:sz w:val="19"/>
                <w:szCs w:val="19"/>
              </w:rPr>
              <w:t xml:space="preserve">Priority conjunction analysis; consider manoeuvre timeline planning</w:t>
            </w:r>
          </w:p>
        </w:tc>
      </w:tr>
      <w:tr>
        <w:tc>
          <w:tcPr>
            <w:shd w:fill="FFFFFF" w:val="solid"/>
            <w:tcMar>
              <w:top w:type="dxa" w:w="60"/>
              <w:left w:type="dxa" w:w="100"/>
              <w:bottom w:type="dxa" w:w="60"/>
              <w:right w:type="dxa" w:w="100"/>
            </w:tcMar>
          </w:tcPr>
          <w:p>
            <w:pPr>
              <w:spacing w:after="60" w:before="60"/>
            </w:pPr>
            <w:r>
              <w:rPr>
                <w:sz w:val="19"/>
                <w:szCs w:val="19"/>
              </w:rPr>
              <w:t xml:space="preserve">81 – 100</w:t>
            </w:r>
          </w:p>
        </w:tc>
        <w:tc>
          <w:tcPr>
            <w:shd w:fill="FFFFFF" w:val="solid"/>
            <w:tcMar>
              <w:top w:type="dxa" w:w="60"/>
              <w:left w:type="dxa" w:w="100"/>
              <w:bottom w:type="dxa" w:w="60"/>
              <w:right w:type="dxa" w:w="100"/>
            </w:tcMar>
          </w:tcPr>
          <w:p>
            <w:pPr>
              <w:spacing w:after="60" w:before="60"/>
            </w:pPr>
            <w:r>
              <w:rPr>
                <w:sz w:val="19"/>
                <w:szCs w:val="19"/>
              </w:rPr>
              <w:t xml:space="preserve">CRITICAL</w:t>
            </w:r>
          </w:p>
        </w:tc>
        <w:tc>
          <w:tcPr>
            <w:shd w:fill="FFFFFF" w:val="solid"/>
            <w:tcMar>
              <w:top w:type="dxa" w:w="60"/>
              <w:left w:type="dxa" w:w="100"/>
              <w:bottom w:type="dxa" w:w="60"/>
              <w:right w:type="dxa" w:w="100"/>
            </w:tcMar>
          </w:tcPr>
          <w:p>
            <w:pPr>
              <w:spacing w:after="60" w:before="60"/>
            </w:pPr>
            <w:r>
              <w:rPr>
                <w:sz w:val="19"/>
                <w:szCs w:val="19"/>
              </w:rPr>
              <w:t xml:space="preserve">Red</w:t>
            </w:r>
          </w:p>
        </w:tc>
        <w:tc>
          <w:tcPr>
            <w:shd w:fill="FFFFFF" w:val="solid"/>
            <w:tcMar>
              <w:top w:type="dxa" w:w="60"/>
              <w:left w:type="dxa" w:w="100"/>
              <w:bottom w:type="dxa" w:w="60"/>
              <w:right w:type="dxa" w:w="100"/>
            </w:tcMar>
          </w:tcPr>
          <w:p>
            <w:pPr>
              <w:spacing w:after="60" w:before="60"/>
            </w:pPr>
            <w:r>
              <w:rPr>
                <w:sz w:val="19"/>
                <w:szCs w:val="19"/>
              </w:rPr>
              <w:t xml:space="preserve">Immediate conjunction review; direct operator notification recommended</w:t>
            </w:r>
          </w:p>
        </w:tc>
      </w:tr>
    </w:tbl>
    <w:p>
      <w:pPr>
        <w:spacing w:after="100"/>
      </w:pPr>
    </w:p>
    <w:p>
      <w:pPr>
        <w:pStyle w:val="Heading2"/>
        <w:spacing w:after="120" w:before="320"/>
      </w:pPr>
      <w:r>
        <w:t xml:space="preserve">7.7 Refresh Cycle</w:t>
      </w:r>
    </w:p>
    <w:p>
      <w:pPr>
        <w:spacing w:after="120" w:line="340"/>
      </w:pPr>
      <w:r>
        <w:rPr>
          <w:sz w:val="22"/>
          <w:szCs w:val="22"/>
        </w:rPr>
        <w:t xml:space="preserve">Risk scores are fully recalculated after every TLE data refresh. By default the background scheduler runs every 6 hours; administrators can also trigger an on-demand refresh via the Admin panel. The full recalculation for the entire 25,000+ object catalogue is executed in a single database transaction, guaranteeing consistency — no object is left with a score from a previous epoch after the refresh completes.</w:t>
      </w:r>
    </w:p>
    <w:p>
      <w:pPr>
        <w:spacing w:after="100"/>
      </w:pPr>
    </w:p>
    <w:p>
      <w:r>
        <w:br w:type="page"/>
      </w:r>
    </w:p>
    <w:p>
      <w:pPr>
        <w:pStyle w:val="Heading1"/>
        <w:spacing w:after="160" w:before="480"/>
      </w:pPr>
      <w:r>
        <w:t xml:space="preserve">8. Frontend Pages &amp; User Interface</w:t>
      </w:r>
    </w:p>
    <w:p>
      <w:pPr>
        <w:spacing w:after="120" w:line="340"/>
      </w:pPr>
      <w:r>
        <w:rPr>
          <w:sz w:val="22"/>
          <w:szCs w:val="22"/>
        </w:rPr>
        <w:t xml:space="preserve">The frontend is a single-page application built with React 19 and Vite. All routing is handled client-side by Wouter. Data is fetched from the API using auto-generated TanStack Query hooks, which handle loading states, error boundaries, and background re-fetching automatically.</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Page</w:t>
            </w:r>
          </w:p>
        </w:tc>
        <w:tc>
          <w:tcPr>
            <w:shd w:fill="1E3A5F" w:val="solid"/>
            <w:tcMar>
              <w:top w:type="dxa" w:w="60"/>
              <w:left w:type="dxa" w:w="100"/>
              <w:bottom w:type="dxa" w:w="60"/>
              <w:right w:type="dxa" w:w="100"/>
            </w:tcMar>
          </w:tcPr>
          <w:p>
            <w:pPr>
              <w:spacing w:after="60" w:before="60"/>
            </w:pPr>
            <w:r>
              <w:rPr>
                <w:b/>
                <w:bCs/>
                <w:color w:val="FFFFFF"/>
                <w:sz w:val="19"/>
                <w:szCs w:val="19"/>
              </w:rPr>
              <w:t xml:space="preserve">Route</w:t>
            </w:r>
          </w:p>
        </w:tc>
        <w:tc>
          <w:tcPr>
            <w:shd w:fill="1E3A5F" w:val="solid"/>
            <w:tcMar>
              <w:top w:type="dxa" w:w="60"/>
              <w:left w:type="dxa" w:w="100"/>
              <w:bottom w:type="dxa" w:w="60"/>
              <w:right w:type="dxa" w:w="100"/>
            </w:tcMar>
          </w:tcPr>
          <w:p>
            <w:pPr>
              <w:spacing w:after="60" w:before="60"/>
            </w:pPr>
            <w:r>
              <w:rPr>
                <w:b/>
                <w:bCs/>
                <w:color w:val="FFFFFF"/>
                <w:sz w:val="19"/>
                <w:szCs w:val="19"/>
              </w:rPr>
              <w:t xml:space="preserve">Key Features</w:t>
            </w:r>
          </w:p>
        </w:tc>
      </w:tr>
      <w:tr>
        <w:tc>
          <w:tcPr>
            <w:shd w:fill="EFF6FF" w:val="solid"/>
            <w:tcMar>
              <w:top w:type="dxa" w:w="60"/>
              <w:left w:type="dxa" w:w="100"/>
              <w:bottom w:type="dxa" w:w="60"/>
              <w:right w:type="dxa" w:w="100"/>
            </w:tcMar>
          </w:tcPr>
          <w:p>
            <w:pPr>
              <w:spacing w:after="60" w:before="60"/>
            </w:pPr>
            <w:r>
              <w:rPr>
                <w:sz w:val="19"/>
                <w:szCs w:val="19"/>
              </w:rPr>
              <w:t xml:space="preserve">Landing</w:t>
            </w:r>
          </w:p>
        </w:tc>
        <w:tc>
          <w:tcPr>
            <w:shd w:fill="EFF6FF" w:val="solid"/>
            <w:tcMar>
              <w:top w:type="dxa" w:w="60"/>
              <w:left w:type="dxa" w:w="100"/>
              <w:bottom w:type="dxa" w:w="60"/>
              <w:right w:type="dxa" w:w="100"/>
            </w:tcMar>
          </w:tcPr>
          <w:p>
            <w:pPr>
              <w:spacing w:after="60" w:before="60"/>
            </w:pPr>
            <w:r>
              <w:rPr>
                <w:sz w:val="19"/>
                <w:szCs w:val="19"/>
              </w:rPr>
              <w:t xml:space="preserve">/</w:t>
            </w:r>
          </w:p>
        </w:tc>
        <w:tc>
          <w:tcPr>
            <w:shd w:fill="EFF6FF" w:val="solid"/>
            <w:tcMar>
              <w:top w:type="dxa" w:w="60"/>
              <w:left w:type="dxa" w:w="100"/>
              <w:bottom w:type="dxa" w:w="60"/>
              <w:right w:type="dxa" w:w="100"/>
            </w:tcMar>
          </w:tcPr>
          <w:p>
            <w:pPr>
              <w:spacing w:after="60" w:before="60"/>
            </w:pPr>
            <w:r>
              <w:rPr>
                <w:sz w:val="19"/>
                <w:szCs w:val="19"/>
              </w:rPr>
              <w:t xml:space="preserve">Animated canvas starfield with parallax and shooting stars; gradient hero headline; frosted-glass feature cards; Web Audio click feedback; orbital ring decorations</w:t>
            </w:r>
          </w:p>
        </w:tc>
      </w:tr>
      <w:tr>
        <w:tc>
          <w:tcPr>
            <w:shd w:fill="FFFFFF" w:val="solid"/>
            <w:tcMar>
              <w:top w:type="dxa" w:w="60"/>
              <w:left w:type="dxa" w:w="100"/>
              <w:bottom w:type="dxa" w:w="60"/>
              <w:right w:type="dxa" w:w="100"/>
            </w:tcMar>
          </w:tcPr>
          <w:p>
            <w:pPr>
              <w:spacing w:after="60" w:before="60"/>
            </w:pPr>
            <w:r>
              <w:rPr>
                <w:sz w:val="19"/>
                <w:szCs w:val="19"/>
              </w:rPr>
              <w:t xml:space="preserve">Dashboard</w:t>
            </w:r>
          </w:p>
        </w:tc>
        <w:tc>
          <w:tcPr>
            <w:shd w:fill="FFFFFF" w:val="solid"/>
            <w:tcMar>
              <w:top w:type="dxa" w:w="60"/>
              <w:left w:type="dxa" w:w="100"/>
              <w:bottom w:type="dxa" w:w="60"/>
              <w:right w:type="dxa" w:w="100"/>
            </w:tcMar>
          </w:tcPr>
          <w:p>
            <w:pPr>
              <w:spacing w:after="60" w:before="60"/>
            </w:pPr>
            <w:r>
              <w:rPr>
                <w:sz w:val="19"/>
                <w:szCs w:val="19"/>
              </w:rPr>
              <w:t xml:space="preserve">/dashboard</w:t>
            </w:r>
          </w:p>
        </w:tc>
        <w:tc>
          <w:tcPr>
            <w:shd w:fill="FFFFFF" w:val="solid"/>
            <w:tcMar>
              <w:top w:type="dxa" w:w="60"/>
              <w:left w:type="dxa" w:w="100"/>
              <w:bottom w:type="dxa" w:w="60"/>
              <w:right w:type="dxa" w:w="100"/>
            </w:tcMar>
          </w:tcPr>
          <w:p>
            <w:pPr>
              <w:spacing w:after="60" w:before="60"/>
            </w:pPr>
            <w:r>
              <w:rPr>
                <w:sz w:val="19"/>
                <w:szCs w:val="19"/>
              </w:rPr>
              <w:t xml:space="preserve">Live stat tiles (satellites, debris, rocket bodies, high-risk objects); orbit-type pie chart; recent collision warnings panel; last-refresh timestamp</w:t>
            </w:r>
          </w:p>
        </w:tc>
      </w:tr>
      <w:tr>
        <w:tc>
          <w:tcPr>
            <w:shd w:fill="EFF6FF" w:val="solid"/>
            <w:tcMar>
              <w:top w:type="dxa" w:w="60"/>
              <w:left w:type="dxa" w:w="100"/>
              <w:bottom w:type="dxa" w:w="60"/>
              <w:right w:type="dxa" w:w="100"/>
            </w:tcMar>
          </w:tcPr>
          <w:p>
            <w:pPr>
              <w:spacing w:after="60" w:before="60"/>
            </w:pPr>
            <w:r>
              <w:rPr>
                <w:sz w:val="19"/>
                <w:szCs w:val="19"/>
              </w:rPr>
              <w:t xml:space="preserve">Satellites</w:t>
            </w:r>
          </w:p>
        </w:tc>
        <w:tc>
          <w:tcPr>
            <w:shd w:fill="EFF6FF" w:val="solid"/>
            <w:tcMar>
              <w:top w:type="dxa" w:w="60"/>
              <w:left w:type="dxa" w:w="100"/>
              <w:bottom w:type="dxa" w:w="60"/>
              <w:right w:type="dxa" w:w="100"/>
            </w:tcMar>
          </w:tcPr>
          <w:p>
            <w:pPr>
              <w:spacing w:after="60" w:before="60"/>
            </w:pPr>
            <w:r>
              <w:rPr>
                <w:sz w:val="19"/>
                <w:szCs w:val="19"/>
              </w:rPr>
              <w:t xml:space="preserve">/satellites</w:t>
            </w:r>
          </w:p>
        </w:tc>
        <w:tc>
          <w:tcPr>
            <w:shd w:fill="EFF6FF" w:val="solid"/>
            <w:tcMar>
              <w:top w:type="dxa" w:w="60"/>
              <w:left w:type="dxa" w:w="100"/>
              <w:bottom w:type="dxa" w:w="60"/>
              <w:right w:type="dxa" w:w="100"/>
            </w:tcMar>
          </w:tcPr>
          <w:p>
            <w:pPr>
              <w:spacing w:after="60" w:before="60"/>
            </w:pPr>
            <w:r>
              <w:rPr>
                <w:sz w:val="19"/>
                <w:szCs w:val="19"/>
              </w:rPr>
              <w:t xml:space="preserve">Searchable and filterable table of 25,000+ objects; columns: NORAD ID, name, orbit type, altitude, risk level; click-through to satellite detail</w:t>
            </w:r>
          </w:p>
        </w:tc>
      </w:tr>
      <w:tr>
        <w:tc>
          <w:tcPr>
            <w:shd w:fill="FFFFFF" w:val="solid"/>
            <w:tcMar>
              <w:top w:type="dxa" w:w="60"/>
              <w:left w:type="dxa" w:w="100"/>
              <w:bottom w:type="dxa" w:w="60"/>
              <w:right w:type="dxa" w:w="100"/>
            </w:tcMar>
          </w:tcPr>
          <w:p>
            <w:pPr>
              <w:spacing w:after="60" w:before="60"/>
            </w:pPr>
            <w:r>
              <w:rPr>
                <w:sz w:val="19"/>
                <w:szCs w:val="19"/>
              </w:rPr>
              <w:t xml:space="preserve">Satellite Detail</w:t>
            </w:r>
          </w:p>
        </w:tc>
        <w:tc>
          <w:tcPr>
            <w:shd w:fill="FFFFFF" w:val="solid"/>
            <w:tcMar>
              <w:top w:type="dxa" w:w="60"/>
              <w:left w:type="dxa" w:w="100"/>
              <w:bottom w:type="dxa" w:w="60"/>
              <w:right w:type="dxa" w:w="100"/>
            </w:tcMar>
          </w:tcPr>
          <w:p>
            <w:pPr>
              <w:spacing w:after="60" w:before="60"/>
            </w:pPr>
            <w:r>
              <w:rPr>
                <w:sz w:val="19"/>
                <w:szCs w:val="19"/>
              </w:rPr>
              <w:t xml:space="preserve">/satellites/:id</w:t>
            </w:r>
          </w:p>
        </w:tc>
        <w:tc>
          <w:tcPr>
            <w:shd w:fill="FFFFFF" w:val="solid"/>
            <w:tcMar>
              <w:top w:type="dxa" w:w="60"/>
              <w:left w:type="dxa" w:w="100"/>
              <w:bottom w:type="dxa" w:w="60"/>
              <w:right w:type="dxa" w:w="100"/>
            </w:tcMar>
          </w:tcPr>
          <w:p>
            <w:pPr>
              <w:spacing w:after="60" w:before="60"/>
            </w:pPr>
            <w:r>
              <w:rPr>
                <w:sz w:val="19"/>
                <w:szCs w:val="19"/>
              </w:rPr>
              <w:t xml:space="preserve">Full TLE parameters; orbital elements table; risk score with factor breakdown; 30-day conjunction history</w:t>
            </w:r>
          </w:p>
        </w:tc>
      </w:tr>
      <w:tr>
        <w:tc>
          <w:tcPr>
            <w:shd w:fill="EFF6FF" w:val="solid"/>
            <w:tcMar>
              <w:top w:type="dxa" w:w="60"/>
              <w:left w:type="dxa" w:w="100"/>
              <w:bottom w:type="dxa" w:w="60"/>
              <w:right w:type="dxa" w:w="100"/>
            </w:tcMar>
          </w:tcPr>
          <w:p>
            <w:pPr>
              <w:spacing w:after="60" w:before="60"/>
            </w:pPr>
            <w:r>
              <w:rPr>
                <w:sz w:val="19"/>
                <w:szCs w:val="19"/>
              </w:rPr>
              <w:t xml:space="preserve">Debris</w:t>
            </w:r>
          </w:p>
        </w:tc>
        <w:tc>
          <w:tcPr>
            <w:shd w:fill="EFF6FF" w:val="solid"/>
            <w:tcMar>
              <w:top w:type="dxa" w:w="60"/>
              <w:left w:type="dxa" w:w="100"/>
              <w:bottom w:type="dxa" w:w="60"/>
              <w:right w:type="dxa" w:w="100"/>
            </w:tcMar>
          </w:tcPr>
          <w:p>
            <w:pPr>
              <w:spacing w:after="60" w:before="60"/>
            </w:pPr>
            <w:r>
              <w:rPr>
                <w:sz w:val="19"/>
                <w:szCs w:val="19"/>
              </w:rPr>
              <w:t xml:space="preserve">/debris</w:t>
            </w:r>
          </w:p>
        </w:tc>
        <w:tc>
          <w:tcPr>
            <w:shd w:fill="EFF6FF" w:val="solid"/>
            <w:tcMar>
              <w:top w:type="dxa" w:w="60"/>
              <w:left w:type="dxa" w:w="100"/>
              <w:bottom w:type="dxa" w:w="60"/>
              <w:right w:type="dxa" w:w="100"/>
            </w:tcMar>
          </w:tcPr>
          <w:p>
            <w:pPr>
              <w:spacing w:after="60" w:before="60"/>
            </w:pPr>
            <w:r>
              <w:rPr>
                <w:sz w:val="19"/>
                <w:szCs w:val="19"/>
              </w:rPr>
              <w:t xml:space="preserve">Dedicated tracker for non-satellite objects; filter by rocket body / fragment; altitude histogram; sortable table</w:t>
            </w:r>
          </w:p>
        </w:tc>
      </w:tr>
      <w:tr>
        <w:tc>
          <w:tcPr>
            <w:shd w:fill="FFFFFF" w:val="solid"/>
            <w:tcMar>
              <w:top w:type="dxa" w:w="60"/>
              <w:left w:type="dxa" w:w="100"/>
              <w:bottom w:type="dxa" w:w="60"/>
              <w:right w:type="dxa" w:w="100"/>
            </w:tcMar>
          </w:tcPr>
          <w:p>
            <w:pPr>
              <w:spacing w:after="60" w:before="60"/>
            </w:pPr>
            <w:r>
              <w:rPr>
                <w:sz w:val="19"/>
                <w:szCs w:val="19"/>
              </w:rPr>
              <w:t xml:space="preserve">Analytics</w:t>
            </w:r>
          </w:p>
        </w:tc>
        <w:tc>
          <w:tcPr>
            <w:shd w:fill="FFFFFF" w:val="solid"/>
            <w:tcMar>
              <w:top w:type="dxa" w:w="60"/>
              <w:left w:type="dxa" w:w="100"/>
              <w:bottom w:type="dxa" w:w="60"/>
              <w:right w:type="dxa" w:w="100"/>
            </w:tcMar>
          </w:tcPr>
          <w:p>
            <w:pPr>
              <w:spacing w:after="60" w:before="60"/>
            </w:pPr>
            <w:r>
              <w:rPr>
                <w:sz w:val="19"/>
                <w:szCs w:val="19"/>
              </w:rPr>
              <w:t xml:space="preserve">/analytics</w:t>
            </w:r>
          </w:p>
        </w:tc>
        <w:tc>
          <w:tcPr>
            <w:shd w:fill="FFFFFF" w:val="solid"/>
            <w:tcMar>
              <w:top w:type="dxa" w:w="60"/>
              <w:left w:type="dxa" w:w="100"/>
              <w:bottom w:type="dxa" w:w="60"/>
              <w:right w:type="dxa" w:w="100"/>
            </w:tcMar>
          </w:tcPr>
          <w:p>
            <w:pPr>
              <w:spacing w:after="60" w:before="60"/>
            </w:pPr>
            <w:r>
              <w:rPr>
                <w:sz w:val="19"/>
                <w:szCs w:val="19"/>
              </w:rPr>
              <w:t xml:space="preserve">Bar and area charts: objects per orbit band, altitude distribution, inclination heatmap, object-type donut; all powered by Recharts</w:t>
            </w:r>
          </w:p>
        </w:tc>
      </w:tr>
      <w:tr>
        <w:tc>
          <w:tcPr>
            <w:shd w:fill="EFF6FF" w:val="solid"/>
            <w:tcMar>
              <w:top w:type="dxa" w:w="60"/>
              <w:left w:type="dxa" w:w="100"/>
              <w:bottom w:type="dxa" w:w="60"/>
              <w:right w:type="dxa" w:w="100"/>
            </w:tcMar>
          </w:tcPr>
          <w:p>
            <w:pPr>
              <w:spacing w:after="60" w:before="60"/>
            </w:pPr>
            <w:r>
              <w:rPr>
                <w:sz w:val="19"/>
                <w:szCs w:val="19"/>
              </w:rPr>
              <w:t xml:space="preserve">Forecast</w:t>
            </w:r>
          </w:p>
        </w:tc>
        <w:tc>
          <w:tcPr>
            <w:shd w:fill="EFF6FF" w:val="solid"/>
            <w:tcMar>
              <w:top w:type="dxa" w:w="60"/>
              <w:left w:type="dxa" w:w="100"/>
              <w:bottom w:type="dxa" w:w="60"/>
              <w:right w:type="dxa" w:w="100"/>
            </w:tcMar>
          </w:tcPr>
          <w:p>
            <w:pPr>
              <w:spacing w:after="60" w:before="60"/>
            </w:pPr>
            <w:r>
              <w:rPr>
                <w:sz w:val="19"/>
                <w:szCs w:val="19"/>
              </w:rPr>
              <w:t xml:space="preserve">/analytics/forecast</w:t>
            </w:r>
          </w:p>
        </w:tc>
        <w:tc>
          <w:tcPr>
            <w:shd w:fill="EFF6FF" w:val="solid"/>
            <w:tcMar>
              <w:top w:type="dxa" w:w="60"/>
              <w:left w:type="dxa" w:w="100"/>
              <w:bottom w:type="dxa" w:w="60"/>
              <w:right w:type="dxa" w:w="100"/>
            </w:tcMar>
          </w:tcPr>
          <w:p>
            <w:pPr>
              <w:spacing w:after="60" w:before="60"/>
            </w:pPr>
            <w:r>
              <w:rPr>
                <w:sz w:val="19"/>
                <w:szCs w:val="19"/>
              </w:rPr>
              <w:t xml:space="preserve">5-year orbital population projection chart; configurable annual growth rate assumption</w:t>
            </w:r>
          </w:p>
        </w:tc>
      </w:tr>
      <w:tr>
        <w:tc>
          <w:tcPr>
            <w:shd w:fill="FFFFFF" w:val="solid"/>
            <w:tcMar>
              <w:top w:type="dxa" w:w="60"/>
              <w:left w:type="dxa" w:w="100"/>
              <w:bottom w:type="dxa" w:w="60"/>
              <w:right w:type="dxa" w:w="100"/>
            </w:tcMar>
          </w:tcPr>
          <w:p>
            <w:pPr>
              <w:spacing w:after="60" w:before="60"/>
            </w:pPr>
            <w:r>
              <w:rPr>
                <w:sz w:val="19"/>
                <w:szCs w:val="19"/>
              </w:rPr>
              <w:t xml:space="preserve">Risk Engine</w:t>
            </w:r>
          </w:p>
        </w:tc>
        <w:tc>
          <w:tcPr>
            <w:shd w:fill="FFFFFF" w:val="solid"/>
            <w:tcMar>
              <w:top w:type="dxa" w:w="60"/>
              <w:left w:type="dxa" w:w="100"/>
              <w:bottom w:type="dxa" w:w="60"/>
              <w:right w:type="dxa" w:w="100"/>
            </w:tcMar>
          </w:tcPr>
          <w:p>
            <w:pPr>
              <w:spacing w:after="60" w:before="60"/>
            </w:pPr>
            <w:r>
              <w:rPr>
                <w:sz w:val="19"/>
                <w:szCs w:val="19"/>
              </w:rPr>
              <w:t xml:space="preserve">/risk</w:t>
            </w:r>
          </w:p>
        </w:tc>
        <w:tc>
          <w:tcPr>
            <w:shd w:fill="FFFFFF" w:val="solid"/>
            <w:tcMar>
              <w:top w:type="dxa" w:w="60"/>
              <w:left w:type="dxa" w:w="100"/>
              <w:bottom w:type="dxa" w:w="60"/>
              <w:right w:type="dxa" w:w="100"/>
            </w:tcMar>
          </w:tcPr>
          <w:p>
            <w:pPr>
              <w:spacing w:after="60" w:before="60"/>
            </w:pPr>
            <w:r>
              <w:rPr>
                <w:sz w:val="19"/>
                <w:szCs w:val="19"/>
              </w:rPr>
              <w:t xml:space="preserve">Ranked leaderboard of the highest-risk objects; risk-score distribution bar chart; filter by LOW / MEDIUM / HIGH / CRITICAL</w:t>
            </w:r>
          </w:p>
        </w:tc>
      </w:tr>
      <w:tr>
        <w:tc>
          <w:tcPr>
            <w:shd w:fill="EFF6FF" w:val="solid"/>
            <w:tcMar>
              <w:top w:type="dxa" w:w="60"/>
              <w:left w:type="dxa" w:w="100"/>
              <w:bottom w:type="dxa" w:w="60"/>
              <w:right w:type="dxa" w:w="100"/>
            </w:tcMar>
          </w:tcPr>
          <w:p>
            <w:pPr>
              <w:spacing w:after="60" w:before="60"/>
            </w:pPr>
            <w:r>
              <w:rPr>
                <w:sz w:val="19"/>
                <w:szCs w:val="19"/>
              </w:rPr>
              <w:t xml:space="preserve">Collisions</w:t>
            </w:r>
          </w:p>
        </w:tc>
        <w:tc>
          <w:tcPr>
            <w:shd w:fill="EFF6FF" w:val="solid"/>
            <w:tcMar>
              <w:top w:type="dxa" w:w="60"/>
              <w:left w:type="dxa" w:w="100"/>
              <w:bottom w:type="dxa" w:w="60"/>
              <w:right w:type="dxa" w:w="100"/>
            </w:tcMar>
          </w:tcPr>
          <w:p>
            <w:pPr>
              <w:spacing w:after="60" w:before="60"/>
            </w:pPr>
            <w:r>
              <w:rPr>
                <w:sz w:val="19"/>
                <w:szCs w:val="19"/>
              </w:rPr>
              <w:t xml:space="preserve">/collisions</w:t>
            </w:r>
          </w:p>
        </w:tc>
        <w:tc>
          <w:tcPr>
            <w:shd w:fill="EFF6FF" w:val="solid"/>
            <w:tcMar>
              <w:top w:type="dxa" w:w="60"/>
              <w:left w:type="dxa" w:w="100"/>
              <w:bottom w:type="dxa" w:w="60"/>
              <w:right w:type="dxa" w:w="100"/>
            </w:tcMar>
          </w:tcPr>
          <w:p>
            <w:pPr>
              <w:spacing w:after="60" w:before="60"/>
            </w:pPr>
            <w:r>
              <w:rPr>
                <w:sz w:val="19"/>
                <w:szCs w:val="19"/>
              </w:rPr>
              <w:t xml:space="preserve">Active conjunction warning cards showing two objects, miss distance, probability of collision, severity badge, and time-to-closest-approach</w:t>
            </w:r>
          </w:p>
        </w:tc>
      </w:tr>
      <w:tr>
        <w:tc>
          <w:tcPr>
            <w:shd w:fill="FFFFFF" w:val="solid"/>
            <w:tcMar>
              <w:top w:type="dxa" w:w="60"/>
              <w:left w:type="dxa" w:w="100"/>
              <w:bottom w:type="dxa" w:w="60"/>
              <w:right w:type="dxa" w:w="100"/>
            </w:tcMar>
          </w:tcPr>
          <w:p>
            <w:pPr>
              <w:spacing w:after="60" w:before="60"/>
            </w:pPr>
            <w:r>
              <w:rPr>
                <w:sz w:val="19"/>
                <w:szCs w:val="19"/>
              </w:rPr>
              <w:t xml:space="preserve">Launch Tracker</w:t>
            </w:r>
          </w:p>
        </w:tc>
        <w:tc>
          <w:tcPr>
            <w:shd w:fill="FFFFFF" w:val="solid"/>
            <w:tcMar>
              <w:top w:type="dxa" w:w="60"/>
              <w:left w:type="dxa" w:w="100"/>
              <w:bottom w:type="dxa" w:w="60"/>
              <w:right w:type="dxa" w:w="100"/>
            </w:tcMar>
          </w:tcPr>
          <w:p>
            <w:pPr>
              <w:spacing w:after="60" w:before="60"/>
            </w:pPr>
            <w:r>
              <w:rPr>
                <w:sz w:val="19"/>
                <w:szCs w:val="19"/>
              </w:rPr>
              <w:t xml:space="preserve">/launches</w:t>
            </w:r>
          </w:p>
        </w:tc>
        <w:tc>
          <w:tcPr>
            <w:shd w:fill="FFFFFF" w:val="solid"/>
            <w:tcMar>
              <w:top w:type="dxa" w:w="60"/>
              <w:left w:type="dxa" w:w="100"/>
              <w:bottom w:type="dxa" w:w="60"/>
              <w:right w:type="dxa" w:w="100"/>
            </w:tcMar>
          </w:tcPr>
          <w:p>
            <w:pPr>
              <w:spacing w:after="60" w:before="60"/>
            </w:pPr>
            <w:r>
              <w:rPr>
                <w:sz w:val="19"/>
                <w:szCs w:val="19"/>
              </w:rPr>
              <w:t xml:space="preserve">Upcoming / Recent tab toggle; live countdown timer; launch cards with mission photo, provider, rocket family, launch site, orbit, and mission description</w:t>
            </w:r>
          </w:p>
        </w:tc>
      </w:tr>
      <w:tr>
        <w:tc>
          <w:tcPr>
            <w:shd w:fill="EFF6FF" w:val="solid"/>
            <w:tcMar>
              <w:top w:type="dxa" w:w="60"/>
              <w:left w:type="dxa" w:w="100"/>
              <w:bottom w:type="dxa" w:w="60"/>
              <w:right w:type="dxa" w:w="100"/>
            </w:tcMar>
          </w:tcPr>
          <w:p>
            <w:pPr>
              <w:spacing w:after="60" w:before="60"/>
            </w:pPr>
            <w:r>
              <w:rPr>
                <w:sz w:val="19"/>
                <w:szCs w:val="19"/>
              </w:rPr>
              <w:t xml:space="preserve">Admin</w:t>
            </w:r>
          </w:p>
        </w:tc>
        <w:tc>
          <w:tcPr>
            <w:shd w:fill="EFF6FF" w:val="solid"/>
            <w:tcMar>
              <w:top w:type="dxa" w:w="60"/>
              <w:left w:type="dxa" w:w="100"/>
              <w:bottom w:type="dxa" w:w="60"/>
              <w:right w:type="dxa" w:w="100"/>
            </w:tcMar>
          </w:tcPr>
          <w:p>
            <w:pPr>
              <w:spacing w:after="60" w:before="60"/>
            </w:pPr>
            <w:r>
              <w:rPr>
                <w:sz w:val="19"/>
                <w:szCs w:val="19"/>
              </w:rPr>
              <w:t xml:space="preserve">/admin</w:t>
            </w:r>
          </w:p>
        </w:tc>
        <w:tc>
          <w:tcPr>
            <w:shd w:fill="EFF6FF" w:val="solid"/>
            <w:tcMar>
              <w:top w:type="dxa" w:w="60"/>
              <w:left w:type="dxa" w:w="100"/>
              <w:bottom w:type="dxa" w:w="60"/>
              <w:right w:type="dxa" w:w="100"/>
            </w:tcMar>
          </w:tcPr>
          <w:p>
            <w:pPr>
              <w:spacing w:after="60" w:before="60"/>
            </w:pPr>
            <w:r>
              <w:rPr>
                <w:sz w:val="19"/>
                <w:szCs w:val="19"/>
              </w:rPr>
              <w:t xml:space="preserve">Pipeline health dashboard; manual refresh button; scheduler status; objects fetched per run; data-source connectivity indicators</w:t>
            </w:r>
          </w:p>
        </w:tc>
      </w:tr>
      <w:tr>
        <w:tc>
          <w:tcPr>
            <w:shd w:fill="FFFFFF" w:val="solid"/>
            <w:tcMar>
              <w:top w:type="dxa" w:w="60"/>
              <w:left w:type="dxa" w:w="100"/>
              <w:bottom w:type="dxa" w:w="60"/>
              <w:right w:type="dxa" w:w="100"/>
            </w:tcMar>
          </w:tcPr>
          <w:p>
            <w:pPr>
              <w:spacing w:after="60" w:before="60"/>
            </w:pPr>
            <w:r>
              <w:rPr>
                <w:sz w:val="19"/>
                <w:szCs w:val="19"/>
              </w:rPr>
              <w:t xml:space="preserve">About</w:t>
            </w:r>
          </w:p>
        </w:tc>
        <w:tc>
          <w:tcPr>
            <w:shd w:fill="FFFFFF" w:val="solid"/>
            <w:tcMar>
              <w:top w:type="dxa" w:w="60"/>
              <w:left w:type="dxa" w:w="100"/>
              <w:bottom w:type="dxa" w:w="60"/>
              <w:right w:type="dxa" w:w="100"/>
            </w:tcMar>
          </w:tcPr>
          <w:p>
            <w:pPr>
              <w:spacing w:after="60" w:before="60"/>
            </w:pPr>
            <w:r>
              <w:rPr>
                <w:sz w:val="19"/>
                <w:szCs w:val="19"/>
              </w:rPr>
              <w:t xml:space="preserve">/about</w:t>
            </w:r>
          </w:p>
        </w:tc>
        <w:tc>
          <w:tcPr>
            <w:shd w:fill="FFFFFF" w:val="solid"/>
            <w:tcMar>
              <w:top w:type="dxa" w:w="60"/>
              <w:left w:type="dxa" w:w="100"/>
              <w:bottom w:type="dxa" w:w="60"/>
              <w:right w:type="dxa" w:w="100"/>
            </w:tcMar>
          </w:tcPr>
          <w:p>
            <w:pPr>
              <w:spacing w:after="60" w:before="60"/>
            </w:pPr>
            <w:r>
              <w:rPr>
                <w:sz w:val="19"/>
                <w:szCs w:val="19"/>
              </w:rPr>
              <w:t xml:space="preserve">Platform overview; data source attribution; orbital mechanics primer for non-specialist readers</w:t>
            </w:r>
          </w:p>
        </w:tc>
      </w:tr>
    </w:tbl>
    <w:p>
      <w:pPr>
        <w:spacing w:after="100"/>
      </w:pPr>
    </w:p>
    <w:p>
      <w:pPr>
        <w:pStyle w:val="Heading2"/>
        <w:spacing w:after="120" w:before="320"/>
      </w:pPr>
      <w:r>
        <w:t xml:space="preserve">8.1 Visual Design Language</w:t>
      </w:r>
    </w:p>
    <w:p>
      <w:pPr>
        <w:pStyle w:val="ListParagraph"/>
        <w:numPr>
          <w:ilvl w:val="0"/>
          <w:numId w:val="1"/>
        </w:numPr>
        <w:spacing w:after="80"/>
      </w:pPr>
      <w:r>
        <w:rPr>
          <w:sz w:val="22"/>
          <w:szCs w:val="22"/>
        </w:rPr>
        <w:t xml:space="preserve">Colour palette: deep-space black (#020812 landing, #070d18 app) base; electric cyan (#0EA5E9) accent; navy (#1E3A5F) primary headings.</w:t>
      </w:r>
    </w:p>
    <w:p>
      <w:pPr>
        <w:pStyle w:val="ListParagraph"/>
        <w:numPr>
          <w:ilvl w:val="0"/>
          <w:numId w:val="1"/>
        </w:numPr>
        <w:spacing w:after="80"/>
      </w:pPr>
      <w:r>
        <w:rPr>
          <w:sz w:val="22"/>
          <w:szCs w:val="22"/>
        </w:rPr>
        <w:t xml:space="preserve">Cards use backdrop-filter: blur() with a semi-transparent border, readable over both the animated starfield and the subtle dark backgrounds of interior pages.</w:t>
      </w:r>
    </w:p>
    <w:p>
      <w:pPr>
        <w:pStyle w:val="ListParagraph"/>
        <w:numPr>
          <w:ilvl w:val="0"/>
          <w:numId w:val="1"/>
        </w:numPr>
        <w:spacing w:after="80"/>
      </w:pPr>
      <w:r>
        <w:rPr>
          <w:sz w:val="22"/>
          <w:szCs w:val="22"/>
        </w:rPr>
        <w:t xml:space="preserve">Status badges (LOW / MEDIUM / HIGH / CRITICAL) use filled colour chips — green, amber, orange, red — for instant visual triage without reading the label.</w:t>
      </w:r>
    </w:p>
    <w:p>
      <w:pPr>
        <w:pStyle w:val="ListParagraph"/>
        <w:numPr>
          <w:ilvl w:val="0"/>
          <w:numId w:val="1"/>
        </w:numPr>
        <w:spacing w:after="80"/>
      </w:pPr>
      <w:r>
        <w:rPr>
          <w:sz w:val="22"/>
          <w:szCs w:val="22"/>
        </w:rPr>
        <w:t xml:space="preserve">All interactive elements provide tactile audio feedback via the Web Audio API: a soft click on navigation links, a tone on successful operations, and a higher-pitched alert for warnings. No audio files are used — all sounds are synthesised in real time from oscillators.</w:t>
      </w:r>
    </w:p>
    <w:p>
      <w:pPr>
        <w:pStyle w:val="ListParagraph"/>
        <w:numPr>
          <w:ilvl w:val="0"/>
          <w:numId w:val="1"/>
        </w:numPr>
        <w:spacing w:after="80"/>
      </w:pPr>
      <w:r>
        <w:rPr>
          <w:sz w:val="22"/>
          <w:szCs w:val="22"/>
        </w:rPr>
        <w:t xml:space="preserve">Typography is set in the system-ui / Calibri stack for maximum cross-platform readability with no web font load latency.</w:t>
      </w:r>
    </w:p>
    <w:p>
      <w:pPr>
        <w:spacing w:after="100"/>
      </w:pPr>
    </w:p>
    <w:p>
      <w:pPr>
        <w:pStyle w:val="Heading2"/>
        <w:spacing w:after="120" w:before="320"/>
      </w:pPr>
      <w:r>
        <w:t xml:space="preserve">8.2 Animated StarField Component</w:t>
      </w:r>
    </w:p>
    <w:p>
      <w:pPr>
        <w:spacing w:after="120" w:line="340"/>
      </w:pPr>
      <w:r>
        <w:rPr>
          <w:sz w:val="22"/>
          <w:szCs w:val="22"/>
        </w:rPr>
        <w:t xml:space="preserve">The landing page background is rendered on a full-screen HTML5 Canvas element managed by the StarField React component. Technical behaviours:</w:t>
      </w:r>
    </w:p>
    <w:p>
      <w:pPr>
        <w:pStyle w:val="ListParagraph"/>
        <w:numPr>
          <w:ilvl w:val="0"/>
          <w:numId w:val="1"/>
        </w:numPr>
        <w:spacing w:after="80"/>
      </w:pPr>
      <w:r>
        <w:rPr>
          <w:sz w:val="22"/>
          <w:szCs w:val="22"/>
        </w:rPr>
        <w:t xml:space="preserve">220 stars are initialised at random positions with randomised depth values (z ∈ [0.0, 1.0]). Deeper stars are rendered smaller and displaced less by mouse movement, creating natural parallax depth.</w:t>
      </w:r>
    </w:p>
    <w:p>
      <w:pPr>
        <w:pStyle w:val="ListParagraph"/>
        <w:numPr>
          <w:ilvl w:val="0"/>
          <w:numId w:val="1"/>
        </w:numPr>
        <w:spacing w:after="80"/>
      </w:pPr>
      <w:r>
        <w:rPr>
          <w:sz w:val="22"/>
          <w:szCs w:val="22"/>
        </w:rPr>
        <w:t xml:space="preserve">Mouse movement shifts each star's draw position by up to 18 pixels proportional to its depth value — giving the scene a three-dimensional feel that responds to the viewer's cursor.</w:t>
      </w:r>
    </w:p>
    <w:p>
      <w:pPr>
        <w:pStyle w:val="ListParagraph"/>
        <w:numPr>
          <w:ilvl w:val="0"/>
          <w:numId w:val="1"/>
        </w:numPr>
        <w:spacing w:after="80"/>
      </w:pPr>
      <w:r>
        <w:rPr>
          <w:sz w:val="22"/>
          <w:szCs w:val="22"/>
        </w:rPr>
        <w:t xml:space="preserve">Each star's opacity oscillates on an independent sine-wave cycle with a random phase offset, producing asynchronous organic twinkling across the field.</w:t>
      </w:r>
    </w:p>
    <w:p>
      <w:pPr>
        <w:pStyle w:val="ListParagraph"/>
        <w:numPr>
          <w:ilvl w:val="0"/>
          <w:numId w:val="1"/>
        </w:numPr>
        <w:spacing w:after="80"/>
      </w:pPr>
      <w:r>
        <w:rPr>
          <w:sz w:val="22"/>
          <w:szCs w:val="22"/>
        </w:rPr>
        <w:t xml:space="preserve">Shooting stars spawn at random intervals (4–7 seconds). Each travels at a randomised angle (20–50° from horizontal), fades in quickly, and fades out over 30–70 animation frames before being removed.</w:t>
      </w:r>
    </w:p>
    <w:p>
      <w:pPr>
        <w:pStyle w:val="ListParagraph"/>
        <w:numPr>
          <w:ilvl w:val="0"/>
          <w:numId w:val="1"/>
        </w:numPr>
        <w:spacing w:after="80"/>
      </w:pPr>
      <w:r>
        <w:rPr>
          <w:sz w:val="22"/>
          <w:szCs w:val="22"/>
        </w:rPr>
        <w:t xml:space="preserve">A ResizeObserver re-measures the canvas dimensions whenever the viewport changes, ensuring the effect fills the container exactly on any screen size.</w:t>
      </w:r>
    </w:p>
    <w:p>
      <w:pPr>
        <w:spacing w:after="100"/>
      </w:pPr>
    </w:p>
    <w:p>
      <w:r>
        <w:br w:type="page"/>
      </w:r>
    </w:p>
    <w:p>
      <w:pPr>
        <w:pStyle w:val="Heading1"/>
        <w:spacing w:after="160" w:before="480"/>
      </w:pPr>
      <w:r>
        <w:t xml:space="preserve">9. External 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Data Source</w:t>
            </w:r>
          </w:p>
        </w:tc>
        <w:tc>
          <w:tcPr>
            <w:shd w:fill="1E3A5F" w:val="solid"/>
            <w:tcMar>
              <w:top w:type="dxa" w:w="60"/>
              <w:left w:type="dxa" w:w="100"/>
              <w:bottom w:type="dxa" w:w="60"/>
              <w:right w:type="dxa" w:w="100"/>
            </w:tcMar>
          </w:tcPr>
          <w:p>
            <w:pPr>
              <w:spacing w:after="60" w:before="60"/>
            </w:pPr>
            <w:r>
              <w:rPr>
                <w:b/>
                <w:bCs/>
                <w:color w:val="FFFFFF"/>
                <w:sz w:val="19"/>
                <w:szCs w:val="19"/>
              </w:rPr>
              <w:t xml:space="preserve">Base URL</w:t>
            </w:r>
          </w:p>
        </w:tc>
        <w:tc>
          <w:tcPr>
            <w:shd w:fill="1E3A5F" w:val="solid"/>
            <w:tcMar>
              <w:top w:type="dxa" w:w="60"/>
              <w:left w:type="dxa" w:w="100"/>
              <w:bottom w:type="dxa" w:w="60"/>
              <w:right w:type="dxa" w:w="100"/>
            </w:tcMar>
          </w:tcPr>
          <w:p>
            <w:pPr>
              <w:spacing w:after="60" w:before="60"/>
            </w:pPr>
            <w:r>
              <w:rPr>
                <w:b/>
                <w:bCs/>
                <w:color w:val="FFFFFF"/>
                <w:sz w:val="19"/>
                <w:szCs w:val="19"/>
              </w:rPr>
              <w:t xml:space="preserve">Data Provided</w:t>
            </w:r>
          </w:p>
        </w:tc>
        <w:tc>
          <w:tcPr>
            <w:shd w:fill="1E3A5F" w:val="solid"/>
            <w:tcMar>
              <w:top w:type="dxa" w:w="60"/>
              <w:left w:type="dxa" w:w="100"/>
              <w:bottom w:type="dxa" w:w="60"/>
              <w:right w:type="dxa" w:w="100"/>
            </w:tcMar>
          </w:tcPr>
          <w:p>
            <w:pPr>
              <w:spacing w:after="60" w:before="60"/>
            </w:pPr>
            <w:r>
              <w:rPr>
                <w:b/>
                <w:bCs/>
                <w:color w:val="FFFFFF"/>
                <w:sz w:val="19"/>
                <w:szCs w:val="19"/>
              </w:rPr>
              <w:t xml:space="preserve">Cache / Refresh Policy</w:t>
            </w:r>
          </w:p>
        </w:tc>
      </w:tr>
      <w:tr>
        <w:tc>
          <w:tcPr>
            <w:shd w:fill="EFF6FF" w:val="solid"/>
            <w:tcMar>
              <w:top w:type="dxa" w:w="60"/>
              <w:left w:type="dxa" w:w="100"/>
              <w:bottom w:type="dxa" w:w="60"/>
              <w:right w:type="dxa" w:w="100"/>
            </w:tcMar>
          </w:tcPr>
          <w:p>
            <w:pPr>
              <w:spacing w:after="60" w:before="60"/>
            </w:pPr>
            <w:r>
              <w:rPr>
                <w:sz w:val="19"/>
                <w:szCs w:val="19"/>
              </w:rPr>
              <w:t xml:space="preserve">Ivan Stanojević TLE API</w:t>
            </w:r>
          </w:p>
        </w:tc>
        <w:tc>
          <w:tcPr>
            <w:shd w:fill="EFF6FF" w:val="solid"/>
            <w:tcMar>
              <w:top w:type="dxa" w:w="60"/>
              <w:left w:type="dxa" w:w="100"/>
              <w:bottom w:type="dxa" w:w="60"/>
              <w:right w:type="dxa" w:w="100"/>
            </w:tcMar>
          </w:tcPr>
          <w:p>
            <w:pPr>
              <w:spacing w:after="60" w:before="60"/>
            </w:pPr>
            <w:r>
              <w:rPr>
                <w:sz w:val="19"/>
                <w:szCs w:val="19"/>
              </w:rPr>
              <w:t xml:space="preserve">tle.ivanstanojevic.me/api/tle/</w:t>
            </w:r>
          </w:p>
        </w:tc>
        <w:tc>
          <w:tcPr>
            <w:shd w:fill="EFF6FF" w:val="solid"/>
            <w:tcMar>
              <w:top w:type="dxa" w:w="60"/>
              <w:left w:type="dxa" w:w="100"/>
              <w:bottom w:type="dxa" w:w="60"/>
              <w:right w:type="dxa" w:w="100"/>
            </w:tcMar>
          </w:tcPr>
          <w:p>
            <w:pPr>
              <w:spacing w:after="60" w:before="60"/>
            </w:pPr>
            <w:r>
              <w:rPr>
                <w:sz w:val="19"/>
                <w:szCs w:val="19"/>
              </w:rPr>
              <w:t xml:space="preserve">Two-Line Element sets for 25,000+ catalogued Earth-orbiting objects in clean JSON format</w:t>
            </w:r>
          </w:p>
        </w:tc>
        <w:tc>
          <w:tcPr>
            <w:shd w:fill="EFF6FF" w:val="solid"/>
            <w:tcMar>
              <w:top w:type="dxa" w:w="60"/>
              <w:left w:type="dxa" w:w="100"/>
              <w:bottom w:type="dxa" w:w="60"/>
              <w:right w:type="dxa" w:w="100"/>
            </w:tcMar>
          </w:tcPr>
          <w:p>
            <w:pPr>
              <w:spacing w:after="60" w:before="60"/>
            </w:pPr>
            <w:r>
              <w:rPr>
                <w:sz w:val="19"/>
                <w:szCs w:val="19"/>
              </w:rPr>
              <w:t xml:space="preserve">Full refresh every 6 hours via scheduler; on-demand via Admin panel</w:t>
            </w:r>
          </w:p>
        </w:tc>
      </w:tr>
      <w:tr>
        <w:tc>
          <w:tcPr>
            <w:shd w:fill="FFFFFF" w:val="solid"/>
            <w:tcMar>
              <w:top w:type="dxa" w:w="60"/>
              <w:left w:type="dxa" w:w="100"/>
              <w:bottom w:type="dxa" w:w="60"/>
              <w:right w:type="dxa" w:w="100"/>
            </w:tcMar>
          </w:tcPr>
          <w:p>
            <w:pPr>
              <w:spacing w:after="60" w:before="60"/>
            </w:pPr>
            <w:r>
              <w:rPr>
                <w:sz w:val="19"/>
                <w:szCs w:val="19"/>
              </w:rPr>
              <w:t xml:space="preserve">Launch Library 2 (The Space Devs)</w:t>
            </w:r>
          </w:p>
        </w:tc>
        <w:tc>
          <w:tcPr>
            <w:shd w:fill="FFFFFF" w:val="solid"/>
            <w:tcMar>
              <w:top w:type="dxa" w:w="60"/>
              <w:left w:type="dxa" w:w="100"/>
              <w:bottom w:type="dxa" w:w="60"/>
              <w:right w:type="dxa" w:w="100"/>
            </w:tcMar>
          </w:tcPr>
          <w:p>
            <w:pPr>
              <w:spacing w:after="60" w:before="60"/>
            </w:pPr>
            <w:r>
              <w:rPr>
                <w:sz w:val="19"/>
                <w:szCs w:val="19"/>
              </w:rPr>
              <w:t xml:space="preserve">ll.thespacedevs.com/2.2.0/</w:t>
            </w:r>
          </w:p>
        </w:tc>
        <w:tc>
          <w:tcPr>
            <w:shd w:fill="FFFFFF" w:val="solid"/>
            <w:tcMar>
              <w:top w:type="dxa" w:w="60"/>
              <w:left w:type="dxa" w:w="100"/>
              <w:bottom w:type="dxa" w:w="60"/>
              <w:right w:type="dxa" w:w="100"/>
            </w:tcMar>
          </w:tcPr>
          <w:p>
            <w:pPr>
              <w:spacing w:after="60" w:before="60"/>
            </w:pPr>
            <w:r>
              <w:rPr>
                <w:sz w:val="19"/>
                <w:szCs w:val="19"/>
              </w:rPr>
              <w:t xml:space="preserve">Upcoming and historical launch manifests: rocket, provider, pad, mission, orbit, countdown, and mission photo</w:t>
            </w:r>
          </w:p>
        </w:tc>
        <w:tc>
          <w:tcPr>
            <w:shd w:fill="FFFFFF" w:val="solid"/>
            <w:tcMar>
              <w:top w:type="dxa" w:w="60"/>
              <w:left w:type="dxa" w:w="100"/>
              <w:bottom w:type="dxa" w:w="60"/>
              <w:right w:type="dxa" w:w="100"/>
            </w:tcMar>
          </w:tcPr>
          <w:p>
            <w:pPr>
              <w:spacing w:after="60" w:before="60"/>
            </w:pPr>
            <w:r>
              <w:rPr>
                <w:sz w:val="19"/>
                <w:szCs w:val="19"/>
              </w:rPr>
              <w:t xml:space="preserve">10-minute server-side in-memory cache; free tier, no API key required</w:t>
            </w:r>
          </w:p>
        </w:tc>
      </w:tr>
      <w:tr>
        <w:tc>
          <w:tcPr>
            <w:shd w:fill="EFF6FF" w:val="solid"/>
            <w:tcMar>
              <w:top w:type="dxa" w:w="60"/>
              <w:left w:type="dxa" w:w="100"/>
              <w:bottom w:type="dxa" w:w="60"/>
              <w:right w:type="dxa" w:w="100"/>
            </w:tcMar>
          </w:tcPr>
          <w:p>
            <w:pPr>
              <w:spacing w:after="60" w:before="60"/>
            </w:pPr>
            <w:r>
              <w:rPr>
                <w:sz w:val="19"/>
                <w:szCs w:val="19"/>
              </w:rPr>
              <w:t xml:space="preserve">NORAD Catalogue (indirect)</w:t>
            </w:r>
          </w:p>
        </w:tc>
        <w:tc>
          <w:tcPr>
            <w:shd w:fill="EFF6FF" w:val="solid"/>
            <w:tcMar>
              <w:top w:type="dxa" w:w="60"/>
              <w:left w:type="dxa" w:w="100"/>
              <w:bottom w:type="dxa" w:w="60"/>
              <w:right w:type="dxa" w:w="100"/>
            </w:tcMar>
          </w:tcPr>
          <w:p>
            <w:pPr>
              <w:spacing w:after="60" w:before="60"/>
            </w:pPr>
            <w:r>
              <w:rPr>
                <w:sz w:val="19"/>
                <w:szCs w:val="19"/>
              </w:rPr>
              <w:t xml:space="preserve">Via TLE mirror</w:t>
            </w:r>
          </w:p>
        </w:tc>
        <w:tc>
          <w:tcPr>
            <w:shd w:fill="EFF6FF" w:val="solid"/>
            <w:tcMar>
              <w:top w:type="dxa" w:w="60"/>
              <w:left w:type="dxa" w:w="100"/>
              <w:bottom w:type="dxa" w:w="60"/>
              <w:right w:type="dxa" w:w="100"/>
            </w:tcMar>
          </w:tcPr>
          <w:p>
            <w:pPr>
              <w:spacing w:after="60" w:before="60"/>
            </w:pPr>
            <w:r>
              <w:rPr>
                <w:sz w:val="19"/>
                <w:szCs w:val="19"/>
              </w:rPr>
              <w:t xml:space="preserve">NORAD ID assignments, object classifications (payload / rocket body / debris / unknown)</w:t>
            </w:r>
          </w:p>
        </w:tc>
        <w:tc>
          <w:tcPr>
            <w:shd w:fill="EFF6FF" w:val="solid"/>
            <w:tcMar>
              <w:top w:type="dxa" w:w="60"/>
              <w:left w:type="dxa" w:w="100"/>
              <w:bottom w:type="dxa" w:w="60"/>
              <w:right w:type="dxa" w:w="100"/>
            </w:tcMar>
          </w:tcPr>
          <w:p>
            <w:pPr>
              <w:spacing w:after="60" w:before="60"/>
            </w:pPr>
            <w:r>
              <w:rPr>
                <w:sz w:val="19"/>
                <w:szCs w:val="19"/>
              </w:rPr>
              <w:t xml:space="preserve">Reflected in the TLE mirror feed; updated in sync with TLE refresh</w:t>
            </w:r>
          </w:p>
        </w:tc>
      </w:tr>
    </w:tbl>
    <w:p>
      <w:pPr>
        <w:spacing w:after="100"/>
      </w:pPr>
    </w:p>
    <w:p>
      <w:pPr>
        <w:spacing w:after="120" w:line="340"/>
      </w:pPr>
      <w:r>
        <w:rPr>
          <w:sz w:val="22"/>
          <w:szCs w:val="22"/>
        </w:rPr>
        <w:t xml:space="preserve">All external API calls are made exclusively from the Express server. The browser never contacts any third-party endpoint directly. This design choice ensures: (1) API rate limits are respected via server-side caching, (2) no credentials or API keys are ever exposed to the client, and (3) server-computed fields (risk scores, congestion metrics) can be merged into the response before delivery.</w:t>
      </w:r>
    </w:p>
    <w:p>
      <w:pPr>
        <w:spacing w:after="100"/>
      </w:pPr>
    </w:p>
    <w:p>
      <w:r>
        <w:br w:type="page"/>
      </w:r>
    </w:p>
    <w:p>
      <w:pPr>
        <w:pStyle w:val="Heading1"/>
        <w:spacing w:after="160" w:before="480"/>
      </w:pPr>
      <w:r>
        <w:t xml:space="preserve">10. Project File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Path</w:t>
            </w:r>
          </w:p>
        </w:tc>
        <w:tc>
          <w:tcPr>
            <w:shd w:fill="1E3A5F" w:val="solid"/>
            <w:tcMar>
              <w:top w:type="dxa" w:w="60"/>
              <w:left w:type="dxa" w:w="100"/>
              <w:bottom w:type="dxa" w:w="60"/>
              <w:right w:type="dxa" w:w="100"/>
            </w:tcMar>
          </w:tcPr>
          <w:p>
            <w:pPr>
              <w:spacing w:after="60" w:before="60"/>
            </w:pPr>
            <w:r>
              <w:rPr>
                <w:b/>
                <w:bCs/>
                <w:color w:val="FFFFFF"/>
                <w:sz w:val="19"/>
                <w:szCs w:val="19"/>
              </w:rPr>
              <w:t xml:space="preserve">Description</w:t>
            </w:r>
          </w:p>
        </w:tc>
      </w:tr>
      <w:tr>
        <w:tc>
          <w:tcPr>
            <w:shd w:fill="EFF6FF" w:val="solid"/>
            <w:tcMar>
              <w:top w:type="dxa" w:w="60"/>
              <w:left w:type="dxa" w:w="100"/>
              <w:bottom w:type="dxa" w:w="60"/>
              <w:right w:type="dxa" w:w="100"/>
            </w:tcMar>
          </w:tcPr>
          <w:p>
            <w:pPr>
              <w:spacing w:after="60" w:before="60"/>
            </w:pPr>
            <w:r>
              <w:rPr>
                <w:sz w:val="19"/>
                <w:szCs w:val="19"/>
              </w:rPr>
              <w:t xml:space="preserve">artifacts/oip/src/pages/</w:t>
            </w:r>
          </w:p>
        </w:tc>
        <w:tc>
          <w:tcPr>
            <w:shd w:fill="EFF6FF" w:val="solid"/>
            <w:tcMar>
              <w:top w:type="dxa" w:w="60"/>
              <w:left w:type="dxa" w:w="100"/>
              <w:bottom w:type="dxa" w:w="60"/>
              <w:right w:type="dxa" w:w="100"/>
            </w:tcMar>
          </w:tcPr>
          <w:p>
            <w:pPr>
              <w:spacing w:after="60" w:before="60"/>
            </w:pPr>
            <w:r>
              <w:rPr>
                <w:sz w:val="19"/>
                <w:szCs w:val="19"/>
              </w:rPr>
              <w:t xml:space="preserve">All 12 React page components (landing, dashboard, satellites, satellite-detail, debris, analytics, forecast, risk, collisions, launches, admin, about, not-found)</w:t>
            </w:r>
          </w:p>
        </w:tc>
      </w:tr>
      <w:tr>
        <w:tc>
          <w:tcPr>
            <w:shd w:fill="FFFFFF" w:val="solid"/>
            <w:tcMar>
              <w:top w:type="dxa" w:w="60"/>
              <w:left w:type="dxa" w:w="100"/>
              <w:bottom w:type="dxa" w:w="60"/>
              <w:right w:type="dxa" w:w="100"/>
            </w:tcMar>
          </w:tcPr>
          <w:p>
            <w:pPr>
              <w:spacing w:after="60" w:before="60"/>
            </w:pPr>
            <w:r>
              <w:rPr>
                <w:sz w:val="19"/>
                <w:szCs w:val="19"/>
              </w:rPr>
              <w:t xml:space="preserve">artifacts/oip/src/components/layout/</w:t>
            </w:r>
          </w:p>
        </w:tc>
        <w:tc>
          <w:tcPr>
            <w:shd w:fill="FFFFFF" w:val="solid"/>
            <w:tcMar>
              <w:top w:type="dxa" w:w="60"/>
              <w:left w:type="dxa" w:w="100"/>
              <w:bottom w:type="dxa" w:w="60"/>
              <w:right w:type="dxa" w:w="100"/>
            </w:tcMar>
          </w:tcPr>
          <w:p>
            <w:pPr>
              <w:spacing w:after="60" w:before="60"/>
            </w:pPr>
            <w:r>
              <w:rPr>
                <w:sz w:val="19"/>
                <w:szCs w:val="19"/>
              </w:rPr>
              <w:t xml:space="preserve">AppSidebar, TopNav, and Layout wrapper — the persistent chrome present on all authenticated pages</w:t>
            </w:r>
          </w:p>
        </w:tc>
      </w:tr>
      <w:tr>
        <w:tc>
          <w:tcPr>
            <w:shd w:fill="EFF6FF" w:val="solid"/>
            <w:tcMar>
              <w:top w:type="dxa" w:w="60"/>
              <w:left w:type="dxa" w:w="100"/>
              <w:bottom w:type="dxa" w:w="60"/>
              <w:right w:type="dxa" w:w="100"/>
            </w:tcMar>
          </w:tcPr>
          <w:p>
            <w:pPr>
              <w:spacing w:after="60" w:before="60"/>
            </w:pPr>
            <w:r>
              <w:rPr>
                <w:sz w:val="19"/>
                <w:szCs w:val="19"/>
              </w:rPr>
              <w:t xml:space="preserve">artifacts/oip/src/components/StarField.tsx</w:t>
            </w:r>
          </w:p>
        </w:tc>
        <w:tc>
          <w:tcPr>
            <w:shd w:fill="EFF6FF" w:val="solid"/>
            <w:tcMar>
              <w:top w:type="dxa" w:w="60"/>
              <w:left w:type="dxa" w:w="100"/>
              <w:bottom w:type="dxa" w:w="60"/>
              <w:right w:type="dxa" w:w="100"/>
            </w:tcMar>
          </w:tcPr>
          <w:p>
            <w:pPr>
              <w:spacing w:after="60" w:before="60"/>
            </w:pPr>
            <w:r>
              <w:rPr>
                <w:sz w:val="19"/>
                <w:szCs w:val="19"/>
              </w:rPr>
              <w:t xml:space="preserve">Animated canvas starfield component with parallax, twinkling, and shooting stars</w:t>
            </w:r>
          </w:p>
        </w:tc>
      </w:tr>
      <w:tr>
        <w:tc>
          <w:tcPr>
            <w:shd w:fill="FFFFFF" w:val="solid"/>
            <w:tcMar>
              <w:top w:type="dxa" w:w="60"/>
              <w:left w:type="dxa" w:w="100"/>
              <w:bottom w:type="dxa" w:w="60"/>
              <w:right w:type="dxa" w:w="100"/>
            </w:tcMar>
          </w:tcPr>
          <w:p>
            <w:pPr>
              <w:spacing w:after="60" w:before="60"/>
            </w:pPr>
            <w:r>
              <w:rPr>
                <w:sz w:val="19"/>
                <w:szCs w:val="19"/>
              </w:rPr>
              <w:t xml:space="preserve">artifacts/oip/src/components/ui/</w:t>
            </w:r>
          </w:p>
        </w:tc>
        <w:tc>
          <w:tcPr>
            <w:shd w:fill="FFFFFF" w:val="solid"/>
            <w:tcMar>
              <w:top w:type="dxa" w:w="60"/>
              <w:left w:type="dxa" w:w="100"/>
              <w:bottom w:type="dxa" w:w="60"/>
              <w:right w:type="dxa" w:w="100"/>
            </w:tcMar>
          </w:tcPr>
          <w:p>
            <w:pPr>
              <w:spacing w:after="60" w:before="60"/>
            </w:pPr>
            <w:r>
              <w:rPr>
                <w:sz w:val="19"/>
                <w:szCs w:val="19"/>
              </w:rPr>
              <w:t xml:space="preserve">shadcn/ui primitive components (button, card, table, input, dialog, badge, etc.)</w:t>
            </w:r>
          </w:p>
        </w:tc>
      </w:tr>
      <w:tr>
        <w:tc>
          <w:tcPr>
            <w:shd w:fill="EFF6FF" w:val="solid"/>
            <w:tcMar>
              <w:top w:type="dxa" w:w="60"/>
              <w:left w:type="dxa" w:w="100"/>
              <w:bottom w:type="dxa" w:w="60"/>
              <w:right w:type="dxa" w:w="100"/>
            </w:tcMar>
          </w:tcPr>
          <w:p>
            <w:pPr>
              <w:spacing w:after="60" w:before="60"/>
            </w:pPr>
            <w:r>
              <w:rPr>
                <w:sz w:val="19"/>
                <w:szCs w:val="19"/>
              </w:rPr>
              <w:t xml:space="preserve">artifacts/oip/src/lib/sounds.ts</w:t>
            </w:r>
          </w:p>
        </w:tc>
        <w:tc>
          <w:tcPr>
            <w:shd w:fill="EFF6FF" w:val="solid"/>
            <w:tcMar>
              <w:top w:type="dxa" w:w="60"/>
              <w:left w:type="dxa" w:w="100"/>
              <w:bottom w:type="dxa" w:w="60"/>
              <w:right w:type="dxa" w:w="100"/>
            </w:tcMar>
          </w:tcPr>
          <w:p>
            <w:pPr>
              <w:spacing w:after="60" w:before="60"/>
            </w:pPr>
            <w:r>
              <w:rPr>
                <w:sz w:val="19"/>
                <w:szCs w:val="19"/>
              </w:rPr>
              <w:t xml:space="preserve">Web Audio API sound synthesiser — exports playClick(), playNav(), playSuccess(), playAlert()</w:t>
            </w:r>
          </w:p>
        </w:tc>
      </w:tr>
      <w:tr>
        <w:tc>
          <w:tcPr>
            <w:shd w:fill="FFFFFF" w:val="solid"/>
            <w:tcMar>
              <w:top w:type="dxa" w:w="60"/>
              <w:left w:type="dxa" w:w="100"/>
              <w:bottom w:type="dxa" w:w="60"/>
              <w:right w:type="dxa" w:w="100"/>
            </w:tcMar>
          </w:tcPr>
          <w:p>
            <w:pPr>
              <w:spacing w:after="60" w:before="60"/>
            </w:pPr>
            <w:r>
              <w:rPr>
                <w:sz w:val="19"/>
                <w:szCs w:val="19"/>
              </w:rPr>
              <w:t xml:space="preserve">artifacts/oip/src/App.tsx</w:t>
            </w:r>
          </w:p>
        </w:tc>
        <w:tc>
          <w:tcPr>
            <w:shd w:fill="FFFFFF" w:val="solid"/>
            <w:tcMar>
              <w:top w:type="dxa" w:w="60"/>
              <w:left w:type="dxa" w:w="100"/>
              <w:bottom w:type="dxa" w:w="60"/>
              <w:right w:type="dxa" w:w="100"/>
            </w:tcMar>
          </w:tcPr>
          <w:p>
            <w:pPr>
              <w:spacing w:after="60" w:before="60"/>
            </w:pPr>
            <w:r>
              <w:rPr>
                <w:sz w:val="19"/>
                <w:szCs w:val="19"/>
              </w:rPr>
              <w:t xml:space="preserve">Application root: QueryClient provider, Wouter router tree, all route declarations</w:t>
            </w:r>
          </w:p>
        </w:tc>
      </w:tr>
      <w:tr>
        <w:tc>
          <w:tcPr>
            <w:shd w:fill="EFF6FF" w:val="solid"/>
            <w:tcMar>
              <w:top w:type="dxa" w:w="60"/>
              <w:left w:type="dxa" w:w="100"/>
              <w:bottom w:type="dxa" w:w="60"/>
              <w:right w:type="dxa" w:w="100"/>
            </w:tcMar>
          </w:tcPr>
          <w:p>
            <w:pPr>
              <w:spacing w:after="60" w:before="60"/>
            </w:pPr>
            <w:r>
              <w:rPr>
                <w:sz w:val="19"/>
                <w:szCs w:val="19"/>
              </w:rPr>
              <w:t xml:space="preserve">artifacts/api-server/src/routes/index.ts</w:t>
            </w:r>
          </w:p>
        </w:tc>
        <w:tc>
          <w:tcPr>
            <w:shd w:fill="EFF6FF" w:val="solid"/>
            <w:tcMar>
              <w:top w:type="dxa" w:w="60"/>
              <w:left w:type="dxa" w:w="100"/>
              <w:bottom w:type="dxa" w:w="60"/>
              <w:right w:type="dxa" w:w="100"/>
            </w:tcMar>
          </w:tcPr>
          <w:p>
            <w:pPr>
              <w:spacing w:after="60" w:before="60"/>
            </w:pPr>
            <w:r>
              <w:rPr>
                <w:sz w:val="19"/>
                <w:szCs w:val="19"/>
              </w:rPr>
              <w:t xml:space="preserve">Central Express router that mounts all sub-routers under the /api base path</w:t>
            </w:r>
          </w:p>
        </w:tc>
      </w:tr>
      <w:tr>
        <w:tc>
          <w:tcPr>
            <w:shd w:fill="FFFFFF" w:val="solid"/>
            <w:tcMar>
              <w:top w:type="dxa" w:w="60"/>
              <w:left w:type="dxa" w:w="100"/>
              <w:bottom w:type="dxa" w:w="60"/>
              <w:right w:type="dxa" w:w="100"/>
            </w:tcMar>
          </w:tcPr>
          <w:p>
            <w:pPr>
              <w:spacing w:after="60" w:before="60"/>
            </w:pPr>
            <w:r>
              <w:rPr>
                <w:sz w:val="19"/>
                <w:szCs w:val="19"/>
              </w:rPr>
              <w:t xml:space="preserve">artifacts/api-server/src/routes/satellites.ts</w:t>
            </w:r>
          </w:p>
        </w:tc>
        <w:tc>
          <w:tcPr>
            <w:shd w:fill="FFFFFF" w:val="solid"/>
            <w:tcMar>
              <w:top w:type="dxa" w:w="60"/>
              <w:left w:type="dxa" w:w="100"/>
              <w:bottom w:type="dxa" w:w="60"/>
              <w:right w:type="dxa" w:w="100"/>
            </w:tcMar>
          </w:tcPr>
          <w:p>
            <w:pPr>
              <w:spacing w:after="60" w:before="60"/>
            </w:pPr>
            <w:r>
              <w:rPr>
                <w:sz w:val="19"/>
                <w:szCs w:val="19"/>
              </w:rPr>
              <w:t xml:space="preserve">Satellite list and detail endpoints</w:t>
            </w:r>
          </w:p>
        </w:tc>
      </w:tr>
      <w:tr>
        <w:tc>
          <w:tcPr>
            <w:shd w:fill="EFF6FF" w:val="solid"/>
            <w:tcMar>
              <w:top w:type="dxa" w:w="60"/>
              <w:left w:type="dxa" w:w="100"/>
              <w:bottom w:type="dxa" w:w="60"/>
              <w:right w:type="dxa" w:w="100"/>
            </w:tcMar>
          </w:tcPr>
          <w:p>
            <w:pPr>
              <w:spacing w:after="60" w:before="60"/>
            </w:pPr>
            <w:r>
              <w:rPr>
                <w:sz w:val="19"/>
                <w:szCs w:val="19"/>
              </w:rPr>
              <w:t xml:space="preserve">artifacts/api-server/src/routes/debris.ts</w:t>
            </w:r>
          </w:p>
        </w:tc>
        <w:tc>
          <w:tcPr>
            <w:shd w:fill="EFF6FF" w:val="solid"/>
            <w:tcMar>
              <w:top w:type="dxa" w:w="60"/>
              <w:left w:type="dxa" w:w="100"/>
              <w:bottom w:type="dxa" w:w="60"/>
              <w:right w:type="dxa" w:w="100"/>
            </w:tcMar>
          </w:tcPr>
          <w:p>
            <w:pPr>
              <w:spacing w:after="60" w:before="60"/>
            </w:pPr>
            <w:r>
              <w:rPr>
                <w:sz w:val="19"/>
                <w:szCs w:val="19"/>
              </w:rPr>
              <w:t xml:space="preserve">Debris and rocket body list endpoint</w:t>
            </w:r>
          </w:p>
        </w:tc>
      </w:tr>
      <w:tr>
        <w:tc>
          <w:tcPr>
            <w:shd w:fill="FFFFFF" w:val="solid"/>
            <w:tcMar>
              <w:top w:type="dxa" w:w="60"/>
              <w:left w:type="dxa" w:w="100"/>
              <w:bottom w:type="dxa" w:w="60"/>
              <w:right w:type="dxa" w:w="100"/>
            </w:tcMar>
          </w:tcPr>
          <w:p>
            <w:pPr>
              <w:spacing w:after="60" w:before="60"/>
            </w:pPr>
            <w:r>
              <w:rPr>
                <w:sz w:val="19"/>
                <w:szCs w:val="19"/>
              </w:rPr>
              <w:t xml:space="preserve">artifacts/api-server/src/routes/analytics.ts</w:t>
            </w:r>
          </w:p>
        </w:tc>
        <w:tc>
          <w:tcPr>
            <w:shd w:fill="FFFFFF" w:val="solid"/>
            <w:tcMar>
              <w:top w:type="dxa" w:w="60"/>
              <w:left w:type="dxa" w:w="100"/>
              <w:bottom w:type="dxa" w:w="60"/>
              <w:right w:type="dxa" w:w="100"/>
            </w:tcMar>
          </w:tcPr>
          <w:p>
            <w:pPr>
              <w:spacing w:after="60" w:before="60"/>
            </w:pPr>
            <w:r>
              <w:rPr>
                <w:sz w:val="19"/>
                <w:szCs w:val="19"/>
              </w:rPr>
              <w:t xml:space="preserve">Overview, congestion, and forecast analytics endpoints</w:t>
            </w:r>
          </w:p>
        </w:tc>
      </w:tr>
      <w:tr>
        <w:tc>
          <w:tcPr>
            <w:shd w:fill="EFF6FF" w:val="solid"/>
            <w:tcMar>
              <w:top w:type="dxa" w:w="60"/>
              <w:left w:type="dxa" w:w="100"/>
              <w:bottom w:type="dxa" w:w="60"/>
              <w:right w:type="dxa" w:w="100"/>
            </w:tcMar>
          </w:tcPr>
          <w:p>
            <w:pPr>
              <w:spacing w:after="60" w:before="60"/>
            </w:pPr>
            <w:r>
              <w:rPr>
                <w:sz w:val="19"/>
                <w:szCs w:val="19"/>
              </w:rPr>
              <w:t xml:space="preserve">artifacts/api-server/src/routes/risk.ts</w:t>
            </w:r>
          </w:p>
        </w:tc>
        <w:tc>
          <w:tcPr>
            <w:shd w:fill="EFF6FF" w:val="solid"/>
            <w:tcMar>
              <w:top w:type="dxa" w:w="60"/>
              <w:left w:type="dxa" w:w="100"/>
              <w:bottom w:type="dxa" w:w="60"/>
              <w:right w:type="dxa" w:w="100"/>
            </w:tcMar>
          </w:tcPr>
          <w:p>
            <w:pPr>
              <w:spacing w:after="60" w:before="60"/>
            </w:pPr>
            <w:r>
              <w:rPr>
                <w:sz w:val="19"/>
                <w:szCs w:val="19"/>
              </w:rPr>
              <w:t xml:space="preserve">Risk score list and per-object detail endpoints</w:t>
            </w:r>
          </w:p>
        </w:tc>
      </w:tr>
      <w:tr>
        <w:tc>
          <w:tcPr>
            <w:shd w:fill="FFFFFF" w:val="solid"/>
            <w:tcMar>
              <w:top w:type="dxa" w:w="60"/>
              <w:left w:type="dxa" w:w="100"/>
              <w:bottom w:type="dxa" w:w="60"/>
              <w:right w:type="dxa" w:w="100"/>
            </w:tcMar>
          </w:tcPr>
          <w:p>
            <w:pPr>
              <w:spacing w:after="60" w:before="60"/>
            </w:pPr>
            <w:r>
              <w:rPr>
                <w:sz w:val="19"/>
                <w:szCs w:val="19"/>
              </w:rPr>
              <w:t xml:space="preserve">artifacts/api-server/src/routes/collisions.ts</w:t>
            </w:r>
          </w:p>
        </w:tc>
        <w:tc>
          <w:tcPr>
            <w:shd w:fill="FFFFFF" w:val="solid"/>
            <w:tcMar>
              <w:top w:type="dxa" w:w="60"/>
              <w:left w:type="dxa" w:w="100"/>
              <w:bottom w:type="dxa" w:w="60"/>
              <w:right w:type="dxa" w:w="100"/>
            </w:tcMar>
          </w:tcPr>
          <w:p>
            <w:pPr>
              <w:spacing w:after="60" w:before="60"/>
            </w:pPr>
            <w:r>
              <w:rPr>
                <w:sz w:val="19"/>
                <w:szCs w:val="19"/>
              </w:rPr>
              <w:t xml:space="preserve">Conjunction event list endpoint</w:t>
            </w:r>
          </w:p>
        </w:tc>
      </w:tr>
      <w:tr>
        <w:tc>
          <w:tcPr>
            <w:shd w:fill="EFF6FF" w:val="solid"/>
            <w:tcMar>
              <w:top w:type="dxa" w:w="60"/>
              <w:left w:type="dxa" w:w="100"/>
              <w:bottom w:type="dxa" w:w="60"/>
              <w:right w:type="dxa" w:w="100"/>
            </w:tcMar>
          </w:tcPr>
          <w:p>
            <w:pPr>
              <w:spacing w:after="60" w:before="60"/>
            </w:pPr>
            <w:r>
              <w:rPr>
                <w:sz w:val="19"/>
                <w:szCs w:val="19"/>
              </w:rPr>
              <w:t xml:space="preserve">artifacts/api-server/src/routes/launches.ts</w:t>
            </w:r>
          </w:p>
        </w:tc>
        <w:tc>
          <w:tcPr>
            <w:shd w:fill="EFF6FF" w:val="solid"/>
            <w:tcMar>
              <w:top w:type="dxa" w:w="60"/>
              <w:left w:type="dxa" w:w="100"/>
              <w:bottom w:type="dxa" w:w="60"/>
              <w:right w:type="dxa" w:w="100"/>
            </w:tcMar>
          </w:tcPr>
          <w:p>
            <w:pPr>
              <w:spacing w:after="60" w:before="60"/>
            </w:pPr>
            <w:r>
              <w:rPr>
                <w:sz w:val="19"/>
                <w:szCs w:val="19"/>
              </w:rPr>
              <w:t xml:space="preserve">Launch Library 2 proxy with 10-minute in-memory cache</w:t>
            </w:r>
          </w:p>
        </w:tc>
      </w:tr>
      <w:tr>
        <w:tc>
          <w:tcPr>
            <w:shd w:fill="FFFFFF" w:val="solid"/>
            <w:tcMar>
              <w:top w:type="dxa" w:w="60"/>
              <w:left w:type="dxa" w:w="100"/>
              <w:bottom w:type="dxa" w:w="60"/>
              <w:right w:type="dxa" w:w="100"/>
            </w:tcMar>
          </w:tcPr>
          <w:p>
            <w:pPr>
              <w:spacing w:after="60" w:before="60"/>
            </w:pPr>
            <w:r>
              <w:rPr>
                <w:sz w:val="19"/>
                <w:szCs w:val="19"/>
              </w:rPr>
              <w:t xml:space="preserve">artifacts/api-server/src/routes/admin.ts</w:t>
            </w:r>
          </w:p>
        </w:tc>
        <w:tc>
          <w:tcPr>
            <w:shd w:fill="FFFFFF" w:val="solid"/>
            <w:tcMar>
              <w:top w:type="dxa" w:w="60"/>
              <w:left w:type="dxa" w:w="100"/>
              <w:bottom w:type="dxa" w:w="60"/>
              <w:right w:type="dxa" w:w="100"/>
            </w:tcMar>
          </w:tcPr>
          <w:p>
            <w:pPr>
              <w:spacing w:after="60" w:before="60"/>
            </w:pPr>
            <w:r>
              <w:rPr>
                <w:sz w:val="19"/>
                <w:szCs w:val="19"/>
              </w:rPr>
              <w:t xml:space="preserve">Admin refresh trigger and pipeline status endpoints</w:t>
            </w:r>
          </w:p>
        </w:tc>
      </w:tr>
      <w:tr>
        <w:tc>
          <w:tcPr>
            <w:shd w:fill="EFF6FF" w:val="solid"/>
            <w:tcMar>
              <w:top w:type="dxa" w:w="60"/>
              <w:left w:type="dxa" w:w="100"/>
              <w:bottom w:type="dxa" w:w="60"/>
              <w:right w:type="dxa" w:w="100"/>
            </w:tcMar>
          </w:tcPr>
          <w:p>
            <w:pPr>
              <w:spacing w:after="60" w:before="60"/>
            </w:pPr>
            <w:r>
              <w:rPr>
                <w:sz w:val="19"/>
                <w:szCs w:val="19"/>
              </w:rPr>
              <w:t xml:space="preserve">artifacts/api-server/src/lib/celestrak.ts</w:t>
            </w:r>
          </w:p>
        </w:tc>
        <w:tc>
          <w:tcPr>
            <w:shd w:fill="EFF6FF" w:val="solid"/>
            <w:tcMar>
              <w:top w:type="dxa" w:w="60"/>
              <w:left w:type="dxa" w:w="100"/>
              <w:bottom w:type="dxa" w:w="60"/>
              <w:right w:type="dxa" w:w="100"/>
            </w:tcMar>
          </w:tcPr>
          <w:p>
            <w:pPr>
              <w:spacing w:after="60" w:before="60"/>
            </w:pPr>
            <w:r>
              <w:rPr>
                <w:sz w:val="19"/>
                <w:szCs w:val="19"/>
              </w:rPr>
              <w:t xml:space="preserve">TLE fetch, parse, normalise, and database upsert logic</w:t>
            </w:r>
          </w:p>
        </w:tc>
      </w:tr>
      <w:tr>
        <w:tc>
          <w:tcPr>
            <w:shd w:fill="FFFFFF" w:val="solid"/>
            <w:tcMar>
              <w:top w:type="dxa" w:w="60"/>
              <w:left w:type="dxa" w:w="100"/>
              <w:bottom w:type="dxa" w:w="60"/>
              <w:right w:type="dxa" w:w="100"/>
            </w:tcMar>
          </w:tcPr>
          <w:p>
            <w:pPr>
              <w:spacing w:after="60" w:before="60"/>
            </w:pPr>
            <w:r>
              <w:rPr>
                <w:sz w:val="19"/>
                <w:szCs w:val="19"/>
              </w:rPr>
              <w:t xml:space="preserve">artifacts/api-server/src/lib/risk-engine.ts</w:t>
            </w:r>
          </w:p>
        </w:tc>
        <w:tc>
          <w:tcPr>
            <w:shd w:fill="FFFFFF" w:val="solid"/>
            <w:tcMar>
              <w:top w:type="dxa" w:w="60"/>
              <w:left w:type="dxa" w:w="100"/>
              <w:bottom w:type="dxa" w:w="60"/>
              <w:right w:type="dxa" w:w="100"/>
            </w:tcMar>
          </w:tcPr>
          <w:p>
            <w:pPr>
              <w:spacing w:after="60" w:before="60"/>
            </w:pPr>
            <w:r>
              <w:rPr>
                <w:sz w:val="19"/>
                <w:szCs w:val="19"/>
              </w:rPr>
              <w:t xml:space="preserve">Multi-factor orbital risk scoring implementation</w:t>
            </w:r>
          </w:p>
        </w:tc>
      </w:tr>
      <w:tr>
        <w:tc>
          <w:tcPr>
            <w:shd w:fill="EFF6FF" w:val="solid"/>
            <w:tcMar>
              <w:top w:type="dxa" w:w="60"/>
              <w:left w:type="dxa" w:w="100"/>
              <w:bottom w:type="dxa" w:w="60"/>
              <w:right w:type="dxa" w:w="100"/>
            </w:tcMar>
          </w:tcPr>
          <w:p>
            <w:pPr>
              <w:spacing w:after="60" w:before="60"/>
            </w:pPr>
            <w:r>
              <w:rPr>
                <w:sz w:val="19"/>
                <w:szCs w:val="19"/>
              </w:rPr>
              <w:t xml:space="preserve">artifacts/api-server/src/lib/data-service.ts</w:t>
            </w:r>
          </w:p>
        </w:tc>
        <w:tc>
          <w:tcPr>
            <w:shd w:fill="EFF6FF" w:val="solid"/>
            <w:tcMar>
              <w:top w:type="dxa" w:w="60"/>
              <w:left w:type="dxa" w:w="100"/>
              <w:bottom w:type="dxa" w:w="60"/>
              <w:right w:type="dxa" w:w="100"/>
            </w:tcMar>
          </w:tcPr>
          <w:p>
            <w:pPr>
              <w:spacing w:after="60" w:before="60"/>
            </w:pPr>
            <w:r>
              <w:rPr>
                <w:sz w:val="19"/>
                <w:szCs w:val="19"/>
              </w:rPr>
              <w:t xml:space="preserve">Background scheduler that triggers periodic TLE refresh cycles</w:t>
            </w:r>
          </w:p>
        </w:tc>
      </w:tr>
      <w:tr>
        <w:tc>
          <w:tcPr>
            <w:shd w:fill="FFFFFF" w:val="solid"/>
            <w:tcMar>
              <w:top w:type="dxa" w:w="60"/>
              <w:left w:type="dxa" w:w="100"/>
              <w:bottom w:type="dxa" w:w="60"/>
              <w:right w:type="dxa" w:w="100"/>
            </w:tcMar>
          </w:tcPr>
          <w:p>
            <w:pPr>
              <w:spacing w:after="60" w:before="60"/>
            </w:pPr>
            <w:r>
              <w:rPr>
                <w:sz w:val="19"/>
                <w:szCs w:val="19"/>
              </w:rPr>
              <w:t xml:space="preserve">artifacts/api-server/src/lib/logger.ts</w:t>
            </w:r>
          </w:p>
        </w:tc>
        <w:tc>
          <w:tcPr>
            <w:shd w:fill="FFFFFF" w:val="solid"/>
            <w:tcMar>
              <w:top w:type="dxa" w:w="60"/>
              <w:left w:type="dxa" w:w="100"/>
              <w:bottom w:type="dxa" w:w="60"/>
              <w:right w:type="dxa" w:w="100"/>
            </w:tcMar>
          </w:tcPr>
          <w:p>
            <w:pPr>
              <w:spacing w:after="60" w:before="60"/>
            </w:pPr>
            <w:r>
              <w:rPr>
                <w:sz w:val="19"/>
                <w:szCs w:val="19"/>
              </w:rPr>
              <w:t xml:space="preserve">Pino logger singleton and pino-http request-logging middleware</w:t>
            </w:r>
          </w:p>
        </w:tc>
      </w:tr>
      <w:tr>
        <w:tc>
          <w:tcPr>
            <w:shd w:fill="EFF6FF" w:val="solid"/>
            <w:tcMar>
              <w:top w:type="dxa" w:w="60"/>
              <w:left w:type="dxa" w:w="100"/>
              <w:bottom w:type="dxa" w:w="60"/>
              <w:right w:type="dxa" w:w="100"/>
            </w:tcMar>
          </w:tcPr>
          <w:p>
            <w:pPr>
              <w:spacing w:after="60" w:before="60"/>
            </w:pPr>
            <w:r>
              <w:rPr>
                <w:sz w:val="19"/>
                <w:szCs w:val="19"/>
              </w:rPr>
              <w:t xml:space="preserve">lib/db/src/schema/</w:t>
            </w:r>
          </w:p>
        </w:tc>
        <w:tc>
          <w:tcPr>
            <w:shd w:fill="EFF6FF" w:val="solid"/>
            <w:tcMar>
              <w:top w:type="dxa" w:w="60"/>
              <w:left w:type="dxa" w:w="100"/>
              <w:bottom w:type="dxa" w:w="60"/>
              <w:right w:type="dxa" w:w="100"/>
            </w:tcMar>
          </w:tcPr>
          <w:p>
            <w:pPr>
              <w:spacing w:after="60" w:before="60"/>
            </w:pPr>
            <w:r>
              <w:rPr>
                <w:sz w:val="19"/>
                <w:szCs w:val="19"/>
              </w:rPr>
              <w:t xml:space="preserve">Drizzle ORM schema files for all 6 database tables</w:t>
            </w:r>
          </w:p>
        </w:tc>
      </w:tr>
      <w:tr>
        <w:tc>
          <w:tcPr>
            <w:shd w:fill="FFFFFF" w:val="solid"/>
            <w:tcMar>
              <w:top w:type="dxa" w:w="60"/>
              <w:left w:type="dxa" w:w="100"/>
              <w:bottom w:type="dxa" w:w="60"/>
              <w:right w:type="dxa" w:w="100"/>
            </w:tcMar>
          </w:tcPr>
          <w:p>
            <w:pPr>
              <w:spacing w:after="60" w:before="60"/>
            </w:pPr>
            <w:r>
              <w:rPr>
                <w:sz w:val="19"/>
                <w:szCs w:val="19"/>
              </w:rPr>
              <w:t xml:space="preserve">lib/db/src/client.ts</w:t>
            </w:r>
          </w:p>
        </w:tc>
        <w:tc>
          <w:tcPr>
            <w:shd w:fill="FFFFFF" w:val="solid"/>
            <w:tcMar>
              <w:top w:type="dxa" w:w="60"/>
              <w:left w:type="dxa" w:w="100"/>
              <w:bottom w:type="dxa" w:w="60"/>
              <w:right w:type="dxa" w:w="100"/>
            </w:tcMar>
          </w:tcPr>
          <w:p>
            <w:pPr>
              <w:spacing w:after="60" w:before="60"/>
            </w:pPr>
            <w:r>
              <w:rPr>
                <w:sz w:val="19"/>
                <w:szCs w:val="19"/>
              </w:rPr>
              <w:t xml:space="preserve">PostgreSQL connection pool shared across all server route handlers</w:t>
            </w:r>
          </w:p>
        </w:tc>
      </w:tr>
      <w:tr>
        <w:tc>
          <w:tcPr>
            <w:shd w:fill="EFF6FF" w:val="solid"/>
            <w:tcMar>
              <w:top w:type="dxa" w:w="60"/>
              <w:left w:type="dxa" w:w="100"/>
              <w:bottom w:type="dxa" w:w="60"/>
              <w:right w:type="dxa" w:w="100"/>
            </w:tcMar>
          </w:tcPr>
          <w:p>
            <w:pPr>
              <w:spacing w:after="60" w:before="60"/>
            </w:pPr>
            <w:r>
              <w:rPr>
                <w:sz w:val="19"/>
                <w:szCs w:val="19"/>
              </w:rPr>
              <w:t xml:space="preserve">lib/api-spec/openapi.yaml</w:t>
            </w:r>
          </w:p>
        </w:tc>
        <w:tc>
          <w:tcPr>
            <w:shd w:fill="EFF6FF" w:val="solid"/>
            <w:tcMar>
              <w:top w:type="dxa" w:w="60"/>
              <w:left w:type="dxa" w:w="100"/>
              <w:bottom w:type="dxa" w:w="60"/>
              <w:right w:type="dxa" w:w="100"/>
            </w:tcMar>
          </w:tcPr>
          <w:p>
            <w:pPr>
              <w:spacing w:after="60" w:before="60"/>
            </w:pPr>
            <w:r>
              <w:rPr>
                <w:sz w:val="19"/>
                <w:szCs w:val="19"/>
              </w:rPr>
              <w:t xml:space="preserve">OpenAPI 3.1 YAML specification — source of truth for all API contracts</w:t>
            </w:r>
          </w:p>
        </w:tc>
      </w:tr>
      <w:tr>
        <w:tc>
          <w:tcPr>
            <w:shd w:fill="FFFFFF" w:val="solid"/>
            <w:tcMar>
              <w:top w:type="dxa" w:w="60"/>
              <w:left w:type="dxa" w:w="100"/>
              <w:bottom w:type="dxa" w:w="60"/>
              <w:right w:type="dxa" w:w="100"/>
            </w:tcMar>
          </w:tcPr>
          <w:p>
            <w:pPr>
              <w:spacing w:after="60" w:before="60"/>
            </w:pPr>
            <w:r>
              <w:rPr>
                <w:sz w:val="19"/>
                <w:szCs w:val="19"/>
              </w:rPr>
              <w:t xml:space="preserve">lib/api-zod/</w:t>
            </w:r>
          </w:p>
        </w:tc>
        <w:tc>
          <w:tcPr>
            <w:shd w:fill="FFFFFF" w:val="solid"/>
            <w:tcMar>
              <w:top w:type="dxa" w:w="60"/>
              <w:left w:type="dxa" w:w="100"/>
              <w:bottom w:type="dxa" w:w="60"/>
              <w:right w:type="dxa" w:w="100"/>
            </w:tcMar>
          </w:tcPr>
          <w:p>
            <w:pPr>
              <w:spacing w:after="60" w:before="60"/>
            </w:pPr>
            <w:r>
              <w:rPr>
                <w:sz w:val="19"/>
                <w:szCs w:val="19"/>
              </w:rPr>
              <w:t xml:space="preserve">Orval-generated Zod validation schemas and React Query hooks (never hand-edited)</w:t>
            </w:r>
          </w:p>
        </w:tc>
      </w:tr>
      <w:tr>
        <w:tc>
          <w:tcPr>
            <w:shd w:fill="EFF6FF" w:val="solid"/>
            <w:tcMar>
              <w:top w:type="dxa" w:w="60"/>
              <w:left w:type="dxa" w:w="100"/>
              <w:bottom w:type="dxa" w:w="60"/>
              <w:right w:type="dxa" w:w="100"/>
            </w:tcMar>
          </w:tcPr>
          <w:p>
            <w:pPr>
              <w:spacing w:after="60" w:before="60"/>
            </w:pPr>
            <w:r>
              <w:rPr>
                <w:sz w:val="19"/>
                <w:szCs w:val="19"/>
              </w:rPr>
              <w:t xml:space="preserve">pnpm-workspace.yaml</w:t>
            </w:r>
          </w:p>
        </w:tc>
        <w:tc>
          <w:tcPr>
            <w:shd w:fill="EFF6FF" w:val="solid"/>
            <w:tcMar>
              <w:top w:type="dxa" w:w="60"/>
              <w:left w:type="dxa" w:w="100"/>
              <w:bottom w:type="dxa" w:w="60"/>
              <w:right w:type="dxa" w:w="100"/>
            </w:tcMar>
          </w:tcPr>
          <w:p>
            <w:pPr>
              <w:spacing w:after="60" w:before="60"/>
            </w:pPr>
            <w:r>
              <w:rPr>
                <w:sz w:val="19"/>
                <w:szCs w:val="19"/>
              </w:rPr>
              <w:t xml:space="preserve">Workspace package discovery, shared dependency version catalogue, and overrides</w:t>
            </w:r>
          </w:p>
        </w:tc>
      </w:tr>
      <w:tr>
        <w:tc>
          <w:tcPr>
            <w:shd w:fill="FFFFFF" w:val="solid"/>
            <w:tcMar>
              <w:top w:type="dxa" w:w="60"/>
              <w:left w:type="dxa" w:w="100"/>
              <w:bottom w:type="dxa" w:w="60"/>
              <w:right w:type="dxa" w:w="100"/>
            </w:tcMar>
          </w:tcPr>
          <w:p>
            <w:pPr>
              <w:spacing w:after="60" w:before="60"/>
            </w:pPr>
            <w:r>
              <w:rPr>
                <w:sz w:val="19"/>
                <w:szCs w:val="19"/>
              </w:rPr>
              <w:t xml:space="preserve">tsconfig.base.json</w:t>
            </w:r>
          </w:p>
        </w:tc>
        <w:tc>
          <w:tcPr>
            <w:shd w:fill="FFFFFF" w:val="solid"/>
            <w:tcMar>
              <w:top w:type="dxa" w:w="60"/>
              <w:left w:type="dxa" w:w="100"/>
              <w:bottom w:type="dxa" w:w="60"/>
              <w:right w:type="dxa" w:w="100"/>
            </w:tcMar>
          </w:tcPr>
          <w:p>
            <w:pPr>
              <w:spacing w:after="60" w:before="60"/>
            </w:pPr>
            <w:r>
              <w:rPr>
                <w:sz w:val="19"/>
                <w:szCs w:val="19"/>
              </w:rPr>
              <w:t xml:space="preserve">Shared strict TypeScript compiler options extended by all workspace packages</w:t>
            </w:r>
          </w:p>
        </w:tc>
      </w:tr>
    </w:tbl>
    <w:p>
      <w:pPr>
        <w:spacing w:after="100"/>
      </w:pPr>
    </w:p>
    <w:p>
      <w:r>
        <w:br w:type="page"/>
      </w:r>
    </w:p>
    <w:p>
      <w:pPr>
        <w:pStyle w:val="Heading1"/>
        <w:spacing w:after="160" w:before="480"/>
      </w:pPr>
      <w:r>
        <w:t xml:space="preserve">11. Security &amp; Best Practices</w:t>
      </w:r>
    </w:p>
    <w:p>
      <w:pPr>
        <w:pStyle w:val="ListParagraph"/>
        <w:numPr>
          <w:ilvl w:val="0"/>
          <w:numId w:val="1"/>
        </w:numPr>
        <w:spacing w:after="80"/>
      </w:pPr>
      <w:r>
        <w:rPr>
          <w:sz w:val="22"/>
          <w:szCs w:val="22"/>
        </w:rPr>
        <w:t xml:space="preserve">All environment secrets (DATABASE_URL, SESSION_SECRET) are injected at runtime via environment variables and are never hardcoded in any source file.</w:t>
      </w:r>
    </w:p>
    <w:p>
      <w:pPr>
        <w:pStyle w:val="ListParagraph"/>
        <w:numPr>
          <w:ilvl w:val="0"/>
          <w:numId w:val="1"/>
        </w:numPr>
        <w:spacing w:after="80"/>
      </w:pPr>
      <w:r>
        <w:rPr>
          <w:sz w:val="22"/>
          <w:szCs w:val="22"/>
        </w:rPr>
        <w:t xml:space="preserve">No third-party API credentials are exposed to the browser — all external requests are proxied through the Express server, which is the only network-visible boundary.</w:t>
      </w:r>
    </w:p>
    <w:p>
      <w:pPr>
        <w:pStyle w:val="ListParagraph"/>
        <w:numPr>
          <w:ilvl w:val="0"/>
          <w:numId w:val="1"/>
        </w:numPr>
        <w:spacing w:after="80"/>
      </w:pPr>
      <w:r>
        <w:rPr>
          <w:sz w:val="22"/>
          <w:szCs w:val="22"/>
        </w:rPr>
        <w:t xml:space="preserve">Every API route validates its inputs using Zod schemas before passing data to database queries, preventing injection and malformed-data errors.</w:t>
      </w:r>
    </w:p>
    <w:p>
      <w:pPr>
        <w:pStyle w:val="ListParagraph"/>
        <w:numPr>
          <w:ilvl w:val="0"/>
          <w:numId w:val="1"/>
        </w:numPr>
        <w:spacing w:after="80"/>
      </w:pPr>
      <w:r>
        <w:rPr>
          <w:sz w:val="22"/>
          <w:szCs w:val="22"/>
        </w:rPr>
        <w:t xml:space="preserve">Drizzle ORM uses parameterised queries exclusively — raw SQL string interpolation is never used anywhere in the codebase.</w:t>
      </w:r>
    </w:p>
    <w:p>
      <w:pPr>
        <w:pStyle w:val="ListParagraph"/>
        <w:numPr>
          <w:ilvl w:val="0"/>
          <w:numId w:val="1"/>
        </w:numPr>
        <w:spacing w:after="80"/>
      </w:pPr>
      <w:r>
        <w:rPr>
          <w:sz w:val="22"/>
          <w:szCs w:val="22"/>
        </w:rPr>
        <w:t xml:space="preserve">TypeScript strict mode is enabled across all workspace packages, catching entire classes of null-dereference and type-mismatch errors at compile time rather than runtime.</w:t>
      </w:r>
    </w:p>
    <w:p>
      <w:pPr>
        <w:pStyle w:val="ListParagraph"/>
        <w:numPr>
          <w:ilvl w:val="0"/>
          <w:numId w:val="1"/>
        </w:numPr>
        <w:spacing w:after="80"/>
      </w:pPr>
      <w:r>
        <w:rPr>
          <w:sz w:val="22"/>
          <w:szCs w:val="22"/>
        </w:rPr>
        <w:t xml:space="preserve">The pnpm lockfile is committed to the repository, ensuring reproducible installs with no unintended dependency drift between environments.</w:t>
      </w:r>
    </w:p>
    <w:p>
      <w:pPr>
        <w:pStyle w:val="ListParagraph"/>
        <w:numPr>
          <w:ilvl w:val="0"/>
          <w:numId w:val="1"/>
        </w:numPr>
        <w:spacing w:after="80"/>
      </w:pPr>
      <w:r>
        <w:rPr>
          <w:sz w:val="22"/>
          <w:szCs w:val="22"/>
        </w:rPr>
        <w:t xml:space="preserve">Server-side response caching for external APIs prevents the platform from being inadvertently used as a traffic-amplification proxy against third-party services.</w:t>
      </w:r>
    </w:p>
    <w:p>
      <w:pPr>
        <w:spacing w:after="100"/>
      </w:pPr>
    </w:p>
    <w:p>
      <w:pPr>
        <w:pStyle w:val="Heading1"/>
        <w:spacing w:after="160" w:before="480"/>
      </w:pPr>
      <w:r>
        <w:t xml:space="preserve">12. Future Enhancements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Enhancement</w:t>
            </w:r>
          </w:p>
        </w:tc>
        <w:tc>
          <w:tcPr>
            <w:shd w:fill="1E3A5F" w:val="solid"/>
            <w:tcMar>
              <w:top w:type="dxa" w:w="60"/>
              <w:left w:type="dxa" w:w="100"/>
              <w:bottom w:type="dxa" w:w="60"/>
              <w:right w:type="dxa" w:w="100"/>
            </w:tcMar>
          </w:tcPr>
          <w:p>
            <w:pPr>
              <w:spacing w:after="60" w:before="60"/>
            </w:pPr>
            <w:r>
              <w:rPr>
                <w:b/>
                <w:bCs/>
                <w:color w:val="FFFFFF"/>
                <w:sz w:val="19"/>
                <w:szCs w:val="19"/>
              </w:rPr>
              <w:t xml:space="preserve">Description</w:t>
            </w:r>
          </w:p>
        </w:tc>
        <w:tc>
          <w:tcPr>
            <w:shd w:fill="1E3A5F" w:val="solid"/>
            <w:tcMar>
              <w:top w:type="dxa" w:w="60"/>
              <w:left w:type="dxa" w:w="100"/>
              <w:bottom w:type="dxa" w:w="60"/>
              <w:right w:type="dxa" w:w="100"/>
            </w:tcMar>
          </w:tcPr>
          <w:p>
            <w:pPr>
              <w:spacing w:after="60" w:before="60"/>
            </w:pPr>
            <w:r>
              <w:rPr>
                <w:b/>
                <w:bCs/>
                <w:color w:val="FFFFFF"/>
                <w:sz w:val="19"/>
                <w:szCs w:val="19"/>
              </w:rPr>
              <w:t xml:space="preserve">Priority</w:t>
            </w:r>
          </w:p>
        </w:tc>
      </w:tr>
      <w:tr>
        <w:tc>
          <w:tcPr>
            <w:shd w:fill="EFF6FF" w:val="solid"/>
            <w:tcMar>
              <w:top w:type="dxa" w:w="60"/>
              <w:left w:type="dxa" w:w="100"/>
              <w:bottom w:type="dxa" w:w="60"/>
              <w:right w:type="dxa" w:w="100"/>
            </w:tcMar>
          </w:tcPr>
          <w:p>
            <w:pPr>
              <w:spacing w:after="60" w:before="60"/>
            </w:pPr>
            <w:r>
              <w:rPr>
                <w:sz w:val="19"/>
                <w:szCs w:val="19"/>
              </w:rPr>
              <w:t xml:space="preserve">3D Orbital Globe</w:t>
            </w:r>
          </w:p>
        </w:tc>
        <w:tc>
          <w:tcPr>
            <w:shd w:fill="EFF6FF" w:val="solid"/>
            <w:tcMar>
              <w:top w:type="dxa" w:w="60"/>
              <w:left w:type="dxa" w:w="100"/>
              <w:bottom w:type="dxa" w:w="60"/>
              <w:right w:type="dxa" w:w="100"/>
            </w:tcMar>
          </w:tcPr>
          <w:p>
            <w:pPr>
              <w:spacing w:after="60" w:before="60"/>
            </w:pPr>
            <w:r>
              <w:rPr>
                <w:sz w:val="19"/>
                <w:szCs w:val="19"/>
              </w:rPr>
              <w:t xml:space="preserve">Interactive Three.js globe showing live satellite positions propagated client-side via satellite.js in real time</w:t>
            </w:r>
          </w:p>
        </w:tc>
        <w:tc>
          <w:tcPr>
            <w:shd w:fill="EFF6FF" w:val="solid"/>
            <w:tcMar>
              <w:top w:type="dxa" w:w="60"/>
              <w:left w:type="dxa" w:w="100"/>
              <w:bottom w:type="dxa" w:w="60"/>
              <w:right w:type="dxa" w:w="100"/>
            </w:tcMar>
          </w:tcPr>
          <w:p>
            <w:pPr>
              <w:spacing w:after="60" w:before="60"/>
            </w:pPr>
            <w:r>
              <w:rPr>
                <w:sz w:val="19"/>
                <w:szCs w:val="19"/>
              </w:rPr>
              <w:t xml:space="preserve">High</w:t>
            </w:r>
          </w:p>
        </w:tc>
      </w:tr>
      <w:tr>
        <w:tc>
          <w:tcPr>
            <w:shd w:fill="FFFFFF" w:val="solid"/>
            <w:tcMar>
              <w:top w:type="dxa" w:w="60"/>
              <w:left w:type="dxa" w:w="100"/>
              <w:bottom w:type="dxa" w:w="60"/>
              <w:right w:type="dxa" w:w="100"/>
            </w:tcMar>
          </w:tcPr>
          <w:p>
            <w:pPr>
              <w:spacing w:after="60" w:before="60"/>
            </w:pPr>
            <w:r>
              <w:rPr>
                <w:sz w:val="19"/>
                <w:szCs w:val="19"/>
              </w:rPr>
              <w:t xml:space="preserve">WebSocket Live Updates</w:t>
            </w:r>
          </w:p>
        </w:tc>
        <w:tc>
          <w:tcPr>
            <w:shd w:fill="FFFFFF" w:val="solid"/>
            <w:tcMar>
              <w:top w:type="dxa" w:w="60"/>
              <w:left w:type="dxa" w:w="100"/>
              <w:bottom w:type="dxa" w:w="60"/>
              <w:right w:type="dxa" w:w="100"/>
            </w:tcMar>
          </w:tcPr>
          <w:p>
            <w:pPr>
              <w:spacing w:after="60" w:before="60"/>
            </w:pPr>
            <w:r>
              <w:rPr>
                <w:sz w:val="19"/>
                <w:szCs w:val="19"/>
              </w:rPr>
              <w:t xml:space="preserve">Push TLE updates and conjunction alerts to all connected dashboards via WebSocket, replacing client-side polling</w:t>
            </w:r>
          </w:p>
        </w:tc>
        <w:tc>
          <w:tcPr>
            <w:shd w:fill="FFFFFF" w:val="solid"/>
            <w:tcMar>
              <w:top w:type="dxa" w:w="60"/>
              <w:left w:type="dxa" w:w="100"/>
              <w:bottom w:type="dxa" w:w="60"/>
              <w:right w:type="dxa" w:w="100"/>
            </w:tcMar>
          </w:tcPr>
          <w:p>
            <w:pPr>
              <w:spacing w:after="60" w:before="60"/>
            </w:pPr>
            <w:r>
              <w:rPr>
                <w:sz w:val="19"/>
                <w:szCs w:val="19"/>
              </w:rPr>
              <w:t xml:space="preserve">High</w:t>
            </w:r>
          </w:p>
        </w:tc>
      </w:tr>
      <w:tr>
        <w:tc>
          <w:tcPr>
            <w:shd w:fill="EFF6FF" w:val="solid"/>
            <w:tcMar>
              <w:top w:type="dxa" w:w="60"/>
              <w:left w:type="dxa" w:w="100"/>
              <w:bottom w:type="dxa" w:w="60"/>
              <w:right w:type="dxa" w:w="100"/>
            </w:tcMar>
          </w:tcPr>
          <w:p>
            <w:pPr>
              <w:spacing w:after="60" w:before="60"/>
            </w:pPr>
            <w:r>
              <w:rPr>
                <w:sz w:val="19"/>
                <w:szCs w:val="19"/>
              </w:rPr>
              <w:t xml:space="preserve">User Authentication &amp; Roles</w:t>
            </w:r>
          </w:p>
        </w:tc>
        <w:tc>
          <w:tcPr>
            <w:shd w:fill="EFF6FF" w:val="solid"/>
            <w:tcMar>
              <w:top w:type="dxa" w:w="60"/>
              <w:left w:type="dxa" w:w="100"/>
              <w:bottom w:type="dxa" w:w="60"/>
              <w:right w:type="dxa" w:w="100"/>
            </w:tcMar>
          </w:tcPr>
          <w:p>
            <w:pPr>
              <w:spacing w:after="60" w:before="60"/>
            </w:pPr>
            <w:r>
              <w:rPr>
                <w:sz w:val="19"/>
                <w:szCs w:val="19"/>
              </w:rPr>
              <w:t xml:space="preserve">Role-based access control with analyst, operator, and admin roles; per-route permission guards</w:t>
            </w:r>
          </w:p>
        </w:tc>
        <w:tc>
          <w:tcPr>
            <w:shd w:fill="EFF6FF" w:val="solid"/>
            <w:tcMar>
              <w:top w:type="dxa" w:w="60"/>
              <w:left w:type="dxa" w:w="100"/>
              <w:bottom w:type="dxa" w:w="60"/>
              <w:right w:type="dxa" w:w="100"/>
            </w:tcMar>
          </w:tcPr>
          <w:p>
            <w:pPr>
              <w:spacing w:after="60" w:before="60"/>
            </w:pPr>
            <w:r>
              <w:rPr>
                <w:sz w:val="19"/>
                <w:szCs w:val="19"/>
              </w:rPr>
              <w:t xml:space="preserve">Medium</w:t>
            </w:r>
          </w:p>
        </w:tc>
      </w:tr>
      <w:tr>
        <w:tc>
          <w:tcPr>
            <w:shd w:fill="FFFFFF" w:val="solid"/>
            <w:tcMar>
              <w:top w:type="dxa" w:w="60"/>
              <w:left w:type="dxa" w:w="100"/>
              <w:bottom w:type="dxa" w:w="60"/>
              <w:right w:type="dxa" w:w="100"/>
            </w:tcMar>
          </w:tcPr>
          <w:p>
            <w:pPr>
              <w:spacing w:after="60" w:before="60"/>
            </w:pPr>
            <w:r>
              <w:rPr>
                <w:sz w:val="19"/>
                <w:szCs w:val="19"/>
              </w:rPr>
              <w:t xml:space="preserve">Manoeuvre Planning Tool</w:t>
            </w:r>
          </w:p>
        </w:tc>
        <w:tc>
          <w:tcPr>
            <w:shd w:fill="FFFFFF" w:val="solid"/>
            <w:tcMar>
              <w:top w:type="dxa" w:w="60"/>
              <w:left w:type="dxa" w:w="100"/>
              <w:bottom w:type="dxa" w:w="60"/>
              <w:right w:type="dxa" w:w="100"/>
            </w:tcMar>
          </w:tcPr>
          <w:p>
            <w:pPr>
              <w:spacing w:after="60" w:before="60"/>
            </w:pPr>
            <w:r>
              <w:rPr>
                <w:sz w:val="19"/>
                <w:szCs w:val="19"/>
              </w:rPr>
              <w:t xml:space="preserve">Given a conjunction event, compute burn parameters (ΔV, burn time, direction) to achieve a safe miss distance</w:t>
            </w:r>
          </w:p>
        </w:tc>
        <w:tc>
          <w:tcPr>
            <w:shd w:fill="FFFFFF" w:val="solid"/>
            <w:tcMar>
              <w:top w:type="dxa" w:w="60"/>
              <w:left w:type="dxa" w:w="100"/>
              <w:bottom w:type="dxa" w:w="60"/>
              <w:right w:type="dxa" w:w="100"/>
            </w:tcMar>
          </w:tcPr>
          <w:p>
            <w:pPr>
              <w:spacing w:after="60" w:before="60"/>
            </w:pPr>
            <w:r>
              <w:rPr>
                <w:sz w:val="19"/>
                <w:szCs w:val="19"/>
              </w:rPr>
              <w:t xml:space="preserve">Medium</w:t>
            </w:r>
          </w:p>
        </w:tc>
      </w:tr>
      <w:tr>
        <w:tc>
          <w:tcPr>
            <w:shd w:fill="EFF6FF" w:val="solid"/>
            <w:tcMar>
              <w:top w:type="dxa" w:w="60"/>
              <w:left w:type="dxa" w:w="100"/>
              <w:bottom w:type="dxa" w:w="60"/>
              <w:right w:type="dxa" w:w="100"/>
            </w:tcMar>
          </w:tcPr>
          <w:p>
            <w:pPr>
              <w:spacing w:after="60" w:before="60"/>
            </w:pPr>
            <w:r>
              <w:rPr>
                <w:sz w:val="19"/>
                <w:szCs w:val="19"/>
              </w:rPr>
              <w:t xml:space="preserve">Email / Webhook Alerting</w:t>
            </w:r>
          </w:p>
        </w:tc>
        <w:tc>
          <w:tcPr>
            <w:shd w:fill="EFF6FF" w:val="solid"/>
            <w:tcMar>
              <w:top w:type="dxa" w:w="60"/>
              <w:left w:type="dxa" w:w="100"/>
              <w:bottom w:type="dxa" w:w="60"/>
              <w:right w:type="dxa" w:w="100"/>
            </w:tcMar>
          </w:tcPr>
          <w:p>
            <w:pPr>
              <w:spacing w:after="60" w:before="60"/>
            </w:pPr>
            <w:r>
              <w:rPr>
                <w:sz w:val="19"/>
                <w:szCs w:val="19"/>
              </w:rPr>
              <w:t xml:space="preserve">Notify registered operators automatically when a watched object exceeds a configurable risk threshold</w:t>
            </w:r>
          </w:p>
        </w:tc>
        <w:tc>
          <w:tcPr>
            <w:shd w:fill="EFF6FF" w:val="solid"/>
            <w:tcMar>
              <w:top w:type="dxa" w:w="60"/>
              <w:left w:type="dxa" w:w="100"/>
              <w:bottom w:type="dxa" w:w="60"/>
              <w:right w:type="dxa" w:w="100"/>
            </w:tcMar>
          </w:tcPr>
          <w:p>
            <w:pPr>
              <w:spacing w:after="60" w:before="60"/>
            </w:pPr>
            <w:r>
              <w:rPr>
                <w:sz w:val="19"/>
                <w:szCs w:val="19"/>
              </w:rPr>
              <w:t xml:space="preserve">Medium</w:t>
            </w:r>
          </w:p>
        </w:tc>
      </w:tr>
      <w:tr>
        <w:tc>
          <w:tcPr>
            <w:shd w:fill="FFFFFF" w:val="solid"/>
            <w:tcMar>
              <w:top w:type="dxa" w:w="60"/>
              <w:left w:type="dxa" w:w="100"/>
              <w:bottom w:type="dxa" w:w="60"/>
              <w:right w:type="dxa" w:w="100"/>
            </w:tcMar>
          </w:tcPr>
          <w:p>
            <w:pPr>
              <w:spacing w:after="60" w:before="60"/>
            </w:pPr>
            <w:r>
              <w:rPr>
                <w:sz w:val="19"/>
                <w:szCs w:val="19"/>
              </w:rPr>
              <w:t xml:space="preserve">CelesTrak GP Data Integration</w:t>
            </w:r>
          </w:p>
        </w:tc>
        <w:tc>
          <w:tcPr>
            <w:shd w:fill="FFFFFF" w:val="solid"/>
            <w:tcMar>
              <w:top w:type="dxa" w:w="60"/>
              <w:left w:type="dxa" w:w="100"/>
              <w:bottom w:type="dxa" w:w="60"/>
              <w:right w:type="dxa" w:w="100"/>
            </w:tcMar>
          </w:tcPr>
          <w:p>
            <w:pPr>
              <w:spacing w:after="60" w:before="60"/>
            </w:pPr>
            <w:r>
              <w:rPr>
                <w:sz w:val="19"/>
                <w:szCs w:val="19"/>
              </w:rPr>
              <w:t xml:space="preserve">Supplement the TLE mirror with CelesTrak's richer General Perturbations dataset for improved accuracy</w:t>
            </w:r>
          </w:p>
        </w:tc>
        <w:tc>
          <w:tcPr>
            <w:shd w:fill="FFFFFF" w:val="solid"/>
            <w:tcMar>
              <w:top w:type="dxa" w:w="60"/>
              <w:left w:type="dxa" w:w="100"/>
              <w:bottom w:type="dxa" w:w="60"/>
              <w:right w:type="dxa" w:w="100"/>
            </w:tcMar>
          </w:tcPr>
          <w:p>
            <w:pPr>
              <w:spacing w:after="60" w:before="60"/>
            </w:pPr>
            <w:r>
              <w:rPr>
                <w:sz w:val="19"/>
                <w:szCs w:val="19"/>
              </w:rPr>
              <w:t xml:space="preserve">Medium</w:t>
            </w:r>
          </w:p>
        </w:tc>
      </w:tr>
      <w:tr>
        <w:tc>
          <w:tcPr>
            <w:shd w:fill="EFF6FF" w:val="solid"/>
            <w:tcMar>
              <w:top w:type="dxa" w:w="60"/>
              <w:left w:type="dxa" w:w="100"/>
              <w:bottom w:type="dxa" w:w="60"/>
              <w:right w:type="dxa" w:w="100"/>
            </w:tcMar>
          </w:tcPr>
          <w:p>
            <w:pPr>
              <w:spacing w:after="60" w:before="60"/>
            </w:pPr>
            <w:r>
              <w:rPr>
                <w:sz w:val="19"/>
                <w:szCs w:val="19"/>
              </w:rPr>
              <w:t xml:space="preserve">Historical Playback Mode</w:t>
            </w:r>
          </w:p>
        </w:tc>
        <w:tc>
          <w:tcPr>
            <w:shd w:fill="EFF6FF" w:val="solid"/>
            <w:tcMar>
              <w:top w:type="dxa" w:w="60"/>
              <w:left w:type="dxa" w:w="100"/>
              <w:bottom w:type="dxa" w:w="60"/>
              <w:right w:type="dxa" w:w="100"/>
            </w:tcMar>
          </w:tcPr>
          <w:p>
            <w:pPr>
              <w:spacing w:after="60" w:before="60"/>
            </w:pPr>
            <w:r>
              <w:rPr>
                <w:sz w:val="19"/>
                <w:szCs w:val="19"/>
              </w:rPr>
              <w:t xml:space="preserve">Replay orbital positions and conjunction events for any past time window using stored snapshots</w:t>
            </w:r>
          </w:p>
        </w:tc>
        <w:tc>
          <w:tcPr>
            <w:shd w:fill="EFF6FF" w:val="solid"/>
            <w:tcMar>
              <w:top w:type="dxa" w:w="60"/>
              <w:left w:type="dxa" w:w="100"/>
              <w:bottom w:type="dxa" w:w="60"/>
              <w:right w:type="dxa" w:w="100"/>
            </w:tcMar>
          </w:tcPr>
          <w:p>
            <w:pPr>
              <w:spacing w:after="60" w:before="60"/>
            </w:pPr>
            <w:r>
              <w:rPr>
                <w:sz w:val="19"/>
                <w:szCs w:val="19"/>
              </w:rPr>
              <w:t xml:space="preserve">Low</w:t>
            </w:r>
          </w:p>
        </w:tc>
      </w:tr>
      <w:tr>
        <w:tc>
          <w:tcPr>
            <w:shd w:fill="FFFFFF" w:val="solid"/>
            <w:tcMar>
              <w:top w:type="dxa" w:w="60"/>
              <w:left w:type="dxa" w:w="100"/>
              <w:bottom w:type="dxa" w:w="60"/>
              <w:right w:type="dxa" w:w="100"/>
            </w:tcMar>
          </w:tcPr>
          <w:p>
            <w:pPr>
              <w:spacing w:after="60" w:before="60"/>
            </w:pPr>
            <w:r>
              <w:rPr>
                <w:sz w:val="19"/>
                <w:szCs w:val="19"/>
              </w:rPr>
              <w:t xml:space="preserve">Expo Mobile Companion App</w:t>
            </w:r>
          </w:p>
        </w:tc>
        <w:tc>
          <w:tcPr>
            <w:shd w:fill="FFFFFF" w:val="solid"/>
            <w:tcMar>
              <w:top w:type="dxa" w:w="60"/>
              <w:left w:type="dxa" w:w="100"/>
              <w:bottom w:type="dxa" w:w="60"/>
              <w:right w:type="dxa" w:w="100"/>
            </w:tcMar>
          </w:tcPr>
          <w:p>
            <w:pPr>
              <w:spacing w:after="60" w:before="60"/>
            </w:pPr>
            <w:r>
              <w:rPr>
                <w:sz w:val="19"/>
                <w:szCs w:val="19"/>
              </w:rPr>
              <w:t xml:space="preserve">React Native / Expo companion for on-the-go conjunction alerts and satellite tracking</w:t>
            </w:r>
          </w:p>
        </w:tc>
        <w:tc>
          <w:tcPr>
            <w:shd w:fill="FFFFFF" w:val="solid"/>
            <w:tcMar>
              <w:top w:type="dxa" w:w="60"/>
              <w:left w:type="dxa" w:w="100"/>
              <w:bottom w:type="dxa" w:w="60"/>
              <w:right w:type="dxa" w:w="100"/>
            </w:tcMar>
          </w:tcPr>
          <w:p>
            <w:pPr>
              <w:spacing w:after="60" w:before="60"/>
            </w:pPr>
            <w:r>
              <w:rPr>
                <w:sz w:val="19"/>
                <w:szCs w:val="19"/>
              </w:rPr>
              <w:t xml:space="preserve">Low</w:t>
            </w:r>
          </w:p>
        </w:tc>
      </w:tr>
      <w:tr>
        <w:tc>
          <w:tcPr>
            <w:shd w:fill="EFF6FF" w:val="solid"/>
            <w:tcMar>
              <w:top w:type="dxa" w:w="60"/>
              <w:left w:type="dxa" w:w="100"/>
              <w:bottom w:type="dxa" w:w="60"/>
              <w:right w:type="dxa" w:w="100"/>
            </w:tcMar>
          </w:tcPr>
          <w:p>
            <w:pPr>
              <w:spacing w:after="60" w:before="60"/>
            </w:pPr>
            <w:r>
              <w:rPr>
                <w:sz w:val="19"/>
                <w:szCs w:val="19"/>
              </w:rPr>
              <w:t xml:space="preserve">Multi-language Support</w:t>
            </w:r>
          </w:p>
        </w:tc>
        <w:tc>
          <w:tcPr>
            <w:shd w:fill="EFF6FF" w:val="solid"/>
            <w:tcMar>
              <w:top w:type="dxa" w:w="60"/>
              <w:left w:type="dxa" w:w="100"/>
              <w:bottom w:type="dxa" w:w="60"/>
              <w:right w:type="dxa" w:w="100"/>
            </w:tcMar>
          </w:tcPr>
          <w:p>
            <w:pPr>
              <w:spacing w:after="60" w:before="60"/>
            </w:pPr>
            <w:r>
              <w:rPr>
                <w:sz w:val="19"/>
                <w:szCs w:val="19"/>
              </w:rPr>
              <w:t xml:space="preserve">Internationalisation (i18n) for French, German, Japanese, and Spanish-speaking aerospace communities</w:t>
            </w:r>
          </w:p>
        </w:tc>
        <w:tc>
          <w:tcPr>
            <w:shd w:fill="EFF6FF" w:val="solid"/>
            <w:tcMar>
              <w:top w:type="dxa" w:w="60"/>
              <w:left w:type="dxa" w:w="100"/>
              <w:bottom w:type="dxa" w:w="60"/>
              <w:right w:type="dxa" w:w="100"/>
            </w:tcMar>
          </w:tcPr>
          <w:p>
            <w:pPr>
              <w:spacing w:after="60" w:before="60"/>
            </w:pPr>
            <w:r>
              <w:rPr>
                <w:sz w:val="19"/>
                <w:szCs w:val="19"/>
              </w:rPr>
              <w:t xml:space="preserve">Low</w:t>
            </w:r>
          </w:p>
        </w:tc>
      </w:tr>
    </w:tbl>
    <w:p>
      <w:pPr>
        <w:spacing w:after="100"/>
      </w:pPr>
    </w:p>
    <w:p>
      <w:pPr>
        <w:pStyle w:val="Heading1"/>
        <w:spacing w:after="160" w:before="480"/>
      </w:pPr>
      <w:r>
        <w:t xml:space="preserve">13.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Term</w:t>
            </w:r>
          </w:p>
        </w:tc>
        <w:tc>
          <w:tcPr>
            <w:shd w:fill="1E3A5F" w:val="solid"/>
            <w:tcMar>
              <w:top w:type="dxa" w:w="60"/>
              <w:left w:type="dxa" w:w="100"/>
              <w:bottom w:type="dxa" w:w="60"/>
              <w:right w:type="dxa" w:w="100"/>
            </w:tcMar>
          </w:tcPr>
          <w:p>
            <w:pPr>
              <w:spacing w:after="60" w:before="60"/>
            </w:pPr>
            <w:r>
              <w:rPr>
                <w:b/>
                <w:bCs/>
                <w:color w:val="FFFFFF"/>
                <w:sz w:val="19"/>
                <w:szCs w:val="19"/>
              </w:rPr>
              <w:t xml:space="preserve">Definition</w:t>
            </w:r>
          </w:p>
        </w:tc>
      </w:tr>
      <w:tr>
        <w:tc>
          <w:tcPr>
            <w:shd w:fill="EFF6FF" w:val="solid"/>
            <w:tcMar>
              <w:top w:type="dxa" w:w="60"/>
              <w:left w:type="dxa" w:w="100"/>
              <w:bottom w:type="dxa" w:w="60"/>
              <w:right w:type="dxa" w:w="100"/>
            </w:tcMar>
          </w:tcPr>
          <w:p>
            <w:pPr>
              <w:spacing w:after="60" w:before="60"/>
            </w:pPr>
            <w:r>
              <w:rPr>
                <w:sz w:val="19"/>
                <w:szCs w:val="19"/>
              </w:rPr>
              <w:t xml:space="preserve">TLE</w:t>
            </w:r>
          </w:p>
        </w:tc>
        <w:tc>
          <w:tcPr>
            <w:shd w:fill="EFF6FF" w:val="solid"/>
            <w:tcMar>
              <w:top w:type="dxa" w:w="60"/>
              <w:left w:type="dxa" w:w="100"/>
              <w:bottom w:type="dxa" w:w="60"/>
              <w:right w:type="dxa" w:w="100"/>
            </w:tcMar>
          </w:tcPr>
          <w:p>
            <w:pPr>
              <w:spacing w:after="60" w:before="60"/>
            </w:pPr>
            <w:r>
              <w:rPr>
                <w:sz w:val="19"/>
                <w:szCs w:val="19"/>
              </w:rPr>
              <w:t xml:space="preserve">Two-Line Element set — a standardised format for encoding a satellite's Keplerian orbital elements at a given epoch</w:t>
            </w:r>
          </w:p>
        </w:tc>
      </w:tr>
      <w:tr>
        <w:tc>
          <w:tcPr>
            <w:shd w:fill="FFFFFF" w:val="solid"/>
            <w:tcMar>
              <w:top w:type="dxa" w:w="60"/>
              <w:left w:type="dxa" w:w="100"/>
              <w:bottom w:type="dxa" w:w="60"/>
              <w:right w:type="dxa" w:w="100"/>
            </w:tcMar>
          </w:tcPr>
          <w:p>
            <w:pPr>
              <w:spacing w:after="60" w:before="60"/>
            </w:pPr>
            <w:r>
              <w:rPr>
                <w:sz w:val="19"/>
                <w:szCs w:val="19"/>
              </w:rPr>
              <w:t xml:space="preserve">SGP4</w:t>
            </w:r>
          </w:p>
        </w:tc>
        <w:tc>
          <w:tcPr>
            <w:shd w:fill="FFFFFF" w:val="solid"/>
            <w:tcMar>
              <w:top w:type="dxa" w:w="60"/>
              <w:left w:type="dxa" w:w="100"/>
              <w:bottom w:type="dxa" w:w="60"/>
              <w:right w:type="dxa" w:w="100"/>
            </w:tcMar>
          </w:tcPr>
          <w:p>
            <w:pPr>
              <w:spacing w:after="60" w:before="60"/>
            </w:pPr>
            <w:r>
              <w:rPr>
                <w:sz w:val="19"/>
                <w:szCs w:val="19"/>
              </w:rPr>
              <w:t xml:space="preserve">Simplified General Perturbations 4 — the standard algorithm used worldwide to propagate a TLE forward or backward in time</w:t>
            </w:r>
          </w:p>
        </w:tc>
      </w:tr>
      <w:tr>
        <w:tc>
          <w:tcPr>
            <w:shd w:fill="EFF6FF" w:val="solid"/>
            <w:tcMar>
              <w:top w:type="dxa" w:w="60"/>
              <w:left w:type="dxa" w:w="100"/>
              <w:bottom w:type="dxa" w:w="60"/>
              <w:right w:type="dxa" w:w="100"/>
            </w:tcMar>
          </w:tcPr>
          <w:p>
            <w:pPr>
              <w:spacing w:after="60" w:before="60"/>
            </w:pPr>
            <w:r>
              <w:rPr>
                <w:sz w:val="19"/>
                <w:szCs w:val="19"/>
              </w:rPr>
              <w:t xml:space="preserve">NORAD ID</w:t>
            </w:r>
          </w:p>
        </w:tc>
        <w:tc>
          <w:tcPr>
            <w:shd w:fill="EFF6FF" w:val="solid"/>
            <w:tcMar>
              <w:top w:type="dxa" w:w="60"/>
              <w:left w:type="dxa" w:w="100"/>
              <w:bottom w:type="dxa" w:w="60"/>
              <w:right w:type="dxa" w:w="100"/>
            </w:tcMar>
          </w:tcPr>
          <w:p>
            <w:pPr>
              <w:spacing w:after="60" w:before="60"/>
            </w:pPr>
            <w:r>
              <w:rPr>
                <w:sz w:val="19"/>
                <w:szCs w:val="19"/>
              </w:rPr>
              <w:t xml:space="preserve">A unique integer assigned to every catalogued Earth-orbiting object by the North American Aerospace Defense Command</w:t>
            </w:r>
          </w:p>
        </w:tc>
      </w:tr>
      <w:tr>
        <w:tc>
          <w:tcPr>
            <w:shd w:fill="FFFFFF" w:val="solid"/>
            <w:tcMar>
              <w:top w:type="dxa" w:w="60"/>
              <w:left w:type="dxa" w:w="100"/>
              <w:bottom w:type="dxa" w:w="60"/>
              <w:right w:type="dxa" w:w="100"/>
            </w:tcMar>
          </w:tcPr>
          <w:p>
            <w:pPr>
              <w:spacing w:after="60" w:before="60"/>
            </w:pPr>
            <w:r>
              <w:rPr>
                <w:sz w:val="19"/>
                <w:szCs w:val="19"/>
              </w:rPr>
              <w:t xml:space="preserve">LEO</w:t>
            </w:r>
          </w:p>
        </w:tc>
        <w:tc>
          <w:tcPr>
            <w:shd w:fill="FFFFFF" w:val="solid"/>
            <w:tcMar>
              <w:top w:type="dxa" w:w="60"/>
              <w:left w:type="dxa" w:w="100"/>
              <w:bottom w:type="dxa" w:w="60"/>
              <w:right w:type="dxa" w:w="100"/>
            </w:tcMar>
          </w:tcPr>
          <w:p>
            <w:pPr>
              <w:spacing w:after="60" w:before="60"/>
            </w:pPr>
            <w:r>
              <w:rPr>
                <w:sz w:val="19"/>
                <w:szCs w:val="19"/>
              </w:rPr>
              <w:t xml:space="preserve">Low Earth Orbit — altitudes roughly 160–2,000 km; the most congested and commercially active orbital regime</w:t>
            </w:r>
          </w:p>
        </w:tc>
      </w:tr>
      <w:tr>
        <w:tc>
          <w:tcPr>
            <w:shd w:fill="EFF6FF" w:val="solid"/>
            <w:tcMar>
              <w:top w:type="dxa" w:w="60"/>
              <w:left w:type="dxa" w:w="100"/>
              <w:bottom w:type="dxa" w:w="60"/>
              <w:right w:type="dxa" w:w="100"/>
            </w:tcMar>
          </w:tcPr>
          <w:p>
            <w:pPr>
              <w:spacing w:after="60" w:before="60"/>
            </w:pPr>
            <w:r>
              <w:rPr>
                <w:sz w:val="19"/>
                <w:szCs w:val="19"/>
              </w:rPr>
              <w:t xml:space="preserve">MEO</w:t>
            </w:r>
          </w:p>
        </w:tc>
        <w:tc>
          <w:tcPr>
            <w:shd w:fill="EFF6FF" w:val="solid"/>
            <w:tcMar>
              <w:top w:type="dxa" w:w="60"/>
              <w:left w:type="dxa" w:w="100"/>
              <w:bottom w:type="dxa" w:w="60"/>
              <w:right w:type="dxa" w:w="100"/>
            </w:tcMar>
          </w:tcPr>
          <w:p>
            <w:pPr>
              <w:spacing w:after="60" w:before="60"/>
            </w:pPr>
            <w:r>
              <w:rPr>
                <w:sz w:val="19"/>
                <w:szCs w:val="19"/>
              </w:rPr>
              <w:t xml:space="preserve">Medium Earth Orbit — 2,000–35,786 km; primary orbital band for GPS and navigation constellations</w:t>
            </w:r>
          </w:p>
        </w:tc>
      </w:tr>
      <w:tr>
        <w:tc>
          <w:tcPr>
            <w:shd w:fill="FFFFFF" w:val="solid"/>
            <w:tcMar>
              <w:top w:type="dxa" w:w="60"/>
              <w:left w:type="dxa" w:w="100"/>
              <w:bottom w:type="dxa" w:w="60"/>
              <w:right w:type="dxa" w:w="100"/>
            </w:tcMar>
          </w:tcPr>
          <w:p>
            <w:pPr>
              <w:spacing w:after="60" w:before="60"/>
            </w:pPr>
            <w:r>
              <w:rPr>
                <w:sz w:val="19"/>
                <w:szCs w:val="19"/>
              </w:rPr>
              <w:t xml:space="preserve">GEO</w:t>
            </w:r>
          </w:p>
        </w:tc>
        <w:tc>
          <w:tcPr>
            <w:shd w:fill="FFFFFF" w:val="solid"/>
            <w:tcMar>
              <w:top w:type="dxa" w:w="60"/>
              <w:left w:type="dxa" w:w="100"/>
              <w:bottom w:type="dxa" w:w="60"/>
              <w:right w:type="dxa" w:w="100"/>
            </w:tcMar>
          </w:tcPr>
          <w:p>
            <w:pPr>
              <w:spacing w:after="60" w:before="60"/>
            </w:pPr>
            <w:r>
              <w:rPr>
                <w:sz w:val="19"/>
                <w:szCs w:val="19"/>
              </w:rPr>
              <w:t xml:space="preserve">Geostationary Earth Orbit — exactly 35,786 km, where an object's orbital period exactly matches Earth's 24-hour rotation</w:t>
            </w:r>
          </w:p>
        </w:tc>
      </w:tr>
      <w:tr>
        <w:tc>
          <w:tcPr>
            <w:shd w:fill="EFF6FF" w:val="solid"/>
            <w:tcMar>
              <w:top w:type="dxa" w:w="60"/>
              <w:left w:type="dxa" w:w="100"/>
              <w:bottom w:type="dxa" w:w="60"/>
              <w:right w:type="dxa" w:w="100"/>
            </w:tcMar>
          </w:tcPr>
          <w:p>
            <w:pPr>
              <w:spacing w:after="60" w:before="60"/>
            </w:pPr>
            <w:r>
              <w:rPr>
                <w:sz w:val="19"/>
                <w:szCs w:val="19"/>
              </w:rPr>
              <w:t xml:space="preserve">HEO</w:t>
            </w:r>
          </w:p>
        </w:tc>
        <w:tc>
          <w:tcPr>
            <w:shd w:fill="EFF6FF" w:val="solid"/>
            <w:tcMar>
              <w:top w:type="dxa" w:w="60"/>
              <w:left w:type="dxa" w:w="100"/>
              <w:bottom w:type="dxa" w:w="60"/>
              <w:right w:type="dxa" w:w="100"/>
            </w:tcMar>
          </w:tcPr>
          <w:p>
            <w:pPr>
              <w:spacing w:after="60" w:before="60"/>
            </w:pPr>
            <w:r>
              <w:rPr>
                <w:sz w:val="19"/>
                <w:szCs w:val="19"/>
              </w:rPr>
              <w:t xml:space="preserve">Highly Elliptical Orbit — elongated orbits whose perigee lies in LEO and whose apogee extends far beyond GEO</w:t>
            </w:r>
          </w:p>
        </w:tc>
      </w:tr>
      <w:tr>
        <w:tc>
          <w:tcPr>
            <w:shd w:fill="FFFFFF" w:val="solid"/>
            <w:tcMar>
              <w:top w:type="dxa" w:w="60"/>
              <w:left w:type="dxa" w:w="100"/>
              <w:bottom w:type="dxa" w:w="60"/>
              <w:right w:type="dxa" w:w="100"/>
            </w:tcMar>
          </w:tcPr>
          <w:p>
            <w:pPr>
              <w:spacing w:after="60" w:before="60"/>
            </w:pPr>
            <w:r>
              <w:rPr>
                <w:sz w:val="19"/>
                <w:szCs w:val="19"/>
              </w:rPr>
              <w:t xml:space="preserve">Conjunction</w:t>
            </w:r>
          </w:p>
        </w:tc>
        <w:tc>
          <w:tcPr>
            <w:shd w:fill="FFFFFF" w:val="solid"/>
            <w:tcMar>
              <w:top w:type="dxa" w:w="60"/>
              <w:left w:type="dxa" w:w="100"/>
              <w:bottom w:type="dxa" w:w="60"/>
              <w:right w:type="dxa" w:w="100"/>
            </w:tcMar>
          </w:tcPr>
          <w:p>
            <w:pPr>
              <w:spacing w:after="60" w:before="60"/>
            </w:pPr>
            <w:r>
              <w:rPr>
                <w:sz w:val="19"/>
                <w:szCs w:val="19"/>
              </w:rPr>
              <w:t xml:space="preserve">A close approach between two orbital objects; typically flagged for detailed analysis when predicted miss distance is under 1 km</w:t>
            </w:r>
          </w:p>
        </w:tc>
      </w:tr>
      <w:tr>
        <w:tc>
          <w:tcPr>
            <w:shd w:fill="EFF6FF" w:val="solid"/>
            <w:tcMar>
              <w:top w:type="dxa" w:w="60"/>
              <w:left w:type="dxa" w:w="100"/>
              <w:bottom w:type="dxa" w:w="60"/>
              <w:right w:type="dxa" w:w="100"/>
            </w:tcMar>
          </w:tcPr>
          <w:p>
            <w:pPr>
              <w:spacing w:after="60" w:before="60"/>
            </w:pPr>
            <w:r>
              <w:rPr>
                <w:sz w:val="19"/>
                <w:szCs w:val="19"/>
              </w:rPr>
              <w:t xml:space="preserve">Kessler Syndrome</w:t>
            </w:r>
          </w:p>
        </w:tc>
        <w:tc>
          <w:tcPr>
            <w:shd w:fill="EFF6FF" w:val="solid"/>
            <w:tcMar>
              <w:top w:type="dxa" w:w="60"/>
              <w:left w:type="dxa" w:w="100"/>
              <w:bottom w:type="dxa" w:w="60"/>
              <w:right w:type="dxa" w:w="100"/>
            </w:tcMar>
          </w:tcPr>
          <w:p>
            <w:pPr>
              <w:spacing w:after="60" w:before="60"/>
            </w:pPr>
            <w:r>
              <w:rPr>
                <w:sz w:val="19"/>
                <w:szCs w:val="19"/>
              </w:rPr>
              <w:t xml:space="preserve">A runaway cascade scenario in which one in-orbit collision generates debris that triggers further collisions, rendering the affected shell permanently unusable</w:t>
            </w:r>
          </w:p>
        </w:tc>
      </w:tr>
      <w:tr>
        <w:tc>
          <w:tcPr>
            <w:shd w:fill="FFFFFF" w:val="solid"/>
            <w:tcMar>
              <w:top w:type="dxa" w:w="60"/>
              <w:left w:type="dxa" w:w="100"/>
              <w:bottom w:type="dxa" w:w="60"/>
              <w:right w:type="dxa" w:w="100"/>
            </w:tcMar>
          </w:tcPr>
          <w:p>
            <w:pPr>
              <w:spacing w:after="60" w:before="60"/>
            </w:pPr>
            <w:r>
              <w:rPr>
                <w:sz w:val="19"/>
                <w:szCs w:val="19"/>
              </w:rPr>
              <w:t xml:space="preserve">BSTAR</w:t>
            </w:r>
          </w:p>
        </w:tc>
        <w:tc>
          <w:tcPr>
            <w:shd w:fill="FFFFFF" w:val="solid"/>
            <w:tcMar>
              <w:top w:type="dxa" w:w="60"/>
              <w:left w:type="dxa" w:w="100"/>
              <w:bottom w:type="dxa" w:w="60"/>
              <w:right w:type="dxa" w:w="100"/>
            </w:tcMar>
          </w:tcPr>
          <w:p>
            <w:pPr>
              <w:spacing w:after="60" w:before="60"/>
            </w:pPr>
            <w:r>
              <w:rPr>
                <w:sz w:val="19"/>
                <w:szCs w:val="19"/>
              </w:rPr>
              <w:t xml:space="preserve">A TLE drag-related parameter approximating the object's ballistic coefficient; governs atmospheric decay rate and natural deorbit timeline</w:t>
            </w:r>
          </w:p>
        </w:tc>
      </w:tr>
      <w:tr>
        <w:tc>
          <w:tcPr>
            <w:shd w:fill="EFF6FF" w:val="solid"/>
            <w:tcMar>
              <w:top w:type="dxa" w:w="60"/>
              <w:left w:type="dxa" w:w="100"/>
              <w:bottom w:type="dxa" w:w="60"/>
              <w:right w:type="dxa" w:w="100"/>
            </w:tcMar>
          </w:tcPr>
          <w:p>
            <w:pPr>
              <w:spacing w:after="60" w:before="60"/>
            </w:pPr>
            <w:r>
              <w:rPr>
                <w:sz w:val="19"/>
                <w:szCs w:val="19"/>
              </w:rPr>
              <w:t xml:space="preserve">Kepler's Third Law</w:t>
            </w:r>
          </w:p>
        </w:tc>
        <w:tc>
          <w:tcPr>
            <w:shd w:fill="EFF6FF" w:val="solid"/>
            <w:tcMar>
              <w:top w:type="dxa" w:w="60"/>
              <w:left w:type="dxa" w:w="100"/>
              <w:bottom w:type="dxa" w:w="60"/>
              <w:right w:type="dxa" w:w="100"/>
            </w:tcMar>
          </w:tcPr>
          <w:p>
            <w:pPr>
              <w:spacing w:after="60" w:before="60"/>
            </w:pPr>
            <w:r>
              <w:rPr>
                <w:sz w:val="19"/>
                <w:szCs w:val="19"/>
              </w:rPr>
              <w:t xml:space="preserve">States that the square of an orbit's period is proportional to the cube of its semi-major axis, allowing altitude to be derived from TLE mean motion</w:t>
            </w:r>
          </w:p>
        </w:tc>
      </w:tr>
      <w:tr>
        <w:tc>
          <w:tcPr>
            <w:shd w:fill="FFFFFF" w:val="solid"/>
            <w:tcMar>
              <w:top w:type="dxa" w:w="60"/>
              <w:left w:type="dxa" w:w="100"/>
              <w:bottom w:type="dxa" w:w="60"/>
              <w:right w:type="dxa" w:w="100"/>
            </w:tcMar>
          </w:tcPr>
          <w:p>
            <w:pPr>
              <w:spacing w:after="60" w:before="60"/>
            </w:pPr>
            <w:r>
              <w:rPr>
                <w:sz w:val="19"/>
                <w:szCs w:val="19"/>
              </w:rPr>
              <w:t xml:space="preserve">SPA</w:t>
            </w:r>
          </w:p>
        </w:tc>
        <w:tc>
          <w:tcPr>
            <w:shd w:fill="FFFFFF" w:val="solid"/>
            <w:tcMar>
              <w:top w:type="dxa" w:w="60"/>
              <w:left w:type="dxa" w:w="100"/>
              <w:bottom w:type="dxa" w:w="60"/>
              <w:right w:type="dxa" w:w="100"/>
            </w:tcMar>
          </w:tcPr>
          <w:p>
            <w:pPr>
              <w:spacing w:after="60" w:before="60"/>
            </w:pPr>
            <w:r>
              <w:rPr>
                <w:sz w:val="19"/>
                <w:szCs w:val="19"/>
              </w:rPr>
              <w:t xml:space="preserve">Single-Page Application — a web application where all page transitions are handled client-side without full browser reloads</w:t>
            </w:r>
          </w:p>
        </w:tc>
      </w:tr>
      <w:tr>
        <w:tc>
          <w:tcPr>
            <w:shd w:fill="EFF6FF" w:val="solid"/>
            <w:tcMar>
              <w:top w:type="dxa" w:w="60"/>
              <w:left w:type="dxa" w:w="100"/>
              <w:bottom w:type="dxa" w:w="60"/>
              <w:right w:type="dxa" w:w="100"/>
            </w:tcMar>
          </w:tcPr>
          <w:p>
            <w:pPr>
              <w:spacing w:after="60" w:before="60"/>
            </w:pPr>
            <w:r>
              <w:rPr>
                <w:sz w:val="19"/>
                <w:szCs w:val="19"/>
              </w:rPr>
              <w:t xml:space="preserve">ORM</w:t>
            </w:r>
          </w:p>
        </w:tc>
        <w:tc>
          <w:tcPr>
            <w:shd w:fill="EFF6FF" w:val="solid"/>
            <w:tcMar>
              <w:top w:type="dxa" w:w="60"/>
              <w:left w:type="dxa" w:w="100"/>
              <w:bottom w:type="dxa" w:w="60"/>
              <w:right w:type="dxa" w:w="100"/>
            </w:tcMar>
          </w:tcPr>
          <w:p>
            <w:pPr>
              <w:spacing w:after="60" w:before="60"/>
            </w:pPr>
            <w:r>
              <w:rPr>
                <w:sz w:val="19"/>
                <w:szCs w:val="19"/>
              </w:rPr>
              <w:t xml:space="preserve">Object-Relational Mapper — software (Drizzle) that maps database tables to typed language objects for type-safe querying</w:t>
            </w:r>
          </w:p>
        </w:tc>
      </w:tr>
      <w:tr>
        <w:tc>
          <w:tcPr>
            <w:shd w:fill="FFFFFF" w:val="solid"/>
            <w:tcMar>
              <w:top w:type="dxa" w:w="60"/>
              <w:left w:type="dxa" w:w="100"/>
              <w:bottom w:type="dxa" w:w="60"/>
              <w:right w:type="dxa" w:w="100"/>
            </w:tcMar>
          </w:tcPr>
          <w:p>
            <w:pPr>
              <w:spacing w:after="60" w:before="60"/>
            </w:pPr>
            <w:r>
              <w:rPr>
                <w:sz w:val="19"/>
                <w:szCs w:val="19"/>
              </w:rPr>
              <w:t xml:space="preserve">Orval</w:t>
            </w:r>
          </w:p>
        </w:tc>
        <w:tc>
          <w:tcPr>
            <w:shd w:fill="FFFFFF" w:val="solid"/>
            <w:tcMar>
              <w:top w:type="dxa" w:w="60"/>
              <w:left w:type="dxa" w:w="100"/>
              <w:bottom w:type="dxa" w:w="60"/>
              <w:right w:type="dxa" w:w="100"/>
            </w:tcMar>
          </w:tcPr>
          <w:p>
            <w:pPr>
              <w:spacing w:after="60" w:before="60"/>
            </w:pPr>
            <w:r>
              <w:rPr>
                <w:sz w:val="19"/>
                <w:szCs w:val="19"/>
              </w:rPr>
              <w:t xml:space="preserve">A code generator that reads an OpenAPI specification and produces typed TypeScript API client hooks and Zod validators</w:t>
            </w:r>
          </w:p>
        </w:tc>
      </w:tr>
      <w:tr>
        <w:tc>
          <w:tcPr>
            <w:shd w:fill="EFF6FF" w:val="solid"/>
            <w:tcMar>
              <w:top w:type="dxa" w:w="60"/>
              <w:left w:type="dxa" w:w="100"/>
              <w:bottom w:type="dxa" w:w="60"/>
              <w:right w:type="dxa" w:w="100"/>
            </w:tcMar>
          </w:tcPr>
          <w:p>
            <w:pPr>
              <w:spacing w:after="60" w:before="60"/>
            </w:pPr>
            <w:r>
              <w:rPr>
                <w:sz w:val="19"/>
                <w:szCs w:val="19"/>
              </w:rPr>
              <w:t xml:space="preserve">Drizzle Kit</w:t>
            </w:r>
          </w:p>
        </w:tc>
        <w:tc>
          <w:tcPr>
            <w:shd w:fill="EFF6FF" w:val="solid"/>
            <w:tcMar>
              <w:top w:type="dxa" w:w="60"/>
              <w:left w:type="dxa" w:w="100"/>
              <w:bottom w:type="dxa" w:w="60"/>
              <w:right w:type="dxa" w:w="100"/>
            </w:tcMar>
          </w:tcPr>
          <w:p>
            <w:pPr>
              <w:spacing w:after="60" w:before="60"/>
            </w:pPr>
            <w:r>
              <w:rPr>
                <w:sz w:val="19"/>
                <w:szCs w:val="19"/>
              </w:rPr>
              <w:t xml:space="preserve">The CLI companion to Drizzle ORM that compares schema source files to the live database and generates SQL migration files</w:t>
            </w:r>
          </w:p>
        </w:tc>
      </w:tr>
      <w:tr>
        <w:tc>
          <w:tcPr>
            <w:shd w:fill="FFFFFF" w:val="solid"/>
            <w:tcMar>
              <w:top w:type="dxa" w:w="60"/>
              <w:left w:type="dxa" w:w="100"/>
              <w:bottom w:type="dxa" w:w="60"/>
              <w:right w:type="dxa" w:w="100"/>
            </w:tcMar>
          </w:tcPr>
          <w:p>
            <w:pPr>
              <w:spacing w:after="60" w:before="60"/>
            </w:pPr>
            <w:r>
              <w:rPr>
                <w:sz w:val="19"/>
                <w:szCs w:val="19"/>
              </w:rPr>
              <w:t xml:space="preserve">pnpm</w:t>
            </w:r>
          </w:p>
        </w:tc>
        <w:tc>
          <w:tcPr>
            <w:shd w:fill="FFFFFF" w:val="solid"/>
            <w:tcMar>
              <w:top w:type="dxa" w:w="60"/>
              <w:left w:type="dxa" w:w="100"/>
              <w:bottom w:type="dxa" w:w="60"/>
              <w:right w:type="dxa" w:w="100"/>
            </w:tcMar>
          </w:tcPr>
          <w:p>
            <w:pPr>
              <w:spacing w:after="60" w:before="60"/>
            </w:pPr>
            <w:r>
              <w:rPr>
                <w:sz w:val="19"/>
                <w:szCs w:val="19"/>
              </w:rPr>
              <w:t xml:space="preserve">Performant Node Package Manager — uses hard links and a content-addressable store for fast, disk-efficient monorepo installs</w:t>
            </w:r>
          </w:p>
        </w:tc>
      </w:tr>
      <w:tr>
        <w:tc>
          <w:tcPr>
            <w:shd w:fill="EFF6FF" w:val="solid"/>
            <w:tcMar>
              <w:top w:type="dxa" w:w="60"/>
              <w:left w:type="dxa" w:w="100"/>
              <w:bottom w:type="dxa" w:w="60"/>
              <w:right w:type="dxa" w:w="100"/>
            </w:tcMar>
          </w:tcPr>
          <w:p>
            <w:pPr>
              <w:spacing w:after="60" w:before="60"/>
            </w:pPr>
            <w:r>
              <w:rPr>
                <w:sz w:val="19"/>
                <w:szCs w:val="19"/>
              </w:rPr>
              <w:t xml:space="preserve">SSA</w:t>
            </w:r>
          </w:p>
        </w:tc>
        <w:tc>
          <w:tcPr>
            <w:shd w:fill="EFF6FF" w:val="solid"/>
            <w:tcMar>
              <w:top w:type="dxa" w:w="60"/>
              <w:left w:type="dxa" w:w="100"/>
              <w:bottom w:type="dxa" w:w="60"/>
              <w:right w:type="dxa" w:w="100"/>
            </w:tcMar>
          </w:tcPr>
          <w:p>
            <w:pPr>
              <w:spacing w:after="60" w:before="60"/>
            </w:pPr>
            <w:r>
              <w:rPr>
                <w:sz w:val="19"/>
                <w:szCs w:val="19"/>
              </w:rPr>
              <w:t xml:space="preserve">Space Situational Awareness — the knowledge of the orbital environment needed to safely operate spacecraft and avoid collisions</w:t>
            </w:r>
          </w:p>
        </w:tc>
      </w:tr>
      <w:tr>
        <w:tc>
          <w:tcPr>
            <w:shd w:fill="FFFFFF" w:val="solid"/>
            <w:tcMar>
              <w:top w:type="dxa" w:w="60"/>
              <w:left w:type="dxa" w:w="100"/>
              <w:bottom w:type="dxa" w:w="60"/>
              <w:right w:type="dxa" w:w="100"/>
            </w:tcMar>
          </w:tcPr>
          <w:p>
            <w:pPr>
              <w:spacing w:after="60" w:before="60"/>
            </w:pPr>
            <w:r>
              <w:rPr>
                <w:sz w:val="19"/>
                <w:szCs w:val="19"/>
              </w:rPr>
              <w:t xml:space="preserve">ΔV (Delta-V)</w:t>
            </w:r>
          </w:p>
        </w:tc>
        <w:tc>
          <w:tcPr>
            <w:shd w:fill="FFFFFF" w:val="solid"/>
            <w:tcMar>
              <w:top w:type="dxa" w:w="60"/>
              <w:left w:type="dxa" w:w="100"/>
              <w:bottom w:type="dxa" w:w="60"/>
              <w:right w:type="dxa" w:w="100"/>
            </w:tcMar>
          </w:tcPr>
          <w:p>
            <w:pPr>
              <w:spacing w:after="60" w:before="60"/>
            </w:pPr>
            <w:r>
              <w:rPr>
                <w:sz w:val="19"/>
                <w:szCs w:val="19"/>
              </w:rPr>
              <w:t xml:space="preserve">The change in velocity required to alter a spacecraft's orbit; the fundamental currency of orbital manoeuvre planning</w:t>
            </w:r>
          </w:p>
        </w:tc>
      </w:tr>
    </w:tbl>
    <w:p>
      <w:pPr>
        <w:spacing w:after="100"/>
      </w:pPr>
    </w:p>
    <w:p>
      <w:r>
        <w:br w:type="page"/>
      </w:r>
    </w:p>
    <w:p>
      <w:pPr>
        <w:spacing w:after="120"/>
      </w:pPr>
      <w:r>
        <w:rPr>
          <w:b/>
          <w:bCs/>
          <w:color w:val="1E3A5F"/>
          <w:sz w:val="28"/>
          <w:szCs w:val="28"/>
        </w:rP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solid"/>
            <w:tcMar>
              <w:top w:type="dxa" w:w="60"/>
              <w:left w:type="dxa" w:w="100"/>
              <w:bottom w:type="dxa" w:w="60"/>
              <w:right w:type="dxa" w:w="100"/>
            </w:tcMar>
          </w:tcPr>
          <w:p>
            <w:pPr>
              <w:spacing w:after="60" w:before="60"/>
            </w:pPr>
            <w:r>
              <w:rPr>
                <w:b/>
                <w:bCs/>
                <w:color w:val="FFFFFF"/>
                <w:sz w:val="19"/>
                <w:szCs w:val="19"/>
              </w:rPr>
              <w:t xml:space="preserve">Field</w:t>
            </w:r>
          </w:p>
        </w:tc>
        <w:tc>
          <w:tcPr>
            <w:shd w:fill="1E3A5F" w:val="solid"/>
            <w:tcMar>
              <w:top w:type="dxa" w:w="60"/>
              <w:left w:type="dxa" w:w="100"/>
              <w:bottom w:type="dxa" w:w="60"/>
              <w:right w:type="dxa" w:w="100"/>
            </w:tcMar>
          </w:tcPr>
          <w:p>
            <w:pPr>
              <w:spacing w:after="60" w:before="60"/>
            </w:pPr>
            <w:r>
              <w:rPr>
                <w:b/>
                <w:bCs/>
                <w:color w:val="FFFFFF"/>
                <w:sz w:val="19"/>
                <w:szCs w:val="19"/>
              </w:rPr>
              <w:t xml:space="preserve">Value</w:t>
            </w:r>
          </w:p>
        </w:tc>
      </w:tr>
      <w:tr>
        <w:tc>
          <w:tcPr>
            <w:shd w:fill="EFF6FF" w:val="solid"/>
            <w:tcMar>
              <w:top w:type="dxa" w:w="60"/>
              <w:left w:type="dxa" w:w="100"/>
              <w:bottom w:type="dxa" w:w="60"/>
              <w:right w:type="dxa" w:w="100"/>
            </w:tcMar>
          </w:tcPr>
          <w:p>
            <w:pPr>
              <w:spacing w:after="60" w:before="60"/>
            </w:pPr>
            <w:r>
              <w:rPr>
                <w:sz w:val="19"/>
                <w:szCs w:val="19"/>
              </w:rPr>
              <w:t xml:space="preserve">Document Title</w:t>
            </w:r>
          </w:p>
        </w:tc>
        <w:tc>
          <w:tcPr>
            <w:shd w:fill="EFF6FF" w:val="solid"/>
            <w:tcMar>
              <w:top w:type="dxa" w:w="60"/>
              <w:left w:type="dxa" w:w="100"/>
              <w:bottom w:type="dxa" w:w="60"/>
              <w:right w:type="dxa" w:w="100"/>
            </w:tcMar>
          </w:tcPr>
          <w:p>
            <w:pPr>
              <w:spacing w:after="60" w:before="60"/>
            </w:pPr>
            <w:r>
              <w:rPr>
                <w:sz w:val="19"/>
                <w:szCs w:val="19"/>
              </w:rPr>
              <w:t xml:space="preserve">Orbital Intelligence Platform — Technical &amp; Project Documentation</w:t>
            </w:r>
          </w:p>
        </w:tc>
      </w:tr>
      <w:tr>
        <w:tc>
          <w:tcPr>
            <w:shd w:fill="FFFFFF" w:val="solid"/>
            <w:tcMar>
              <w:top w:type="dxa" w:w="60"/>
              <w:left w:type="dxa" w:w="100"/>
              <w:bottom w:type="dxa" w:w="60"/>
              <w:right w:type="dxa" w:w="100"/>
            </w:tcMar>
          </w:tcPr>
          <w:p>
            <w:pPr>
              <w:spacing w:after="60" w:before="60"/>
            </w:pPr>
            <w:r>
              <w:rPr>
                <w:sz w:val="19"/>
                <w:szCs w:val="19"/>
              </w:rPr>
              <w:t xml:space="preserve">Version</w:t>
            </w:r>
          </w:p>
        </w:tc>
        <w:tc>
          <w:tcPr>
            <w:shd w:fill="FFFFFF" w:val="solid"/>
            <w:tcMar>
              <w:top w:type="dxa" w:w="60"/>
              <w:left w:type="dxa" w:w="100"/>
              <w:bottom w:type="dxa" w:w="60"/>
              <w:right w:type="dxa" w:w="100"/>
            </w:tcMar>
          </w:tcPr>
          <w:p>
            <w:pPr>
              <w:spacing w:after="60" w:before="60"/>
            </w:pPr>
            <w:r>
              <w:rPr>
                <w:sz w:val="19"/>
                <w:szCs w:val="19"/>
              </w:rPr>
              <w:t xml:space="preserve">1.0</w:t>
            </w:r>
          </w:p>
        </w:tc>
      </w:tr>
      <w:tr>
        <w:tc>
          <w:tcPr>
            <w:shd w:fill="EFF6FF" w:val="solid"/>
            <w:tcMar>
              <w:top w:type="dxa" w:w="60"/>
              <w:left w:type="dxa" w:w="100"/>
              <w:bottom w:type="dxa" w:w="60"/>
              <w:right w:type="dxa" w:w="100"/>
            </w:tcMar>
          </w:tcPr>
          <w:p>
            <w:pPr>
              <w:spacing w:after="60" w:before="60"/>
            </w:pPr>
            <w:r>
              <w:rPr>
                <w:sz w:val="19"/>
                <w:szCs w:val="19"/>
              </w:rPr>
              <w:t xml:space="preserve">Date Prepared</w:t>
            </w:r>
          </w:p>
        </w:tc>
        <w:tc>
          <w:tcPr>
            <w:shd w:fill="EFF6FF" w:val="solid"/>
            <w:tcMar>
              <w:top w:type="dxa" w:w="60"/>
              <w:left w:type="dxa" w:w="100"/>
              <w:bottom w:type="dxa" w:w="60"/>
              <w:right w:type="dxa" w:w="100"/>
            </w:tcMar>
          </w:tcPr>
          <w:p>
            <w:pPr>
              <w:spacing w:after="60" w:before="60"/>
            </w:pPr>
            <w:r>
              <w:rPr>
                <w:sz w:val="19"/>
                <w:szCs w:val="19"/>
              </w:rPr>
              <w:t xml:space="preserve">June 2026</w:t>
            </w:r>
          </w:p>
        </w:tc>
      </w:tr>
      <w:tr>
        <w:tc>
          <w:tcPr>
            <w:shd w:fill="FFFFFF" w:val="solid"/>
            <w:tcMar>
              <w:top w:type="dxa" w:w="60"/>
              <w:left w:type="dxa" w:w="100"/>
              <w:bottom w:type="dxa" w:w="60"/>
              <w:right w:type="dxa" w:w="100"/>
            </w:tcMar>
          </w:tcPr>
          <w:p>
            <w:pPr>
              <w:spacing w:after="60" w:before="60"/>
            </w:pPr>
            <w:r>
              <w:rPr>
                <w:sz w:val="19"/>
                <w:szCs w:val="19"/>
              </w:rPr>
              <w:t xml:space="preserve">Author</w:t>
            </w:r>
          </w:p>
        </w:tc>
        <w:tc>
          <w:tcPr>
            <w:shd w:fill="FFFFFF" w:val="solid"/>
            <w:tcMar>
              <w:top w:type="dxa" w:w="60"/>
              <w:left w:type="dxa" w:w="100"/>
              <w:bottom w:type="dxa" w:w="60"/>
              <w:right w:type="dxa" w:w="100"/>
            </w:tcMar>
          </w:tcPr>
          <w:p>
            <w:pPr>
              <w:spacing w:after="60" w:before="60"/>
            </w:pPr>
            <w:r>
              <w:rPr>
                <w:sz w:val="19"/>
                <w:szCs w:val="19"/>
              </w:rPr>
              <w:t xml:space="preserve">Aswin Sudhan</w:t>
            </w:r>
          </w:p>
        </w:tc>
      </w:tr>
      <w:tr>
        <w:tc>
          <w:tcPr>
            <w:shd w:fill="EFF6FF" w:val="solid"/>
            <w:tcMar>
              <w:top w:type="dxa" w:w="60"/>
              <w:left w:type="dxa" w:w="100"/>
              <w:bottom w:type="dxa" w:w="60"/>
              <w:right w:type="dxa" w:w="100"/>
            </w:tcMar>
          </w:tcPr>
          <w:p>
            <w:pPr>
              <w:spacing w:after="60" w:before="60"/>
            </w:pPr>
            <w:r>
              <w:rPr>
                <w:sz w:val="19"/>
                <w:szCs w:val="19"/>
              </w:rPr>
              <w:t xml:space="preserve">Repository</w:t>
            </w:r>
          </w:p>
        </w:tc>
        <w:tc>
          <w:tcPr>
            <w:shd w:fill="EFF6FF" w:val="solid"/>
            <w:tcMar>
              <w:top w:type="dxa" w:w="60"/>
              <w:left w:type="dxa" w:w="100"/>
              <w:bottom w:type="dxa" w:w="60"/>
              <w:right w:type="dxa" w:w="100"/>
            </w:tcMar>
          </w:tcPr>
          <w:p>
            <w:pPr>
              <w:spacing w:after="60" w:before="60"/>
            </w:pPr>
            <w:r>
              <w:rPr>
                <w:sz w:val="19"/>
                <w:szCs w:val="19"/>
              </w:rPr>
              <w:t xml:space="preserve">github.com/Aswinsudhan/Orbital-Intelligence-Platform</w:t>
            </w:r>
          </w:p>
        </w:tc>
      </w:tr>
      <w:tr>
        <w:tc>
          <w:tcPr>
            <w:shd w:fill="FFFFFF" w:val="solid"/>
            <w:tcMar>
              <w:top w:type="dxa" w:w="60"/>
              <w:left w:type="dxa" w:w="100"/>
              <w:bottom w:type="dxa" w:w="60"/>
              <w:right w:type="dxa" w:w="100"/>
            </w:tcMar>
          </w:tcPr>
          <w:p>
            <w:pPr>
              <w:spacing w:after="60" w:before="60"/>
            </w:pPr>
            <w:r>
              <w:rPr>
                <w:sz w:val="19"/>
                <w:szCs w:val="19"/>
              </w:rPr>
              <w:t xml:space="preserve">Classification</w:t>
            </w:r>
          </w:p>
        </w:tc>
        <w:tc>
          <w:tcPr>
            <w:shd w:fill="FFFFFF" w:val="solid"/>
            <w:tcMar>
              <w:top w:type="dxa" w:w="60"/>
              <w:left w:type="dxa" w:w="100"/>
              <w:bottom w:type="dxa" w:w="60"/>
              <w:right w:type="dxa" w:w="100"/>
            </w:tcMar>
          </w:tcPr>
          <w:p>
            <w:pPr>
              <w:spacing w:after="60" w:before="60"/>
            </w:pPr>
            <w:r>
              <w:rPr>
                <w:sz w:val="19"/>
                <w:szCs w:val="19"/>
              </w:rPr>
              <w:t xml:space="preserve">Public / Open Source</w:t>
            </w:r>
          </w:p>
        </w:tc>
      </w:tr>
      <w:tr>
        <w:tc>
          <w:tcPr>
            <w:shd w:fill="EFF6FF" w:val="solid"/>
            <w:tcMar>
              <w:top w:type="dxa" w:w="60"/>
              <w:left w:type="dxa" w:w="100"/>
              <w:bottom w:type="dxa" w:w="60"/>
              <w:right w:type="dxa" w:w="100"/>
            </w:tcMar>
          </w:tcPr>
          <w:p>
            <w:pPr>
              <w:spacing w:after="60" w:before="60"/>
            </w:pPr>
            <w:r>
              <w:rPr>
                <w:sz w:val="19"/>
                <w:szCs w:val="19"/>
              </w:rPr>
              <w:t xml:space="preserve">Total Sections</w:t>
            </w:r>
          </w:p>
        </w:tc>
        <w:tc>
          <w:tcPr>
            <w:shd w:fill="EFF6FF" w:val="solid"/>
            <w:tcMar>
              <w:top w:type="dxa" w:w="60"/>
              <w:left w:type="dxa" w:w="100"/>
              <w:bottom w:type="dxa" w:w="60"/>
              <w:right w:type="dxa" w:w="100"/>
            </w:tcMar>
          </w:tcPr>
          <w:p>
            <w:pPr>
              <w:spacing w:after="60" w:before="60"/>
            </w:pPr>
            <w:r>
              <w:rPr>
                <w:sz w:val="19"/>
                <w:szCs w:val="19"/>
              </w:rPr>
              <w:t xml:space="preserve">13 sections + Glossary</w:t>
            </w:r>
          </w:p>
        </w:tc>
      </w:tr>
      <w:tr>
        <w:tc>
          <w:tcPr>
            <w:shd w:fill="FFFFFF" w:val="solid"/>
            <w:tcMar>
              <w:top w:type="dxa" w:w="60"/>
              <w:left w:type="dxa" w:w="100"/>
              <w:bottom w:type="dxa" w:w="60"/>
              <w:right w:type="dxa" w:w="100"/>
            </w:tcMar>
          </w:tcPr>
          <w:p>
            <w:pPr>
              <w:spacing w:after="60" w:before="60"/>
            </w:pPr>
            <w:r>
              <w:rPr>
                <w:sz w:val="19"/>
                <w:szCs w:val="19"/>
              </w:rPr>
              <w:t xml:space="preserve">File Format</w:t>
            </w:r>
          </w:p>
        </w:tc>
        <w:tc>
          <w:tcPr>
            <w:shd w:fill="FFFFFF" w:val="solid"/>
            <w:tcMar>
              <w:top w:type="dxa" w:w="60"/>
              <w:left w:type="dxa" w:w="100"/>
              <w:bottom w:type="dxa" w:w="60"/>
              <w:right w:type="dxa" w:w="100"/>
            </w:tcMar>
          </w:tcPr>
          <w:p>
            <w:pPr>
              <w:spacing w:after="60" w:before="60"/>
            </w:pPr>
            <w:r>
              <w:rPr>
                <w:sz w:val="19"/>
                <w:szCs w:val="19"/>
              </w:rPr>
              <w:t xml:space="preserve">Microsoft Word (.docx) — fully editable in Word, LibreOffice, and Google Docs</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400"/>
    </w:pPr>
    <w:rPr>
      <w:b/>
      <w:bCs/>
      <w:color w:val="1E3A5F"/>
      <w:sz w:val="36"/>
      <w:szCs w:val="36"/>
    </w:rPr>
  </w:style>
  <w:style w:type="paragraph" w:styleId="Heading2">
    <w:name w:val="Heading 2"/>
    <w:pPr>
      <w:spacing w:after="100" w:before="280"/>
    </w:pPr>
    <w:rPr>
      <w:b/>
      <w:bCs/>
      <w:color w:val="1E3A5F"/>
      <w:sz w:val="28"/>
      <w:szCs w:val="28"/>
    </w:rPr>
  </w:style>
  <w:style w:type="paragraph" w:styleId="Heading3">
    <w:name w:val="Heading 3"/>
    <w:pPr>
      <w:spacing w:after="80" w:before="200"/>
    </w:pPr>
    <w:rPr>
      <w:b/>
      <w:bCs/>
      <w:color w:val="0EA5E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Orbital Intelligence Platform — Technical Documentation</dc:title>
  <dc:creator>Aswin Sudhan</dc:creator>
  <cp:lastModifiedBy>Un-named</cp:lastModifiedBy>
  <cp:revision>1</cp:revision>
  <dcterms:created xsi:type="dcterms:W3CDTF">2026-06-25T20:57:47.944Z</dcterms:created>
  <dcterms:modified xsi:type="dcterms:W3CDTF">2026-06-25T20:57:47.945Z</dcterms:modified>
</cp:coreProperties>
</file>

<file path=docProps/custom.xml><?xml version="1.0" encoding="utf-8"?>
<Properties xmlns="http://schemas.openxmlformats.org/officeDocument/2006/custom-properties" xmlns:vt="http://schemas.openxmlformats.org/officeDocument/2006/docPropsVTypes"/>
</file>