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情感分析作业报告</w:t>
      </w:r>
    </w:p>
    <w:p>
      <w:pPr>
        <w:pStyle w:val="Heading1"/>
      </w:pPr>
      <w:r>
        <w:t>一、任务概述</w:t>
      </w:r>
    </w:p>
    <w:p>
      <w:r>
        <w:t>基于中文购物书评，训练循环神经网络（RNN 及其变体）判断评论的情感倾向，属于二分类任务（正面 / 负面）。</w:t>
      </w:r>
    </w:p>
    <w:p>
      <w:pPr>
        <w:pStyle w:val="Heading1"/>
      </w:pPr>
      <w:r>
        <w:t>二、数据与预处理</w:t>
      </w:r>
    </w:p>
    <w:p>
      <w:r>
        <w:t>数据共 21124 条书评（正面 10696 条、负面 10428 条）。使用 jieba 精确模式分词，构建词表（50938 词），序列统一截断 / 填充至长度 100，按 9:1 划分训练集与测试集，切分前随机打乱以保证标签均衡。</w:t>
      </w:r>
    </w:p>
    <w:p>
      <w:pPr>
        <w:pStyle w:val="Heading1"/>
      </w:pPr>
      <w:r>
        <w:t>三、模型设计</w:t>
      </w:r>
    </w:p>
    <w:p>
      <w:r>
        <w:t>Embedding 层（128 维）→ RNN / LSTM / GRU（单层，隐维度 128）→ 对时间步做平均池化 → 全连接分类（2 类）。损失函数为交叉熵，优化器为 Adam（lr=1e-3），并采用梯度裁剪缓解梯度爆炸。</w:t>
      </w:r>
    </w:p>
    <w:p>
      <w:pPr>
        <w:pStyle w:val="Heading1"/>
      </w:pPr>
      <w:r>
        <w:t>四、实验结果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测试准确率</w:t>
            </w:r>
          </w:p>
        </w:tc>
      </w:tr>
      <w:tr>
        <w:tc>
          <w:tcPr>
            <w:tcW w:type="dxa" w:w="4320"/>
          </w:tcPr>
          <w:p>
            <w:r>
              <w:t>RNN</w:t>
            </w:r>
          </w:p>
        </w:tc>
        <w:tc>
          <w:tcPr>
            <w:tcW w:type="dxa" w:w="4320"/>
          </w:tcPr>
          <w:p>
            <w:r>
              <w:t>91.39%</w:t>
            </w:r>
          </w:p>
        </w:tc>
      </w:tr>
      <w:tr>
        <w:tc>
          <w:tcPr>
            <w:tcW w:type="dxa" w:w="4320"/>
          </w:tcPr>
          <w:p>
            <w:r>
              <w:t>LSTM</w:t>
            </w:r>
          </w:p>
        </w:tc>
        <w:tc>
          <w:tcPr>
            <w:tcW w:type="dxa" w:w="4320"/>
          </w:tcPr>
          <w:p>
            <w:r>
              <w:t>92.66%</w:t>
            </w:r>
          </w:p>
        </w:tc>
      </w:tr>
      <w:tr>
        <w:tc>
          <w:tcPr>
            <w:tcW w:type="dxa" w:w="4320"/>
          </w:tcPr>
          <w:p>
            <w:r>
              <w:t>GRU</w:t>
            </w:r>
          </w:p>
        </w:tc>
        <w:tc>
          <w:tcPr>
            <w:tcW w:type="dxa" w:w="4320"/>
          </w:tcPr>
          <w:p>
            <w:r>
              <w:t>92.95%</w:t>
            </w:r>
          </w:p>
        </w:tc>
      </w:tr>
    </w:tbl>
    <w:p>
      <w:pPr>
        <w:pStyle w:val="Heading1"/>
      </w:pPr>
      <w:r>
        <w:t>五、结论</w:t>
      </w:r>
    </w:p>
    <w:p>
      <w:r>
        <w:t>三个模型准确率均达 91% 以上，其中 GRU 最优（92.95%）。实验验证了门控机制（GRU / LSTM）相比普通 RNN 能有效缓解梯度消失、提升长序列建模能力。</w:t>
      </w:r>
    </w:p>
    <w:p>
      <w:pPr>
        <w:pStyle w:val="Heading1"/>
      </w:pPr>
      <w:r>
        <w:t>六、发现并修复的问题</w:t>
      </w:r>
    </w:p>
    <w:p>
      <w:r>
        <w:t>原数据加载代码在切分前未打乱，导致测试集全为负面样本、评估失真；修复为切分前随机打乱后，测试集正负样本均衡，评估结果真实可靠。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