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30"/>
        <w:jc w:val="center"/>
        <w:rPr>
          <w:b w:val="1"/>
          <w:color w:val="e97132"/>
          <w:sz w:val="32"/>
          <w:szCs w:val="32"/>
        </w:rPr>
      </w:pPr>
      <w:r w:rsidDel="00000000" w:rsidR="00000000" w:rsidRPr="00000000">
        <w:rPr>
          <w:b w:val="1"/>
          <w:color w:val="e97132"/>
          <w:sz w:val="32"/>
          <w:szCs w:val="32"/>
          <w:rtl w:val="0"/>
        </w:rPr>
        <w:t xml:space="preserve">An Index for Transparency for Inflation-Targeting Central Banks: Updated Version</w:t>
      </w:r>
    </w:p>
    <w:p w:rsidR="00000000" w:rsidDel="00000000" w:rsidP="00000000" w:rsidRDefault="00000000" w:rsidRPr="00000000" w14:paraId="00000002">
      <w:pPr>
        <w:ind w:right="-330"/>
        <w:jc w:val="center"/>
        <w:rPr>
          <w:b w:val="1"/>
          <w:color w:val="e97132"/>
          <w:sz w:val="32"/>
          <w:szCs w:val="32"/>
        </w:rPr>
      </w:pPr>
      <w:r w:rsidDel="00000000" w:rsidR="00000000" w:rsidRPr="00000000">
        <w:rPr>
          <w:rtl w:val="0"/>
        </w:rPr>
      </w:r>
    </w:p>
    <w:p w:rsidR="00000000" w:rsidDel="00000000" w:rsidP="00000000" w:rsidRDefault="00000000" w:rsidRPr="00000000" w14:paraId="00000003">
      <w:pPr>
        <w:ind w:right="-330"/>
        <w:jc w:val="center"/>
        <w:rPr>
          <w:b w:val="1"/>
          <w:color w:val="e97132"/>
        </w:rPr>
      </w:pPr>
      <w:r w:rsidDel="00000000" w:rsidR="00000000" w:rsidRPr="00000000">
        <w:rPr>
          <w:b w:val="1"/>
          <w:color w:val="e97132"/>
          <w:rtl w:val="0"/>
        </w:rPr>
        <w:t xml:space="preserve">Section A: Monetary Policy Objectives (Max. Score 4)</w:t>
      </w:r>
    </w:p>
    <w:p w:rsidR="00000000" w:rsidDel="00000000" w:rsidP="00000000" w:rsidRDefault="00000000" w:rsidRPr="00000000" w14:paraId="00000004">
      <w:pPr>
        <w:ind w:right="-330"/>
        <w:jc w:val="both"/>
        <w:rPr>
          <w:b w:val="1"/>
          <w:color w:val="000000"/>
        </w:rPr>
      </w:pPr>
      <w:r w:rsidDel="00000000" w:rsidR="00000000" w:rsidRPr="00000000">
        <w:rPr>
          <w:b w:val="1"/>
          <w:color w:val="000000"/>
          <w:rtl w:val="0"/>
        </w:rPr>
        <w:t xml:space="preserve">A1. Is there a formal statement of the objectives of monetary policy emphasizing the dual mandate (or multiple objectives), and is inflation the primary objective? Is it easily accessible on the central bank’s website?</w:t>
      </w:r>
    </w:p>
    <w:tbl>
      <w:tblPr>
        <w:tblStyle w:val="Table1"/>
        <w:tblW w:w="9346.0" w:type="dxa"/>
        <w:jc w:val="left"/>
        <w:tblLayout w:type="fixed"/>
        <w:tblLook w:val="0400"/>
      </w:tblPr>
      <w:tblGrid>
        <w:gridCol w:w="8495"/>
        <w:gridCol w:w="851"/>
        <w:tblGridChange w:id="0">
          <w:tblGrid>
            <w:gridCol w:w="8495"/>
            <w:gridCol w:w="851"/>
          </w:tblGrid>
        </w:tblGridChange>
      </w:tblGrid>
      <w:tr>
        <w:trPr>
          <w:cantSplit w:val="0"/>
          <w:trHeight w:val="11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5">
            <w:pPr>
              <w:ind w:right="-330"/>
              <w:rPr/>
            </w:pPr>
            <w:r w:rsidDel="00000000" w:rsidR="00000000" w:rsidRPr="00000000">
              <w:rPr>
                <w:rtl w:val="0"/>
              </w:rPr>
              <w:t xml:space="preserve">Single inflation objective or multiple policy objectives without prioritization.</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6">
            <w:pPr>
              <w:ind w:right="-330"/>
              <w:rPr/>
            </w:pPr>
            <w:r w:rsidDel="00000000" w:rsidR="00000000" w:rsidRPr="00000000">
              <w:rPr>
                <w:rtl w:val="0"/>
              </w:rPr>
              <w:t xml:space="preserve">0.0</w:t>
              <w:tab/>
            </w:r>
          </w:p>
        </w:tc>
      </w:tr>
      <w:tr>
        <w:trPr>
          <w:cantSplit w:val="0"/>
          <w:trHeight w:val="11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7">
            <w:pPr>
              <w:ind w:right="-330"/>
              <w:rPr/>
            </w:pPr>
            <w:r w:rsidDel="00000000" w:rsidR="00000000" w:rsidRPr="00000000">
              <w:rPr>
                <w:rtl w:val="0"/>
              </w:rPr>
              <w:t xml:space="preserve">Inflation as the </w:t>
            </w:r>
            <w:r w:rsidDel="00000000" w:rsidR="00000000" w:rsidRPr="00000000">
              <w:rPr>
                <w:u w:val="single"/>
                <w:rtl w:val="0"/>
              </w:rPr>
              <w:t xml:space="preserve">primary</w:t>
            </w:r>
            <w:r w:rsidDel="00000000" w:rsidR="00000000" w:rsidRPr="00000000">
              <w:rPr>
                <w:rtl w:val="0"/>
              </w:rPr>
              <w:t xml:space="preserve"> objective such that any other objective (output, etc.) cannot be inconsistent with the primary objective of anchoring inflation and inflation expectations.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8">
            <w:pPr>
              <w:ind w:right="-330"/>
              <w:rPr/>
            </w:pPr>
            <w:r w:rsidDel="00000000" w:rsidR="00000000" w:rsidRPr="00000000">
              <w:rPr>
                <w:rtl w:val="0"/>
              </w:rPr>
              <w:t xml:space="preserve">1.0</w:t>
            </w:r>
          </w:p>
        </w:tc>
      </w:tr>
    </w:tbl>
    <w:p w:rsidR="00000000" w:rsidDel="00000000" w:rsidP="00000000" w:rsidRDefault="00000000" w:rsidRPr="00000000" w14:paraId="00000009">
      <w:pPr>
        <w:ind w:right="-330"/>
        <w:rPr>
          <w:b w:val="1"/>
        </w:rPr>
      </w:pPr>
      <w:r w:rsidDel="00000000" w:rsidR="00000000" w:rsidRPr="00000000">
        <w:rPr>
          <w:rtl w:val="0"/>
        </w:rPr>
      </w:r>
    </w:p>
    <w:p w:rsidR="00000000" w:rsidDel="00000000" w:rsidP="00000000" w:rsidRDefault="00000000" w:rsidRPr="00000000" w14:paraId="0000000A">
      <w:pPr>
        <w:ind w:right="-330"/>
        <w:rPr>
          <w:b w:val="1"/>
        </w:rPr>
      </w:pPr>
      <w:r w:rsidDel="00000000" w:rsidR="00000000" w:rsidRPr="00000000">
        <w:rPr>
          <w:b w:val="1"/>
          <w:rtl w:val="0"/>
        </w:rPr>
        <w:t xml:space="preserve">A2. Is the inflation target defined clearly?</w:t>
      </w:r>
    </w:p>
    <w:tbl>
      <w:tblPr>
        <w:tblStyle w:val="Table2"/>
        <w:tblW w:w="9346.0" w:type="dxa"/>
        <w:jc w:val="left"/>
        <w:tblLayout w:type="fixed"/>
        <w:tblLook w:val="0400"/>
      </w:tblPr>
      <w:tblGrid>
        <w:gridCol w:w="8495"/>
        <w:gridCol w:w="851"/>
        <w:tblGridChange w:id="0">
          <w:tblGrid>
            <w:gridCol w:w="8495"/>
            <w:gridCol w:w="851"/>
          </w:tblGrid>
        </w:tblGridChange>
      </w:tblGrid>
      <w:tr>
        <w:trPr>
          <w:cantSplit w:val="0"/>
          <w:trHeight w:val="11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B">
            <w:pPr>
              <w:rPr/>
            </w:pPr>
            <w:r w:rsidDel="00000000" w:rsidR="00000000" w:rsidRPr="00000000">
              <w:rPr>
                <w:rtl w:val="0"/>
              </w:rPr>
              <w:t xml:space="preserve">No medium-term numerical target over a horizon of 2-3 years or more (hereafter</w:t>
            </w:r>
          </w:p>
          <w:p w:rsidR="00000000" w:rsidDel="00000000" w:rsidP="00000000" w:rsidRDefault="00000000" w:rsidRPr="00000000" w14:paraId="0000000C">
            <w:pPr>
              <w:rPr/>
            </w:pPr>
            <w:r w:rsidDel="00000000" w:rsidR="00000000" w:rsidRPr="00000000">
              <w:rPr>
                <w:i w:val="1"/>
                <w:rtl w:val="0"/>
              </w:rPr>
              <w:t xml:space="preserve">medium term</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D">
            <w:pPr>
              <w:ind w:right="-330"/>
              <w:rPr/>
            </w:pPr>
            <w:r w:rsidDel="00000000" w:rsidR="00000000" w:rsidRPr="00000000">
              <w:rPr>
                <w:rtl w:val="0"/>
              </w:rPr>
              <w:t xml:space="preserve">0.0</w:t>
            </w:r>
          </w:p>
        </w:tc>
      </w:tr>
      <w:tr>
        <w:trPr>
          <w:cantSplit w:val="0"/>
          <w:trHeight w:val="11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E">
            <w:pPr>
              <w:rPr/>
            </w:pPr>
            <w:r w:rsidDel="00000000" w:rsidR="00000000" w:rsidRPr="00000000">
              <w:rPr>
                <w:rtl w:val="0"/>
              </w:rPr>
              <w:t xml:space="preserve">Inflation target defined as a “</w:t>
            </w:r>
            <w:r w:rsidDel="00000000" w:rsidR="00000000" w:rsidRPr="00000000">
              <w:rPr>
                <w:i w:val="1"/>
                <w:rtl w:val="0"/>
              </w:rPr>
              <w:t xml:space="preserve">tolerance</w:t>
            </w:r>
            <w:r w:rsidDel="00000000" w:rsidR="00000000" w:rsidRPr="00000000">
              <w:rPr>
                <w:rtl w:val="0"/>
              </w:rPr>
              <w:t xml:space="preserve">” or “</w:t>
            </w:r>
            <w:r w:rsidDel="00000000" w:rsidR="00000000" w:rsidRPr="00000000">
              <w:rPr>
                <w:i w:val="1"/>
                <w:rtl w:val="0"/>
              </w:rPr>
              <w:t xml:space="preserve">control range</w:t>
            </w:r>
            <w:r w:rsidDel="00000000" w:rsidR="00000000" w:rsidRPr="00000000">
              <w:rPr>
                <w:rtl w:val="0"/>
              </w:rPr>
              <w:t xml:space="preserve">” target. Inflation target defined as a medium-term target, however, the meaning of the range or the band is not clear.</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0F">
            <w:pPr>
              <w:ind w:right="-330"/>
              <w:rPr/>
            </w:pPr>
            <w:r w:rsidDel="00000000" w:rsidR="00000000" w:rsidRPr="00000000">
              <w:rPr>
                <w:rtl w:val="0"/>
              </w:rPr>
              <w:t xml:space="preserve">0.5</w:t>
            </w:r>
          </w:p>
        </w:tc>
      </w:tr>
      <w:tr>
        <w:trPr>
          <w:cantSplit w:val="0"/>
          <w:trHeight w:val="11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10">
            <w:pPr>
              <w:rPr/>
            </w:pPr>
            <w:r w:rsidDel="00000000" w:rsidR="00000000" w:rsidRPr="00000000">
              <w:rPr>
                <w:rtl w:val="0"/>
              </w:rPr>
              <w:t xml:space="preserve">Inflation target defined as a well-defined </w:t>
            </w:r>
            <w:r w:rsidDel="00000000" w:rsidR="00000000" w:rsidRPr="00000000">
              <w:rPr>
                <w:i w:val="1"/>
                <w:rtl w:val="0"/>
              </w:rPr>
              <w:t xml:space="preserve">point </w:t>
            </w:r>
            <w:r w:rsidDel="00000000" w:rsidR="00000000" w:rsidRPr="00000000">
              <w:rPr>
                <w:rtl w:val="0"/>
              </w:rPr>
              <w:t xml:space="preserve">target. If a band is used, it is clearly communicated.</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11">
            <w:pPr>
              <w:ind w:right="-330"/>
              <w:rPr/>
            </w:pPr>
            <w:r w:rsidDel="00000000" w:rsidR="00000000" w:rsidRPr="00000000">
              <w:rPr>
                <w:rtl w:val="0"/>
              </w:rPr>
              <w:t xml:space="preserve">1.0</w:t>
            </w:r>
          </w:p>
        </w:tc>
      </w:tr>
    </w:tbl>
    <w:p w:rsidR="00000000" w:rsidDel="00000000" w:rsidP="00000000" w:rsidRDefault="00000000" w:rsidRPr="00000000" w14:paraId="00000012">
      <w:pPr>
        <w:ind w:right="-330"/>
        <w:rPr>
          <w:b w:val="1"/>
        </w:rPr>
      </w:pPr>
      <w:r w:rsidDel="00000000" w:rsidR="00000000" w:rsidRPr="00000000">
        <w:rPr>
          <w:rtl w:val="0"/>
        </w:rPr>
      </w:r>
    </w:p>
    <w:p w:rsidR="00000000" w:rsidDel="00000000" w:rsidP="00000000" w:rsidRDefault="00000000" w:rsidRPr="00000000" w14:paraId="00000013">
      <w:pPr>
        <w:ind w:right="-330"/>
        <w:jc w:val="both"/>
        <w:rPr>
          <w:b w:val="1"/>
        </w:rPr>
      </w:pPr>
      <w:r w:rsidDel="00000000" w:rsidR="00000000" w:rsidRPr="00000000">
        <w:rPr>
          <w:b w:val="1"/>
          <w:rtl w:val="0"/>
        </w:rPr>
        <w:t xml:space="preserve">A3. Might financial stability objectives override the primacy of the inflation (price stability) objective? If the central bank does not have a financial stability responsibility, it should be explicit that it uses the policy interest rate tool to affect financial conditions to the extent that it affects the output gap and</w:t>
      </w:r>
      <w:r w:rsidDel="00000000" w:rsidR="00000000" w:rsidRPr="00000000">
        <w:rPr>
          <w:b w:val="1"/>
          <w:color w:val="156082"/>
          <w:rtl w:val="0"/>
        </w:rPr>
        <w:t xml:space="preserve">, hence, </w:t>
      </w:r>
      <w:r w:rsidDel="00000000" w:rsidR="00000000" w:rsidRPr="00000000">
        <w:rPr>
          <w:b w:val="1"/>
          <w:rtl w:val="0"/>
        </w:rPr>
        <w:t xml:space="preserve">achieving the inflation target. </w:t>
      </w:r>
    </w:p>
    <w:tbl>
      <w:tblPr>
        <w:tblStyle w:val="Table3"/>
        <w:tblW w:w="922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5"/>
        <w:gridCol w:w="851"/>
        <w:tblGridChange w:id="0">
          <w:tblGrid>
            <w:gridCol w:w="8375"/>
            <w:gridCol w:w="851"/>
          </w:tblGrid>
        </w:tblGridChange>
      </w:tblGrid>
      <w:tr>
        <w:trPr>
          <w:cantSplit w:val="0"/>
          <w:trHeight w:val="275" w:hRule="atLeast"/>
          <w:tblHeader w:val="0"/>
        </w:trPr>
        <w:tc>
          <w:tcPr>
            <w:gridSpan w:val="2"/>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w:t>
              <w:tab/>
              <w:t xml:space="preserve">Another institution is responsible for financial stability.</w:t>
            </w:r>
            <w:r w:rsidDel="00000000" w:rsidR="00000000" w:rsidRPr="00000000">
              <w:rPr>
                <w:rtl w:val="0"/>
              </w:rPr>
            </w:r>
          </w:p>
        </w:tc>
      </w:tr>
      <w:tr>
        <w:trPr>
          <w:cantSplit w:val="0"/>
          <w:trHeight w:val="1229"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Central bank cares about financial stability to the extent that it affects stabilization objectives (output and unemployment), but it is unclear that inflation is the primary objective.</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w:t>
            </w:r>
          </w:p>
        </w:tc>
      </w:tr>
      <w:tr>
        <w:trPr>
          <w:cantSplit w:val="0"/>
          <w:trHeight w:val="1105"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Central bank cares about financial stability to the extent that it affects stabilization objectives (output and unemployment) and makes it clear that inflation is the primary objective.</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p>
        </w:tc>
      </w:tr>
      <w:tr>
        <w:trPr>
          <w:cantSplit w:val="0"/>
          <w:trHeight w:val="275"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gridSpan w:val="2"/>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(ii)</w:t>
              <w:tab/>
              <w:t xml:space="preserve">Central bank is at least partly responsible for financial stability.</w:t>
            </w: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borderlines between the monetary policy and financial stability tools are unclear. This creates confusion about the primary objective of price stability.</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w:t>
            </w:r>
          </w:p>
        </w:tc>
      </w:tr>
      <w:tr>
        <w:trPr>
          <w:cantSplit w:val="0"/>
          <w:trHeight w:val="1380"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central bank has both monetary policy and macroprudential tools and it is clear how the central bank adjusts its tools to achieve its monetary policy and financial stability objectives.</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22">
      <w:pPr>
        <w:ind w:right="-330"/>
        <w:jc w:val="both"/>
        <w:rPr>
          <w:b w:val="1"/>
          <w:i w:val="1"/>
        </w:rPr>
      </w:pPr>
      <w:r w:rsidDel="00000000" w:rsidR="00000000" w:rsidRPr="00000000">
        <w:rPr>
          <w:rtl w:val="0"/>
        </w:rPr>
      </w:r>
    </w:p>
    <w:p w:rsidR="00000000" w:rsidDel="00000000" w:rsidP="00000000" w:rsidRDefault="00000000" w:rsidRPr="00000000" w14:paraId="00000023">
      <w:pPr>
        <w:ind w:right="-330"/>
        <w:jc w:val="both"/>
        <w:rPr>
          <w:b w:val="1"/>
        </w:rPr>
      </w:pPr>
      <w:r w:rsidDel="00000000" w:rsidR="00000000" w:rsidRPr="00000000">
        <w:rPr>
          <w:b w:val="1"/>
          <w:rtl w:val="0"/>
        </w:rPr>
        <w:t xml:space="preserve">A4. Does the central bank use a loss function evaluation to show how well it has been doing in managing the short-run output-inflation tradeoff?</w:t>
      </w:r>
    </w:p>
    <w:tbl>
      <w:tblPr>
        <w:tblStyle w:val="Table4"/>
        <w:tblW w:w="9346.0" w:type="dxa"/>
        <w:jc w:val="left"/>
        <w:tblLayout w:type="fixed"/>
        <w:tblLook w:val="0400"/>
      </w:tblPr>
      <w:tblGrid>
        <w:gridCol w:w="8495"/>
        <w:gridCol w:w="851"/>
        <w:tblGridChange w:id="0">
          <w:tblGrid>
            <w:gridCol w:w="8495"/>
            <w:gridCol w:w="851"/>
          </w:tblGrid>
        </w:tblGridChange>
      </w:tblGrid>
      <w:tr>
        <w:trPr>
          <w:cantSplit w:val="0"/>
          <w:trHeight w:val="66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4">
            <w:pPr>
              <w:ind w:right="-330"/>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5">
            <w:pPr>
              <w:ind w:right="-330"/>
              <w:jc w:val="both"/>
              <w:rPr/>
            </w:pPr>
            <w:r w:rsidDel="00000000" w:rsidR="00000000" w:rsidRPr="00000000">
              <w:rPr>
                <w:rtl w:val="0"/>
              </w:rPr>
              <w:t xml:space="preserve">0.0</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6">
            <w:pPr>
              <w:ind w:right="-330"/>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7">
            <w:pPr>
              <w:ind w:right="-330"/>
              <w:jc w:val="both"/>
              <w:rPr/>
            </w:pPr>
            <w:r w:rsidDel="00000000" w:rsidR="00000000" w:rsidRPr="00000000">
              <w:rPr>
                <w:rtl w:val="0"/>
              </w:rPr>
              <w:t xml:space="preserve">1.0</w:t>
            </w:r>
          </w:p>
        </w:tc>
      </w:tr>
    </w:tbl>
    <w:p w:rsidR="00000000" w:rsidDel="00000000" w:rsidP="00000000" w:rsidRDefault="00000000" w:rsidRPr="00000000" w14:paraId="00000028">
      <w:pPr>
        <w:ind w:right="-330"/>
        <w:jc w:val="both"/>
        <w:rPr>
          <w:b w:val="1"/>
        </w:rPr>
      </w:pPr>
      <w:r w:rsidDel="00000000" w:rsidR="00000000" w:rsidRPr="00000000">
        <w:rPr>
          <w:rtl w:val="0"/>
        </w:rPr>
      </w:r>
    </w:p>
    <w:p w:rsidR="00000000" w:rsidDel="00000000" w:rsidP="00000000" w:rsidRDefault="00000000" w:rsidRPr="00000000" w14:paraId="00000029">
      <w:pPr>
        <w:ind w:right="-330"/>
        <w:jc w:val="center"/>
        <w:rPr>
          <w:b w:val="1"/>
          <w:color w:val="e97132"/>
        </w:rPr>
      </w:pPr>
      <w:r w:rsidDel="00000000" w:rsidR="00000000" w:rsidRPr="00000000">
        <w:rPr>
          <w:b w:val="1"/>
          <w:color w:val="e97132"/>
          <w:rtl w:val="0"/>
        </w:rPr>
        <w:t xml:space="preserve">Section B: Forecasting and Policy Analysis System (Max. Score 14)</w:t>
      </w:r>
    </w:p>
    <w:p w:rsidR="00000000" w:rsidDel="00000000" w:rsidP="00000000" w:rsidRDefault="00000000" w:rsidRPr="00000000" w14:paraId="0000002A">
      <w:pPr>
        <w:ind w:right="-330"/>
        <w:jc w:val="both"/>
        <w:rPr>
          <w:b w:val="1"/>
        </w:rPr>
      </w:pPr>
      <w:r w:rsidDel="00000000" w:rsidR="00000000" w:rsidRPr="00000000">
        <w:rPr>
          <w:b w:val="1"/>
          <w:rtl w:val="0"/>
        </w:rPr>
        <w:t xml:space="preserve">B1. Are the basic economic data relevant for the conduct of monetary policy publicly available in a downloadable format from the central bank’s website (could also include links to other statistical agencies)? For example, data reported in the monetary policy reports should be made available on the website.</w:t>
      </w:r>
    </w:p>
    <w:tbl>
      <w:tblPr>
        <w:tblStyle w:val="Table5"/>
        <w:tblW w:w="9346.0" w:type="dxa"/>
        <w:jc w:val="left"/>
        <w:tblLayout w:type="fixed"/>
        <w:tblLook w:val="0400"/>
      </w:tblPr>
      <w:tblGrid>
        <w:gridCol w:w="8495"/>
        <w:gridCol w:w="851"/>
        <w:tblGridChange w:id="0">
          <w:tblGrid>
            <w:gridCol w:w="8495"/>
            <w:gridCol w:w="851"/>
          </w:tblGrid>
        </w:tblGridChange>
      </w:tblGrid>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B">
            <w:pPr>
              <w:ind w:right="141"/>
              <w:jc w:val="both"/>
              <w:rPr/>
            </w:pPr>
            <w:r w:rsidDel="00000000" w:rsidR="00000000" w:rsidRPr="00000000">
              <w:rPr>
                <w:rtl w:val="0"/>
              </w:rPr>
              <w:t xml:space="preserve">No database is publicly available.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C">
            <w:pPr>
              <w:ind w:right="-330"/>
              <w:jc w:val="both"/>
              <w:rPr/>
            </w:pPr>
            <w:r w:rsidDel="00000000" w:rsidR="00000000" w:rsidRPr="00000000">
              <w:rPr>
                <w:rtl w:val="0"/>
              </w:rPr>
              <w:t xml:space="preserve">0.0</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D">
            <w:pPr>
              <w:ind w:right="141"/>
              <w:jc w:val="both"/>
              <w:rPr/>
            </w:pPr>
            <w:r w:rsidDel="00000000" w:rsidR="00000000" w:rsidRPr="00000000">
              <w:rPr>
                <w:rtl w:val="0"/>
              </w:rPr>
              <w:t xml:space="preserve">A minimal set of series is publicly available, output gap or other ways of measuring capacity utilization, inflation, inflation expectations, wages, unemployment, and GDP.</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E">
            <w:pPr>
              <w:ind w:right="-330"/>
              <w:jc w:val="both"/>
              <w:rPr/>
            </w:pPr>
            <w:r w:rsidDel="00000000" w:rsidR="00000000" w:rsidRPr="00000000">
              <w:rPr>
                <w:rtl w:val="0"/>
              </w:rPr>
              <w:t xml:space="preserve">0.5</w:t>
            </w:r>
          </w:p>
        </w:tc>
      </w:tr>
      <w:tr>
        <w:trPr>
          <w:cantSplit w:val="0"/>
          <w:trHeight w:val="133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2F">
            <w:pPr>
              <w:ind w:right="141"/>
              <w:jc w:val="both"/>
              <w:rPr/>
            </w:pPr>
            <w:r w:rsidDel="00000000" w:rsidR="00000000" w:rsidRPr="00000000">
              <w:rPr>
                <w:rtl w:val="0"/>
              </w:rPr>
              <w:t xml:space="preserve">All series used in producing the MPR are published in a downloadable format, such as an Excel spreadsheet. These series include at least the seven series above (capacity utilization (preferably the output gap), inflation, inflation expectations, wages, unemployment, and GDP).</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0">
            <w:pPr>
              <w:ind w:right="-330"/>
              <w:jc w:val="both"/>
              <w:rPr/>
            </w:pPr>
            <w:r w:rsidDel="00000000" w:rsidR="00000000" w:rsidRPr="00000000">
              <w:rPr>
                <w:rtl w:val="0"/>
              </w:rPr>
              <w:t xml:space="preserve">1.0</w:t>
            </w:r>
          </w:p>
        </w:tc>
      </w:tr>
    </w:tbl>
    <w:p w:rsidR="00000000" w:rsidDel="00000000" w:rsidP="00000000" w:rsidRDefault="00000000" w:rsidRPr="00000000" w14:paraId="00000031">
      <w:pPr>
        <w:ind w:right="-330"/>
        <w:jc w:val="both"/>
        <w:rPr>
          <w:b w:val="1"/>
        </w:rPr>
      </w:pPr>
      <w:r w:rsidDel="00000000" w:rsidR="00000000" w:rsidRPr="00000000">
        <w:rPr>
          <w:rtl w:val="0"/>
        </w:rPr>
      </w:r>
    </w:p>
    <w:p w:rsidR="00000000" w:rsidDel="00000000" w:rsidP="00000000" w:rsidRDefault="00000000" w:rsidRPr="00000000" w14:paraId="00000032">
      <w:pPr>
        <w:ind w:right="-330"/>
        <w:jc w:val="both"/>
        <w:rPr>
          <w:b w:val="1"/>
        </w:rPr>
      </w:pPr>
      <w:r w:rsidDel="00000000" w:rsidR="00000000" w:rsidRPr="00000000">
        <w:rPr>
          <w:rtl w:val="0"/>
        </w:rPr>
      </w:r>
    </w:p>
    <w:p w:rsidR="00000000" w:rsidDel="00000000" w:rsidP="00000000" w:rsidRDefault="00000000" w:rsidRPr="00000000" w14:paraId="00000033">
      <w:pPr>
        <w:ind w:right="-330"/>
        <w:jc w:val="both"/>
        <w:rPr>
          <w:b w:val="1"/>
        </w:rPr>
      </w:pPr>
      <w:r w:rsidDel="00000000" w:rsidR="00000000" w:rsidRPr="00000000">
        <w:rPr>
          <w:rtl w:val="0"/>
        </w:rPr>
      </w:r>
    </w:p>
    <w:p w:rsidR="00000000" w:rsidDel="00000000" w:rsidP="00000000" w:rsidRDefault="00000000" w:rsidRPr="00000000" w14:paraId="00000034">
      <w:pPr>
        <w:ind w:right="-330"/>
        <w:jc w:val="both"/>
        <w:rPr>
          <w:b w:val="1"/>
          <w:color w:val="000000"/>
        </w:rPr>
      </w:pPr>
      <w:r w:rsidDel="00000000" w:rsidR="00000000" w:rsidRPr="00000000">
        <w:rPr>
          <w:b w:val="1"/>
          <w:color w:val="000000"/>
          <w:rtl w:val="0"/>
        </w:rPr>
        <w:t xml:space="preserve">B2. Is the core quarterly projection model (model used for policy-making) publicly available, and has documentation been updated within the last 5 years?</w:t>
      </w:r>
    </w:p>
    <w:tbl>
      <w:tblPr>
        <w:tblStyle w:val="Table6"/>
        <w:tblW w:w="9346.0" w:type="dxa"/>
        <w:jc w:val="left"/>
        <w:tblLayout w:type="fixed"/>
        <w:tblLook w:val="0400"/>
      </w:tblPr>
      <w:tblGrid>
        <w:gridCol w:w="8495"/>
        <w:gridCol w:w="851"/>
        <w:tblGridChange w:id="0">
          <w:tblGrid>
            <w:gridCol w:w="8495"/>
            <w:gridCol w:w="851"/>
          </w:tblGrid>
        </w:tblGridChange>
      </w:tblGrid>
      <w:tr>
        <w:trPr>
          <w:cantSplit w:val="0"/>
          <w:trHeight w:val="55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5">
            <w:pPr>
              <w:ind w:right="-330"/>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6">
            <w:pPr>
              <w:ind w:right="-330"/>
              <w:jc w:val="both"/>
              <w:rPr/>
            </w:pPr>
            <w:r w:rsidDel="00000000" w:rsidR="00000000" w:rsidRPr="00000000">
              <w:rPr>
                <w:rtl w:val="0"/>
              </w:rPr>
              <w:t xml:space="preserve">0.00</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7">
            <w:pPr>
              <w:ind w:right="141"/>
              <w:jc w:val="both"/>
              <w:rPr/>
            </w:pPr>
            <w:r w:rsidDel="00000000" w:rsidR="00000000" w:rsidRPr="00000000">
              <w:rPr>
                <w:rtl w:val="0"/>
              </w:rPr>
              <w:t xml:space="preserve">Yes, in a “working paper” format only, i.e., irreproducible.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8">
            <w:pPr>
              <w:ind w:right="-330"/>
              <w:jc w:val="both"/>
              <w:rPr/>
            </w:pPr>
            <w:r w:rsidDel="00000000" w:rsidR="00000000" w:rsidRPr="00000000">
              <w:rPr>
                <w:rtl w:val="0"/>
              </w:rPr>
              <w:t xml:space="preserve">0.25</w:t>
            </w:r>
          </w:p>
        </w:tc>
      </w:tr>
      <w:tr>
        <w:trPr>
          <w:cantSplit w:val="0"/>
          <w:trHeight w:val="40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9">
            <w:pPr>
              <w:ind w:right="141"/>
              <w:jc w:val="both"/>
              <w:rPr/>
            </w:pPr>
            <w:r w:rsidDel="00000000" w:rsidR="00000000" w:rsidRPr="00000000">
              <w:rPr>
                <w:rtl w:val="0"/>
              </w:rPr>
              <w:t xml:space="preserve">Yes, in a working paper and with code.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A">
            <w:pPr>
              <w:ind w:right="-330"/>
              <w:jc w:val="both"/>
              <w:rPr/>
            </w:pPr>
            <w:r w:rsidDel="00000000" w:rsidR="00000000" w:rsidRPr="00000000">
              <w:rPr>
                <w:rtl w:val="0"/>
              </w:rPr>
              <w:t xml:space="preserve">0.50</w:t>
            </w:r>
          </w:p>
        </w:tc>
      </w:tr>
      <w:tr>
        <w:trPr>
          <w:cantSplit w:val="0"/>
          <w:trHeight w:val="87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B">
            <w:pPr>
              <w:ind w:right="141"/>
              <w:jc w:val="both"/>
              <w:rPr/>
            </w:pPr>
            <w:r w:rsidDel="00000000" w:rsidR="00000000" w:rsidRPr="00000000">
              <w:rPr>
                <w:rtl w:val="0"/>
              </w:rPr>
              <w:t xml:space="preserve">Yes, in a working paper, with code, and web-based front-end to modify forecast assumptions.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C">
            <w:pPr>
              <w:ind w:right="-330"/>
              <w:jc w:val="both"/>
              <w:rPr/>
            </w:pPr>
            <w:r w:rsidDel="00000000" w:rsidR="00000000" w:rsidRPr="00000000">
              <w:rPr>
                <w:rtl w:val="0"/>
              </w:rPr>
              <w:t xml:space="preserve">1.00</w:t>
            </w:r>
          </w:p>
        </w:tc>
      </w:tr>
    </w:tbl>
    <w:p w:rsidR="00000000" w:rsidDel="00000000" w:rsidP="00000000" w:rsidRDefault="00000000" w:rsidRPr="00000000" w14:paraId="0000003D">
      <w:pPr>
        <w:ind w:right="-330"/>
        <w:jc w:val="both"/>
        <w:rPr>
          <w:b w:val="1"/>
        </w:rPr>
      </w:pPr>
      <w:r w:rsidDel="00000000" w:rsidR="00000000" w:rsidRPr="00000000">
        <w:rPr>
          <w:rtl w:val="0"/>
        </w:rPr>
      </w:r>
    </w:p>
    <w:p w:rsidR="00000000" w:rsidDel="00000000" w:rsidP="00000000" w:rsidRDefault="00000000" w:rsidRPr="00000000" w14:paraId="0000003E">
      <w:pPr>
        <w:ind w:right="-330"/>
        <w:jc w:val="both"/>
        <w:rPr>
          <w:b w:val="1"/>
          <w:color w:val="000000"/>
        </w:rPr>
      </w:pPr>
      <w:r w:rsidDel="00000000" w:rsidR="00000000" w:rsidRPr="00000000">
        <w:rPr>
          <w:b w:val="1"/>
          <w:color w:val="000000"/>
          <w:rtl w:val="0"/>
        </w:rPr>
        <w:t xml:space="preserve">B3. How transparent is the central bank about the reaction functions (or loss functions) that are used to compute the interest rate paths (or paths for other instruments when the ELB constrains the policy rate) in their regular projection exercises? Do the monetary policy reports include a reference to the core model documentation that has the reaction function or the loss function?</w:t>
      </w:r>
    </w:p>
    <w:tbl>
      <w:tblPr>
        <w:tblStyle w:val="Table7"/>
        <w:tblW w:w="9346.0" w:type="dxa"/>
        <w:jc w:val="left"/>
        <w:tblLayout w:type="fixed"/>
        <w:tblLook w:val="0400"/>
      </w:tblPr>
      <w:tblGrid>
        <w:gridCol w:w="8495"/>
        <w:gridCol w:w="851"/>
        <w:tblGridChange w:id="0">
          <w:tblGrid>
            <w:gridCol w:w="8495"/>
            <w:gridCol w:w="851"/>
          </w:tblGrid>
        </w:tblGridChange>
      </w:tblGrid>
      <w:tr>
        <w:trPr>
          <w:cantSplit w:val="0"/>
          <w:trHeight w:val="80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3F">
            <w:pPr>
              <w:jc w:val="both"/>
              <w:rPr/>
            </w:pPr>
            <w:r w:rsidDel="00000000" w:rsidR="00000000" w:rsidRPr="00000000">
              <w:rPr>
                <w:rtl w:val="0"/>
              </w:rPr>
              <w:t xml:space="preserve">The central bank does not publish either the reaction function or the loss function.</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0">
            <w:pPr>
              <w:ind w:right="-330"/>
              <w:jc w:val="both"/>
              <w:rPr/>
            </w:pPr>
            <w:r w:rsidDel="00000000" w:rsidR="00000000" w:rsidRPr="00000000">
              <w:rPr>
                <w:rtl w:val="0"/>
              </w:rPr>
              <w:t xml:space="preserve">0.0</w:t>
            </w:r>
          </w:p>
        </w:tc>
      </w:tr>
      <w:tr>
        <w:trPr>
          <w:cantSplit w:val="0"/>
          <w:trHeight w:val="93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1">
            <w:pPr>
              <w:jc w:val="both"/>
              <w:rPr/>
            </w:pPr>
            <w:r w:rsidDel="00000000" w:rsidR="00000000" w:rsidRPr="00000000">
              <w:rPr>
                <w:rtl w:val="0"/>
              </w:rPr>
              <w:t xml:space="preserve">The central bank publishes the reaction function and/or loss function (with the coefficients) in an easily accessible place on the central bank’s website.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42">
            <w:pPr>
              <w:ind w:right="-330"/>
              <w:jc w:val="both"/>
              <w:rPr/>
            </w:pPr>
            <w:r w:rsidDel="00000000" w:rsidR="00000000" w:rsidRPr="00000000">
              <w:rPr>
                <w:rtl w:val="0"/>
              </w:rPr>
              <w:t xml:space="preserve">1.0</w:t>
            </w:r>
          </w:p>
        </w:tc>
      </w:tr>
    </w:tbl>
    <w:p w:rsidR="00000000" w:rsidDel="00000000" w:rsidP="00000000" w:rsidRDefault="00000000" w:rsidRPr="00000000" w14:paraId="00000043">
      <w:pPr>
        <w:ind w:right="-330"/>
        <w:jc w:val="both"/>
        <w:rPr>
          <w:b w:val="1"/>
        </w:rPr>
      </w:pPr>
      <w:r w:rsidDel="00000000" w:rsidR="00000000" w:rsidRPr="00000000">
        <w:rPr>
          <w:rtl w:val="0"/>
        </w:rPr>
      </w:r>
    </w:p>
    <w:p w:rsidR="00000000" w:rsidDel="00000000" w:rsidP="00000000" w:rsidRDefault="00000000" w:rsidRPr="00000000" w14:paraId="00000044">
      <w:pPr>
        <w:ind w:right="-330"/>
        <w:jc w:val="both"/>
        <w:rPr>
          <w:color w:val="000000"/>
        </w:rPr>
      </w:pPr>
      <w:r w:rsidDel="00000000" w:rsidR="00000000" w:rsidRPr="00000000">
        <w:rPr>
          <w:b w:val="1"/>
          <w:color w:val="000000"/>
          <w:rtl w:val="0"/>
        </w:rPr>
        <w:t xml:space="preserve">B4. </w:t>
      </w:r>
      <w:r w:rsidDel="00000000" w:rsidR="00000000" w:rsidRPr="00000000">
        <w:rPr>
          <w:color w:val="000000"/>
          <w:rtl w:val="0"/>
        </w:rPr>
        <w:t xml:space="preserve">Does the central bank's framework include:</w:t>
      </w:r>
    </w:p>
    <w:p w:rsidR="00000000" w:rsidDel="00000000" w:rsidP="00000000" w:rsidRDefault="00000000" w:rsidRPr="00000000" w14:paraId="00000045">
      <w:pPr>
        <w:ind w:right="-330"/>
        <w:jc w:val="both"/>
        <w:rPr>
          <w:color w:val="000000"/>
        </w:rPr>
      </w:pPr>
      <w:r w:rsidDel="00000000" w:rsidR="00000000" w:rsidRPr="00000000">
        <w:rPr>
          <w:color w:val="000000"/>
          <w:rtl w:val="0"/>
        </w:rPr>
        <w:t xml:space="preserve">(1) A baseline scenario, or</w:t>
      </w:r>
    </w:p>
    <w:p w:rsidR="00000000" w:rsidDel="00000000" w:rsidP="00000000" w:rsidRDefault="00000000" w:rsidRPr="00000000" w14:paraId="00000046">
      <w:pPr>
        <w:ind w:right="-330"/>
        <w:jc w:val="both"/>
        <w:rPr>
          <w:color w:val="000000"/>
        </w:rPr>
      </w:pPr>
      <w:r w:rsidDel="00000000" w:rsidR="00000000" w:rsidRPr="00000000">
        <w:rPr>
          <w:color w:val="000000"/>
          <w:rtl w:val="0"/>
        </w:rPr>
        <w:t xml:space="preserve">(2) Multiple scenarios, such as Case A and Case B (and in some cases, Case X and Case Y)?</w:t>
      </w:r>
    </w:p>
    <w:p w:rsidR="00000000" w:rsidDel="00000000" w:rsidP="00000000" w:rsidRDefault="00000000" w:rsidRPr="00000000" w14:paraId="00000047">
      <w:pPr>
        <w:ind w:right="-330"/>
        <w:jc w:val="both"/>
        <w:rPr>
          <w:color w:val="000000"/>
        </w:rPr>
      </w:pPr>
      <w:r w:rsidDel="00000000" w:rsidR="00000000" w:rsidRPr="00000000">
        <w:rPr>
          <w:color w:val="000000"/>
          <w:rtl w:val="0"/>
        </w:rPr>
        <w:t xml:space="preserve">If the answer is (1), proceed to question B4.1.</w:t>
      </w:r>
    </w:p>
    <w:p w:rsidR="00000000" w:rsidDel="00000000" w:rsidP="00000000" w:rsidRDefault="00000000" w:rsidRPr="00000000" w14:paraId="00000048">
      <w:pPr>
        <w:ind w:right="-330"/>
        <w:jc w:val="both"/>
        <w:rPr>
          <w:color w:val="000000"/>
        </w:rPr>
      </w:pPr>
      <w:r w:rsidDel="00000000" w:rsidR="00000000" w:rsidRPr="00000000">
        <w:rPr>
          <w:color w:val="000000"/>
          <w:rtl w:val="0"/>
        </w:rPr>
        <w:t xml:space="preserve">If the answer is (2), proceed to question B4.2.</w:t>
      </w:r>
    </w:p>
    <w:p w:rsidR="00000000" w:rsidDel="00000000" w:rsidP="00000000" w:rsidRDefault="00000000" w:rsidRPr="00000000" w14:paraId="00000049">
      <w:pPr>
        <w:ind w:right="-330"/>
        <w:jc w:val="both"/>
        <w:rPr>
          <w:color w:val="000000"/>
        </w:rPr>
      </w:pPr>
      <w:r w:rsidDel="00000000" w:rsidR="00000000" w:rsidRPr="00000000">
        <w:rPr>
          <w:rtl w:val="0"/>
        </w:rPr>
      </w:r>
    </w:p>
    <w:p w:rsidR="00000000" w:rsidDel="00000000" w:rsidP="00000000" w:rsidRDefault="00000000" w:rsidRPr="00000000" w14:paraId="0000004A">
      <w:pPr>
        <w:ind w:right="-330"/>
        <w:jc w:val="both"/>
        <w:rPr>
          <w:color w:val="000000"/>
        </w:rPr>
      </w:pPr>
      <w:r w:rsidDel="00000000" w:rsidR="00000000" w:rsidRPr="00000000">
        <w:rPr>
          <w:b w:val="1"/>
          <w:color w:val="000000"/>
          <w:rtl w:val="0"/>
        </w:rPr>
        <w:t xml:space="preserve">B4.1</w:t>
      </w:r>
      <w:r w:rsidDel="00000000" w:rsidR="00000000" w:rsidRPr="00000000">
        <w:rPr>
          <w:color w:val="000000"/>
          <w:rtl w:val="0"/>
        </w:rPr>
        <w:t xml:space="preserve"> For which variables does the central bank publish consistent quarterly macroeconomic projections (over a horizon of at least two years) for its baseline scenario, including an endogenous instrument (e.g., policy rate)?</w:t>
      </w:r>
    </w:p>
    <w:tbl>
      <w:tblPr>
        <w:tblStyle w:val="Table8"/>
        <w:tblW w:w="922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5"/>
        <w:gridCol w:w="851"/>
        <w:tblGridChange w:id="0">
          <w:tblGrid>
            <w:gridCol w:w="8375"/>
            <w:gridCol w:w="851"/>
          </w:tblGrid>
        </w:tblGridChange>
      </w:tblGrid>
      <w:tr>
        <w:trPr>
          <w:cantSplit w:val="0"/>
          <w:trHeight w:val="275" w:hRule="atLeast"/>
          <w:tblHeader w:val="0"/>
        </w:trPr>
        <w:tc>
          <w:tcPr>
            <w:gridSpan w:val="2"/>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w:t>
              <w:tab/>
              <w:t xml:space="preserve">Baseline Scenario</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w:t>
            </w:r>
          </w:p>
        </w:tc>
      </w:tr>
      <w:tr>
        <w:trPr>
          <w:cantSplit w:val="0"/>
          <w:trHeight w:val="551"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w:t>
            </w:r>
          </w:p>
        </w:tc>
      </w:tr>
      <w:tr>
        <w:trPr>
          <w:cantSplit w:val="0"/>
          <w:trHeight w:val="559"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and GDP growth.</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w:t>
            </w:r>
          </w:p>
        </w:tc>
      </w:tr>
      <w:tr>
        <w:trPr>
          <w:cantSplit w:val="0"/>
          <w:trHeight w:val="553"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and the endogenous interest rate path.</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w:t>
            </w:r>
          </w:p>
        </w:tc>
      </w:tr>
      <w:tr>
        <w:trPr>
          <w:cantSplit w:val="0"/>
          <w:trHeight w:val="561"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and the output gap.</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0.8</w:t>
            </w:r>
          </w:p>
        </w:tc>
      </w:tr>
      <w:tr>
        <w:trPr>
          <w:cantSplit w:val="0"/>
          <w:trHeight w:val="701"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the output gap, and the exchange rate.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59">
      <w:pPr>
        <w:ind w:right="-330"/>
        <w:jc w:val="both"/>
        <w:rPr>
          <w:b w:val="1"/>
          <w:color w:val="000000"/>
        </w:rPr>
      </w:pPr>
      <w:r w:rsidDel="00000000" w:rsidR="00000000" w:rsidRPr="00000000">
        <w:rPr>
          <w:rtl w:val="0"/>
        </w:rPr>
      </w:r>
    </w:p>
    <w:p w:rsidR="00000000" w:rsidDel="00000000" w:rsidP="00000000" w:rsidRDefault="00000000" w:rsidRPr="00000000" w14:paraId="0000005A">
      <w:pPr>
        <w:ind w:right="-330"/>
        <w:jc w:val="both"/>
        <w:rPr>
          <w:color w:val="000000"/>
        </w:rPr>
      </w:pPr>
      <w:r w:rsidDel="00000000" w:rsidR="00000000" w:rsidRPr="00000000">
        <w:rPr>
          <w:b w:val="1"/>
          <w:color w:val="000000"/>
          <w:rtl w:val="0"/>
        </w:rPr>
        <w:t xml:space="preserve">B4.2.</w:t>
      </w:r>
      <w:r w:rsidDel="00000000" w:rsidR="00000000" w:rsidRPr="00000000">
        <w:rPr>
          <w:color w:val="000000"/>
          <w:rtl w:val="0"/>
        </w:rPr>
        <w:t xml:space="preserve"> For which variables does the central bank publish consistent quarterly macroeconomic projections (over a horizon of at least two years) for multiple scenarios (e.g., Case A and Case B, or in some cases Case X and Case Y), including an endogenous instrument (e.g., policy rate)?</w:t>
      </w:r>
    </w:p>
    <w:tbl>
      <w:tblPr>
        <w:tblStyle w:val="Table9"/>
        <w:tblW w:w="922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5"/>
        <w:gridCol w:w="851"/>
        <w:tblGridChange w:id="0">
          <w:tblGrid>
            <w:gridCol w:w="8375"/>
            <w:gridCol w:w="851"/>
          </w:tblGrid>
        </w:tblGridChange>
      </w:tblGrid>
      <w:tr>
        <w:trPr>
          <w:cantSplit w:val="0"/>
          <w:trHeight w:val="550" w:hRule="atLeast"/>
          <w:tblHeader w:val="0"/>
        </w:trPr>
        <w:tc>
          <w:tcPr>
            <w:gridSpan w:val="2"/>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(ii)</w:t>
              <w:tab/>
              <w:t xml:space="preserve">Prudent Risk-Management Scenarios</w:t>
            </w: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and GDP growth.</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and the endogenous interest rate path.</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and the output gap.</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1.8</w:t>
            </w: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the output gap, and the exchange rate.</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2.0</w:t>
            </w:r>
            <w:r w:rsidDel="00000000" w:rsidR="00000000" w:rsidRPr="00000000">
              <w:rPr>
                <w:rtl w:val="0"/>
              </w:rPr>
            </w:r>
          </w:p>
        </w:tc>
      </w:tr>
    </w:tbl>
    <w:p w:rsidR="00000000" w:rsidDel="00000000" w:rsidP="00000000" w:rsidRDefault="00000000" w:rsidRPr="00000000" w14:paraId="00000069">
      <w:pPr>
        <w:ind w:right="-330"/>
        <w:jc w:val="both"/>
        <w:rPr>
          <w:b w:val="1"/>
        </w:rPr>
      </w:pPr>
      <w:r w:rsidDel="00000000" w:rsidR="00000000" w:rsidRPr="00000000">
        <w:rPr>
          <w:rtl w:val="0"/>
        </w:rPr>
      </w:r>
    </w:p>
    <w:p w:rsidR="00000000" w:rsidDel="00000000" w:rsidP="00000000" w:rsidRDefault="00000000" w:rsidRPr="00000000" w14:paraId="0000006A">
      <w:pPr>
        <w:ind w:right="-330"/>
        <w:jc w:val="both"/>
        <w:rPr>
          <w:b w:val="1"/>
        </w:rPr>
      </w:pPr>
      <w:r w:rsidDel="00000000" w:rsidR="00000000" w:rsidRPr="00000000">
        <w:rPr>
          <w:rtl w:val="0"/>
        </w:rPr>
      </w:r>
    </w:p>
    <w:p w:rsidR="00000000" w:rsidDel="00000000" w:rsidP="00000000" w:rsidRDefault="00000000" w:rsidRPr="00000000" w14:paraId="0000006B">
      <w:pPr>
        <w:ind w:right="-330"/>
        <w:jc w:val="both"/>
        <w:rPr>
          <w:color w:val="000000"/>
        </w:rPr>
      </w:pPr>
      <w:r w:rsidDel="00000000" w:rsidR="00000000" w:rsidRPr="00000000">
        <w:rPr>
          <w:b w:val="1"/>
          <w:color w:val="000000"/>
          <w:rtl w:val="0"/>
        </w:rPr>
        <w:t xml:space="preserve">B5. </w:t>
      </w:r>
      <w:r w:rsidDel="00000000" w:rsidR="00000000" w:rsidRPr="00000000">
        <w:rPr>
          <w:color w:val="000000"/>
          <w:rtl w:val="0"/>
        </w:rPr>
        <w:t xml:space="preserve">Does the central bank's framework include:</w:t>
      </w:r>
    </w:p>
    <w:p w:rsidR="00000000" w:rsidDel="00000000" w:rsidP="00000000" w:rsidRDefault="00000000" w:rsidRPr="00000000" w14:paraId="0000006C">
      <w:pPr>
        <w:ind w:right="-330"/>
        <w:jc w:val="both"/>
        <w:rPr>
          <w:color w:val="000000"/>
        </w:rPr>
      </w:pPr>
      <w:r w:rsidDel="00000000" w:rsidR="00000000" w:rsidRPr="00000000">
        <w:rPr>
          <w:color w:val="000000"/>
          <w:rtl w:val="0"/>
        </w:rPr>
        <w:t xml:space="preserve">(1) A baseline scenario, or</w:t>
      </w:r>
    </w:p>
    <w:p w:rsidR="00000000" w:rsidDel="00000000" w:rsidP="00000000" w:rsidRDefault="00000000" w:rsidRPr="00000000" w14:paraId="0000006D">
      <w:pPr>
        <w:ind w:right="-330"/>
        <w:jc w:val="both"/>
        <w:rPr>
          <w:color w:val="000000"/>
        </w:rPr>
      </w:pPr>
      <w:r w:rsidDel="00000000" w:rsidR="00000000" w:rsidRPr="00000000">
        <w:rPr>
          <w:color w:val="000000"/>
          <w:rtl w:val="0"/>
        </w:rPr>
        <w:t xml:space="preserve">(2) Multiple scenarios, such as Case A and Case B (and in some cases, Case X and Case Y)?</w:t>
      </w:r>
    </w:p>
    <w:p w:rsidR="00000000" w:rsidDel="00000000" w:rsidP="00000000" w:rsidRDefault="00000000" w:rsidRPr="00000000" w14:paraId="0000006E">
      <w:pPr>
        <w:ind w:right="-330"/>
        <w:jc w:val="both"/>
        <w:rPr>
          <w:color w:val="000000"/>
        </w:rPr>
      </w:pPr>
      <w:r w:rsidDel="00000000" w:rsidR="00000000" w:rsidRPr="00000000">
        <w:rPr>
          <w:color w:val="000000"/>
          <w:rtl w:val="0"/>
        </w:rPr>
        <w:t xml:space="preserve">If the answer is (1), proceed to question B5.1.</w:t>
      </w:r>
    </w:p>
    <w:p w:rsidR="00000000" w:rsidDel="00000000" w:rsidP="00000000" w:rsidRDefault="00000000" w:rsidRPr="00000000" w14:paraId="0000006F">
      <w:pPr>
        <w:ind w:right="-330"/>
        <w:jc w:val="both"/>
        <w:rPr>
          <w:color w:val="000000"/>
        </w:rPr>
      </w:pPr>
      <w:r w:rsidDel="00000000" w:rsidR="00000000" w:rsidRPr="00000000">
        <w:rPr>
          <w:color w:val="000000"/>
          <w:rtl w:val="0"/>
        </w:rPr>
        <w:t xml:space="preserve">If the answer is (2), proceed to question B5.2</w:t>
      </w:r>
    </w:p>
    <w:p w:rsidR="00000000" w:rsidDel="00000000" w:rsidP="00000000" w:rsidRDefault="00000000" w:rsidRPr="00000000" w14:paraId="00000070">
      <w:pPr>
        <w:ind w:right="-330"/>
        <w:jc w:val="both"/>
        <w:rPr>
          <w:b w:val="1"/>
        </w:rPr>
      </w:pPr>
      <w:r w:rsidDel="00000000" w:rsidR="00000000" w:rsidRPr="00000000">
        <w:rPr>
          <w:b w:val="1"/>
          <w:rtl w:val="0"/>
        </w:rPr>
        <w:t xml:space="preserve">B5.1. Does the central bank regularly publish forecast densities (fan charts) to communicate forecast uncertainty? </w:t>
      </w:r>
    </w:p>
    <w:tbl>
      <w:tblPr>
        <w:tblStyle w:val="Table10"/>
        <w:tblW w:w="922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5"/>
        <w:gridCol w:w="851"/>
        <w:tblGridChange w:id="0">
          <w:tblGrid>
            <w:gridCol w:w="8375"/>
            <w:gridCol w:w="851"/>
          </w:tblGrid>
        </w:tblGridChange>
      </w:tblGrid>
      <w:tr>
        <w:trPr>
          <w:cantSplit w:val="0"/>
          <w:trHeight w:val="275" w:hRule="atLeast"/>
          <w:tblHeader w:val="0"/>
        </w:trPr>
        <w:tc>
          <w:tcPr>
            <w:gridSpan w:val="2"/>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w:t>
              <w:tab/>
              <w:t xml:space="preserve">Baseline Scenario</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w:t>
            </w:r>
          </w:p>
        </w:tc>
      </w:tr>
      <w:tr>
        <w:trPr>
          <w:cantSplit w:val="0"/>
          <w:trHeight w:val="551"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0.2</w:t>
            </w:r>
          </w:p>
        </w:tc>
      </w:tr>
      <w:tr>
        <w:trPr>
          <w:cantSplit w:val="0"/>
          <w:trHeight w:val="559"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and GDP growth.</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0.4</w:t>
            </w:r>
          </w:p>
        </w:tc>
      </w:tr>
      <w:tr>
        <w:trPr>
          <w:cantSplit w:val="0"/>
          <w:trHeight w:val="553"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and the endogenous interest rate path.</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0.6</w:t>
            </w:r>
          </w:p>
        </w:tc>
      </w:tr>
      <w:tr>
        <w:trPr>
          <w:cantSplit w:val="0"/>
          <w:trHeight w:val="561"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and the output gap.</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0.8</w:t>
            </w:r>
          </w:p>
        </w:tc>
      </w:tr>
      <w:tr>
        <w:trPr>
          <w:cantSplit w:val="0"/>
          <w:trHeight w:val="701" w:hRule="atLeast"/>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the output gap, and the exchange rate.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7F">
      <w:pPr>
        <w:ind w:right="-330"/>
        <w:jc w:val="both"/>
        <w:rPr>
          <w:b w:val="1"/>
          <w:color w:val="000000"/>
        </w:rPr>
      </w:pPr>
      <w:r w:rsidDel="00000000" w:rsidR="00000000" w:rsidRPr="00000000">
        <w:rPr>
          <w:rtl w:val="0"/>
        </w:rPr>
      </w:r>
    </w:p>
    <w:p w:rsidR="00000000" w:rsidDel="00000000" w:rsidP="00000000" w:rsidRDefault="00000000" w:rsidRPr="00000000" w14:paraId="00000080">
      <w:pPr>
        <w:ind w:right="-330"/>
        <w:jc w:val="both"/>
        <w:rPr>
          <w:b w:val="1"/>
          <w:color w:val="000000"/>
        </w:rPr>
      </w:pPr>
      <w:r w:rsidDel="00000000" w:rsidR="00000000" w:rsidRPr="00000000">
        <w:rPr>
          <w:b w:val="1"/>
          <w:color w:val="000000"/>
          <w:rtl w:val="0"/>
        </w:rPr>
        <w:t xml:space="preserve">B5.2. Or does it thoroughly discuss assumptions and shocks related to risk-management scenarios?</w:t>
      </w:r>
    </w:p>
    <w:tbl>
      <w:tblPr>
        <w:tblStyle w:val="Table11"/>
        <w:tblW w:w="922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5"/>
        <w:gridCol w:w="851"/>
        <w:tblGridChange w:id="0">
          <w:tblGrid>
            <w:gridCol w:w="8375"/>
            <w:gridCol w:w="851"/>
          </w:tblGrid>
        </w:tblGridChange>
      </w:tblGrid>
      <w:tr>
        <w:trPr>
          <w:cantSplit w:val="0"/>
          <w:trHeight w:val="550" w:hRule="atLeast"/>
          <w:tblHeader w:val="0"/>
        </w:trPr>
        <w:tc>
          <w:tcPr>
            <w:gridSpan w:val="2"/>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(iI)</w:t>
              <w:tab/>
              <w:t xml:space="preserve">Prudent Risk-Management Scenarios</w:t>
            </w: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Qualitative/General description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1.2</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and GDP growth.</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1.4</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and the endogenous interest rate path.</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and the output gap.</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1.8</w:t>
            </w: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Inflation, GDP growth, the endogenous interest rate path, the output gap, and the exchange rate.</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2.0</w:t>
            </w:r>
            <w:r w:rsidDel="00000000" w:rsidR="00000000" w:rsidRPr="00000000">
              <w:rPr>
                <w:rtl w:val="0"/>
              </w:rPr>
            </w:r>
          </w:p>
        </w:tc>
      </w:tr>
    </w:tbl>
    <w:p w:rsidR="00000000" w:rsidDel="00000000" w:rsidP="00000000" w:rsidRDefault="00000000" w:rsidRPr="00000000" w14:paraId="0000008F">
      <w:pPr>
        <w:ind w:right="-330"/>
        <w:jc w:val="both"/>
        <w:rPr>
          <w:b w:val="1"/>
          <w:color w:val="ff0000"/>
        </w:rPr>
      </w:pPr>
      <w:r w:rsidDel="00000000" w:rsidR="00000000" w:rsidRPr="00000000">
        <w:rPr>
          <w:rtl w:val="0"/>
        </w:rPr>
      </w:r>
    </w:p>
    <w:p w:rsidR="00000000" w:rsidDel="00000000" w:rsidP="00000000" w:rsidRDefault="00000000" w:rsidRPr="00000000" w14:paraId="00000090">
      <w:pPr>
        <w:ind w:right="-330"/>
        <w:jc w:val="both"/>
        <w:rPr>
          <w:b w:val="1"/>
          <w:color w:val="ff0000"/>
        </w:rPr>
      </w:pPr>
      <w:r w:rsidDel="00000000" w:rsidR="00000000" w:rsidRPr="00000000">
        <w:rPr>
          <w:rtl w:val="0"/>
        </w:rPr>
      </w:r>
    </w:p>
    <w:p w:rsidR="00000000" w:rsidDel="00000000" w:rsidP="00000000" w:rsidRDefault="00000000" w:rsidRPr="00000000" w14:paraId="00000091">
      <w:pPr>
        <w:ind w:right="-330"/>
        <w:jc w:val="both"/>
        <w:rPr>
          <w:color w:val="000000"/>
        </w:rPr>
      </w:pPr>
      <w:r w:rsidDel="00000000" w:rsidR="00000000" w:rsidRPr="00000000">
        <w:rPr>
          <w:b w:val="1"/>
          <w:color w:val="000000"/>
          <w:rtl w:val="0"/>
        </w:rPr>
        <w:t xml:space="preserve">B6. </w:t>
      </w:r>
      <w:r w:rsidDel="00000000" w:rsidR="00000000" w:rsidRPr="00000000">
        <w:rPr>
          <w:color w:val="000000"/>
          <w:rtl w:val="0"/>
        </w:rPr>
        <w:t xml:space="preserve">Does the central bank's framework include:</w:t>
      </w:r>
    </w:p>
    <w:p w:rsidR="00000000" w:rsidDel="00000000" w:rsidP="00000000" w:rsidRDefault="00000000" w:rsidRPr="00000000" w14:paraId="00000092">
      <w:pPr>
        <w:ind w:right="-330"/>
        <w:jc w:val="both"/>
        <w:rPr>
          <w:color w:val="000000"/>
        </w:rPr>
      </w:pPr>
      <w:r w:rsidDel="00000000" w:rsidR="00000000" w:rsidRPr="00000000">
        <w:rPr>
          <w:color w:val="000000"/>
          <w:rtl w:val="0"/>
        </w:rPr>
        <w:t xml:space="preserve">(1) A baseline scenario, or</w:t>
      </w:r>
    </w:p>
    <w:p w:rsidR="00000000" w:rsidDel="00000000" w:rsidP="00000000" w:rsidRDefault="00000000" w:rsidRPr="00000000" w14:paraId="00000093">
      <w:pPr>
        <w:ind w:right="-330"/>
        <w:jc w:val="both"/>
        <w:rPr>
          <w:color w:val="000000"/>
        </w:rPr>
      </w:pPr>
      <w:r w:rsidDel="00000000" w:rsidR="00000000" w:rsidRPr="00000000">
        <w:rPr>
          <w:color w:val="000000"/>
          <w:rtl w:val="0"/>
        </w:rPr>
        <w:t xml:space="preserve">(2) Multiple scenarios, such as Case A and Case B (and in some cases, Case X and Case Y)?</w:t>
      </w:r>
    </w:p>
    <w:p w:rsidR="00000000" w:rsidDel="00000000" w:rsidP="00000000" w:rsidRDefault="00000000" w:rsidRPr="00000000" w14:paraId="00000094">
      <w:pPr>
        <w:ind w:right="-330"/>
        <w:jc w:val="both"/>
        <w:rPr>
          <w:color w:val="000000"/>
        </w:rPr>
      </w:pPr>
      <w:r w:rsidDel="00000000" w:rsidR="00000000" w:rsidRPr="00000000">
        <w:rPr>
          <w:color w:val="000000"/>
          <w:rtl w:val="0"/>
        </w:rPr>
        <w:t xml:space="preserve">If the answer is (1), proceed to question B6.1.</w:t>
      </w:r>
    </w:p>
    <w:p w:rsidR="00000000" w:rsidDel="00000000" w:rsidP="00000000" w:rsidRDefault="00000000" w:rsidRPr="00000000" w14:paraId="00000095">
      <w:pPr>
        <w:ind w:right="-330"/>
        <w:jc w:val="both"/>
        <w:rPr>
          <w:color w:val="000000"/>
        </w:rPr>
      </w:pPr>
      <w:r w:rsidDel="00000000" w:rsidR="00000000" w:rsidRPr="00000000">
        <w:rPr>
          <w:color w:val="000000"/>
          <w:rtl w:val="0"/>
        </w:rPr>
        <w:t xml:space="preserve">If the answer is (2), proceed to question B6.2.</w:t>
      </w:r>
    </w:p>
    <w:p w:rsidR="00000000" w:rsidDel="00000000" w:rsidP="00000000" w:rsidRDefault="00000000" w:rsidRPr="00000000" w14:paraId="00000096">
      <w:pPr>
        <w:ind w:right="-330"/>
        <w:jc w:val="both"/>
        <w:rPr>
          <w:b w:val="1"/>
        </w:rPr>
      </w:pPr>
      <w:r w:rsidDel="00000000" w:rsidR="00000000" w:rsidRPr="00000000">
        <w:rPr>
          <w:rtl w:val="0"/>
        </w:rPr>
      </w:r>
    </w:p>
    <w:p w:rsidR="00000000" w:rsidDel="00000000" w:rsidP="00000000" w:rsidRDefault="00000000" w:rsidRPr="00000000" w14:paraId="00000097">
      <w:pPr>
        <w:ind w:right="-330"/>
        <w:jc w:val="both"/>
        <w:rPr>
          <w:b w:val="1"/>
        </w:rPr>
      </w:pPr>
      <w:r w:rsidDel="00000000" w:rsidR="00000000" w:rsidRPr="00000000">
        <w:rPr>
          <w:b w:val="1"/>
          <w:rtl w:val="0"/>
        </w:rPr>
        <w:t xml:space="preserve">B6.1. Is the underlying methodology </w:t>
      </w:r>
      <w:r w:rsidDel="00000000" w:rsidR="00000000" w:rsidRPr="00000000">
        <w:rPr>
          <w:b w:val="1"/>
          <w:color w:val="215e99"/>
          <w:rtl w:val="0"/>
        </w:rPr>
        <w:t xml:space="preserve">for </w:t>
      </w:r>
      <w:r w:rsidDel="00000000" w:rsidR="00000000" w:rsidRPr="00000000">
        <w:rPr>
          <w:b w:val="1"/>
          <w:rtl w:val="0"/>
        </w:rPr>
        <w:t xml:space="preserve">constructing the forecast densities (fan charts) clear and easily accessible? </w:t>
      </w:r>
    </w:p>
    <w:tbl>
      <w:tblPr>
        <w:tblStyle w:val="Table12"/>
        <w:tblW w:w="922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5"/>
        <w:gridCol w:w="851"/>
        <w:tblGridChange w:id="0">
          <w:tblGrid>
            <w:gridCol w:w="8375"/>
            <w:gridCol w:w="851"/>
          </w:tblGrid>
        </w:tblGridChange>
      </w:tblGrid>
      <w:tr>
        <w:trPr>
          <w:cantSplit w:val="0"/>
          <w:trHeight w:val="275" w:hRule="atLeast"/>
          <w:tblHeader w:val="0"/>
        </w:trPr>
        <w:tc>
          <w:tcPr>
            <w:gridSpan w:val="2"/>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w:t>
              <w:tab/>
              <w:t xml:space="preserve">Baseline Scenario</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 fan chart, or the fan chart methodology is not explained</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0.0</w:t>
            </w:r>
          </w:p>
        </w:tc>
      </w:tr>
      <w:tr>
        <w:trPr>
          <w:cantSplit w:val="0"/>
          <w:trHeight w:val="720"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Fan charts published in all monetary policy reports and the methodology is clearly explained and/or links to a technical paper is provided.</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9E">
      <w:pPr>
        <w:ind w:right="-330"/>
        <w:jc w:val="both"/>
        <w:rPr>
          <w:b w:val="1"/>
        </w:rPr>
      </w:pPr>
      <w:r w:rsidDel="00000000" w:rsidR="00000000" w:rsidRPr="00000000">
        <w:rPr>
          <w:rtl w:val="0"/>
        </w:rPr>
      </w:r>
    </w:p>
    <w:p w:rsidR="00000000" w:rsidDel="00000000" w:rsidP="00000000" w:rsidRDefault="00000000" w:rsidRPr="00000000" w14:paraId="0000009F">
      <w:pPr>
        <w:ind w:right="-330"/>
        <w:jc w:val="both"/>
        <w:rPr>
          <w:b w:val="1"/>
          <w:color w:val="000000"/>
        </w:rPr>
      </w:pPr>
      <w:r w:rsidDel="00000000" w:rsidR="00000000" w:rsidRPr="00000000">
        <w:rPr>
          <w:b w:val="1"/>
          <w:color w:val="000000"/>
          <w:rtl w:val="0"/>
        </w:rPr>
        <w:t xml:space="preserve">B6.2. Or does it publish the underlying methodology of constructing prudent risk-management scenarios (i.e., model documentation, the taxonomy of shocks, etc.)?</w:t>
      </w:r>
    </w:p>
    <w:tbl>
      <w:tblPr>
        <w:tblStyle w:val="Table13"/>
        <w:tblW w:w="922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5"/>
        <w:gridCol w:w="851"/>
        <w:tblGridChange w:id="0">
          <w:tblGrid>
            <w:gridCol w:w="8375"/>
            <w:gridCol w:w="851"/>
          </w:tblGrid>
        </w:tblGridChange>
      </w:tblGrid>
      <w:tr>
        <w:trPr>
          <w:cantSplit w:val="0"/>
          <w:trHeight w:val="559" w:hRule="atLeast"/>
          <w:tblHeader w:val="0"/>
        </w:trPr>
        <w:tc>
          <w:tcPr>
            <w:gridSpan w:val="2"/>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w:t>
              <w:tab/>
              <w:t xml:space="preserve">Prudent Risk-Management Scenarios</w:t>
            </w: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p>
        </w:tc>
      </w:tr>
      <w:tr>
        <w:trPr>
          <w:cantSplit w:val="0"/>
          <w:trHeight w:val="561"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0A6">
      <w:pPr>
        <w:ind w:right="-330"/>
        <w:jc w:val="both"/>
        <w:rPr>
          <w:b w:val="1"/>
          <w:color w:val="ff0000"/>
        </w:rPr>
      </w:pPr>
      <w:r w:rsidDel="00000000" w:rsidR="00000000" w:rsidRPr="00000000">
        <w:rPr>
          <w:rtl w:val="0"/>
        </w:rPr>
      </w:r>
    </w:p>
    <w:p w:rsidR="00000000" w:rsidDel="00000000" w:rsidP="00000000" w:rsidRDefault="00000000" w:rsidRPr="00000000" w14:paraId="000000A7">
      <w:pPr>
        <w:ind w:right="-330"/>
        <w:jc w:val="both"/>
        <w:rPr>
          <w:color w:val="000000"/>
        </w:rPr>
      </w:pPr>
      <w:r w:rsidDel="00000000" w:rsidR="00000000" w:rsidRPr="00000000">
        <w:rPr>
          <w:b w:val="1"/>
          <w:color w:val="000000"/>
          <w:rtl w:val="0"/>
        </w:rPr>
        <w:t xml:space="preserve">B7. </w:t>
      </w:r>
      <w:r w:rsidDel="00000000" w:rsidR="00000000" w:rsidRPr="00000000">
        <w:rPr>
          <w:color w:val="000000"/>
          <w:rtl w:val="0"/>
        </w:rPr>
        <w:t xml:space="preserve">Does the central bank's framework include:</w:t>
      </w:r>
    </w:p>
    <w:p w:rsidR="00000000" w:rsidDel="00000000" w:rsidP="00000000" w:rsidRDefault="00000000" w:rsidRPr="00000000" w14:paraId="000000A8">
      <w:pPr>
        <w:ind w:right="-330"/>
        <w:jc w:val="both"/>
        <w:rPr>
          <w:color w:val="000000"/>
        </w:rPr>
      </w:pPr>
      <w:r w:rsidDel="00000000" w:rsidR="00000000" w:rsidRPr="00000000">
        <w:rPr>
          <w:color w:val="000000"/>
          <w:rtl w:val="0"/>
        </w:rPr>
        <w:t xml:space="preserve">(1) A baseline scenario, or</w:t>
      </w:r>
    </w:p>
    <w:p w:rsidR="00000000" w:rsidDel="00000000" w:rsidP="00000000" w:rsidRDefault="00000000" w:rsidRPr="00000000" w14:paraId="000000A9">
      <w:pPr>
        <w:ind w:right="-330"/>
        <w:jc w:val="both"/>
        <w:rPr>
          <w:color w:val="000000"/>
        </w:rPr>
      </w:pPr>
      <w:r w:rsidDel="00000000" w:rsidR="00000000" w:rsidRPr="00000000">
        <w:rPr>
          <w:color w:val="000000"/>
          <w:rtl w:val="0"/>
        </w:rPr>
        <w:t xml:space="preserve">(2) Multiple scenarios, such as Case A and Case B (and in some cases, Case X and Case Y)?</w:t>
      </w:r>
    </w:p>
    <w:p w:rsidR="00000000" w:rsidDel="00000000" w:rsidP="00000000" w:rsidRDefault="00000000" w:rsidRPr="00000000" w14:paraId="000000AA">
      <w:pPr>
        <w:ind w:right="-330"/>
        <w:jc w:val="both"/>
        <w:rPr>
          <w:color w:val="000000"/>
        </w:rPr>
      </w:pPr>
      <w:r w:rsidDel="00000000" w:rsidR="00000000" w:rsidRPr="00000000">
        <w:rPr>
          <w:color w:val="000000"/>
          <w:rtl w:val="0"/>
        </w:rPr>
        <w:t xml:space="preserve">If the answer is (1), proceed to question B7.1.</w:t>
      </w:r>
    </w:p>
    <w:p w:rsidR="00000000" w:rsidDel="00000000" w:rsidP="00000000" w:rsidRDefault="00000000" w:rsidRPr="00000000" w14:paraId="000000AB">
      <w:pPr>
        <w:ind w:right="-330"/>
        <w:jc w:val="both"/>
        <w:rPr>
          <w:color w:val="000000"/>
        </w:rPr>
      </w:pPr>
      <w:r w:rsidDel="00000000" w:rsidR="00000000" w:rsidRPr="00000000">
        <w:rPr>
          <w:color w:val="000000"/>
          <w:rtl w:val="0"/>
        </w:rPr>
        <w:t xml:space="preserve">If the answer is (2), proceed to question B7.2.</w:t>
      </w:r>
    </w:p>
    <w:p w:rsidR="00000000" w:rsidDel="00000000" w:rsidP="00000000" w:rsidRDefault="00000000" w:rsidRPr="00000000" w14:paraId="000000AC">
      <w:pPr>
        <w:ind w:right="-330"/>
        <w:jc w:val="both"/>
        <w:rPr>
          <w:b w:val="1"/>
          <w:color w:val="000000"/>
        </w:rPr>
      </w:pPr>
      <w:r w:rsidDel="00000000" w:rsidR="00000000" w:rsidRPr="00000000">
        <w:rPr>
          <w:b w:val="1"/>
          <w:color w:val="000000"/>
          <w:rtl w:val="0"/>
        </w:rPr>
        <w:t xml:space="preserve">B7.1. </w:t>
      </w:r>
      <w:r w:rsidDel="00000000" w:rsidR="00000000" w:rsidRPr="00000000">
        <w:rPr>
          <w:color w:val="000000"/>
          <w:rtl w:val="0"/>
        </w:rPr>
        <w:t xml:space="preserve">Does the central bank regularly (at least once a year) publish an assessment of forecast revisions (decomposition of forecast changes vis-а-vis the previous forecast) in the monetary policy reports or in a separate document?</w:t>
      </w:r>
      <w:r w:rsidDel="00000000" w:rsidR="00000000" w:rsidRPr="00000000">
        <w:rPr>
          <w:rtl w:val="0"/>
        </w:rPr>
      </w:r>
    </w:p>
    <w:tbl>
      <w:tblPr>
        <w:tblStyle w:val="Table14"/>
        <w:tblW w:w="9596.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6"/>
        <w:gridCol w:w="720"/>
        <w:tblGridChange w:id="0">
          <w:tblGrid>
            <w:gridCol w:w="8876"/>
            <w:gridCol w:w="720"/>
          </w:tblGrid>
        </w:tblGridChange>
      </w:tblGrid>
      <w:tr>
        <w:trPr>
          <w:cantSplit w:val="0"/>
          <w:tblHeader w:val="0"/>
        </w:trPr>
        <w:tc>
          <w:tcPr/>
          <w:p w:rsidR="00000000" w:rsidDel="00000000" w:rsidP="00000000" w:rsidRDefault="00000000" w:rsidRPr="00000000" w14:paraId="000000AD">
            <w:pPr>
              <w:ind w:right="-330"/>
              <w:jc w:val="both"/>
              <w:rPr/>
            </w:pPr>
            <w:r w:rsidDel="00000000" w:rsidR="00000000" w:rsidRPr="00000000">
              <w:rPr>
                <w:rtl w:val="0"/>
              </w:rPr>
              <w:t xml:space="preserve">No</w:t>
            </w:r>
          </w:p>
        </w:tc>
        <w:tc>
          <w:tcPr/>
          <w:p w:rsidR="00000000" w:rsidDel="00000000" w:rsidP="00000000" w:rsidRDefault="00000000" w:rsidRPr="00000000" w14:paraId="000000AE">
            <w:pPr>
              <w:ind w:right="-330"/>
              <w:jc w:val="both"/>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inflation only with a discussion of the underlying causes.</w:t>
            </w:r>
          </w:p>
        </w:tc>
        <w:tc>
          <w:tcPr/>
          <w:p w:rsidR="00000000" w:rsidDel="00000000" w:rsidP="00000000" w:rsidRDefault="00000000" w:rsidRPr="00000000" w14:paraId="000000B0">
            <w:pPr>
              <w:ind w:right="-330"/>
              <w:jc w:val="both"/>
              <w:rPr/>
            </w:pPr>
            <w:r w:rsidDel="00000000" w:rsidR="00000000" w:rsidRPr="00000000">
              <w:rPr>
                <w:rtl w:val="0"/>
              </w:rPr>
              <w:t xml:space="preserve">0.2</w:t>
            </w:r>
          </w:p>
        </w:tc>
      </w:tr>
      <w:tr>
        <w:trPr>
          <w:cantSplit w:val="0"/>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inflation and GDP growth with a discussion of the underlying causes.</w:t>
            </w:r>
          </w:p>
        </w:tc>
        <w:tc>
          <w:tcPr/>
          <w:p w:rsidR="00000000" w:rsidDel="00000000" w:rsidP="00000000" w:rsidRDefault="00000000" w:rsidRPr="00000000" w14:paraId="000000B2">
            <w:pPr>
              <w:ind w:right="-330"/>
              <w:jc w:val="both"/>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inflation, GDP growth, and the endogenous interest rate path with a discussion of the underlying causes.</w:t>
            </w:r>
          </w:p>
        </w:tc>
        <w:tc>
          <w:tcPr/>
          <w:p w:rsidR="00000000" w:rsidDel="00000000" w:rsidP="00000000" w:rsidRDefault="00000000" w:rsidRPr="00000000" w14:paraId="000000B4">
            <w:pPr>
              <w:ind w:right="-330"/>
              <w:jc w:val="both"/>
              <w:rPr/>
            </w:pPr>
            <w:r w:rsidDel="00000000" w:rsidR="00000000" w:rsidRPr="00000000">
              <w:rPr>
                <w:rtl w:val="0"/>
              </w:rPr>
              <w:t xml:space="preserve">0.6</w:t>
            </w:r>
          </w:p>
        </w:tc>
      </w:tr>
      <w:tr>
        <w:trPr>
          <w:cantSplit w:val="0"/>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inflation, GDP growth, the endogenous interest rate path, and the output gap with a discussion the underlying causes.</w:t>
            </w:r>
          </w:p>
        </w:tc>
        <w:tc>
          <w:tcPr/>
          <w:p w:rsidR="00000000" w:rsidDel="00000000" w:rsidP="00000000" w:rsidRDefault="00000000" w:rsidRPr="00000000" w14:paraId="000000B6">
            <w:pPr>
              <w:ind w:right="-330"/>
              <w:jc w:val="both"/>
              <w:rPr/>
            </w:pPr>
            <w:r w:rsidDel="00000000" w:rsidR="00000000" w:rsidRPr="00000000">
              <w:rPr>
                <w:rtl w:val="0"/>
              </w:rPr>
              <w:t xml:space="preserve">0.8</w:t>
            </w:r>
          </w:p>
        </w:tc>
      </w:tr>
      <w:tr>
        <w:trPr>
          <w:cantSplit w:val="0"/>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14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 inflation, GDP growth, the endogenous interest rate path, the output gap, and the exchange rate with a discussion the underlying causes.</w:t>
            </w:r>
          </w:p>
        </w:tc>
        <w:tc>
          <w:tcPr/>
          <w:p w:rsidR="00000000" w:rsidDel="00000000" w:rsidP="00000000" w:rsidRDefault="00000000" w:rsidRPr="00000000" w14:paraId="000000B8">
            <w:pPr>
              <w:ind w:right="-330"/>
              <w:jc w:val="both"/>
              <w:rPr/>
            </w:pPr>
            <w:r w:rsidDel="00000000" w:rsidR="00000000" w:rsidRPr="00000000">
              <w:rPr>
                <w:rtl w:val="0"/>
              </w:rPr>
              <w:t xml:space="preserve">1.0</w:t>
            </w:r>
          </w:p>
        </w:tc>
      </w:tr>
    </w:tbl>
    <w:p w:rsidR="00000000" w:rsidDel="00000000" w:rsidP="00000000" w:rsidRDefault="00000000" w:rsidRPr="00000000" w14:paraId="000000B9">
      <w:pPr>
        <w:ind w:right="-330"/>
        <w:jc w:val="both"/>
        <w:rPr/>
      </w:pPr>
      <w:r w:rsidDel="00000000" w:rsidR="00000000" w:rsidRPr="00000000">
        <w:rPr>
          <w:rtl w:val="0"/>
        </w:rPr>
        <w:t xml:space="preserve"> </w:t>
      </w:r>
    </w:p>
    <w:p w:rsidR="00000000" w:rsidDel="00000000" w:rsidP="00000000" w:rsidRDefault="00000000" w:rsidRPr="00000000" w14:paraId="000000BA">
      <w:pPr>
        <w:ind w:right="-330"/>
        <w:jc w:val="both"/>
        <w:rPr>
          <w:color w:val="000000"/>
        </w:rPr>
      </w:pPr>
      <w:r w:rsidDel="00000000" w:rsidR="00000000" w:rsidRPr="00000000">
        <w:rPr>
          <w:b w:val="1"/>
          <w:color w:val="000000"/>
          <w:rtl w:val="0"/>
        </w:rPr>
        <w:t xml:space="preserve">B7.2. </w:t>
      </w:r>
      <w:r w:rsidDel="00000000" w:rsidR="00000000" w:rsidRPr="00000000">
        <w:rPr>
          <w:color w:val="000000"/>
          <w:rtl w:val="0"/>
        </w:rPr>
        <w:t xml:space="preserve">Is the forecasting performance of the central bank reviewed at least once a year in the monetary policy reports or in a separate document? (At least for the market scenario). </w:t>
      </w:r>
    </w:p>
    <w:tbl>
      <w:tblPr>
        <w:tblStyle w:val="Table15"/>
        <w:tblW w:w="9204.0" w:type="dxa"/>
        <w:jc w:val="left"/>
        <w:tblLayout w:type="fixed"/>
        <w:tblLook w:val="0400"/>
      </w:tblPr>
      <w:tblGrid>
        <w:gridCol w:w="8212"/>
        <w:gridCol w:w="992"/>
        <w:tblGridChange w:id="0">
          <w:tblGrid>
            <w:gridCol w:w="8212"/>
            <w:gridCol w:w="992"/>
          </w:tblGrid>
        </w:tblGridChange>
      </w:tblGrid>
      <w:tr>
        <w:trPr>
          <w:cantSplit w:val="0"/>
          <w:trHeight w:val="48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B">
            <w:pPr>
              <w:ind w:right="-330"/>
              <w:jc w:val="both"/>
              <w:rPr>
                <w:color w:val="000000"/>
              </w:rPr>
            </w:pPr>
            <w:r w:rsidDel="00000000" w:rsidR="00000000" w:rsidRPr="00000000">
              <w:rPr>
                <w:color w:val="000000"/>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C">
            <w:pPr>
              <w:ind w:right="-330"/>
              <w:jc w:val="both"/>
              <w:rPr>
                <w:color w:val="000000"/>
              </w:rPr>
            </w:pPr>
            <w:r w:rsidDel="00000000" w:rsidR="00000000" w:rsidRPr="00000000">
              <w:rPr>
                <w:color w:val="000000"/>
                <w:rtl w:val="0"/>
              </w:rPr>
              <w:t xml:space="preserve">0.0</w:t>
            </w:r>
          </w:p>
        </w:tc>
      </w:tr>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D">
            <w:pPr>
              <w:ind w:right="-330"/>
              <w:jc w:val="both"/>
              <w:rPr>
                <w:color w:val="000000"/>
              </w:rPr>
            </w:pPr>
            <w:r w:rsidDel="00000000" w:rsidR="00000000" w:rsidRPr="00000000">
              <w:rPr>
                <w:color w:val="000000"/>
                <w:rtl w:val="0"/>
              </w:rPr>
              <w:t xml:space="preserve">Yes. Qualitative/General evaluation of scenarios A and B and assumptions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E">
            <w:pPr>
              <w:ind w:right="-330"/>
              <w:jc w:val="both"/>
              <w:rPr>
                <w:color w:val="000000"/>
              </w:rPr>
            </w:pPr>
            <w:r w:rsidDel="00000000" w:rsidR="00000000" w:rsidRPr="00000000">
              <w:rPr>
                <w:color w:val="000000"/>
                <w:rtl w:val="0"/>
              </w:rPr>
              <w:t xml:space="preserve">1.0</w:t>
            </w:r>
          </w:p>
        </w:tc>
      </w:tr>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BF">
            <w:pPr>
              <w:ind w:right="-330"/>
              <w:jc w:val="both"/>
              <w:rPr>
                <w:color w:val="000000"/>
              </w:rPr>
            </w:pPr>
            <w:r w:rsidDel="00000000" w:rsidR="00000000" w:rsidRPr="00000000">
              <w:rPr>
                <w:color w:val="000000"/>
                <w:rtl w:val="0"/>
              </w:rPr>
              <w:t xml:space="preserve">For inflation only with a discussion of the underlying causes.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0">
            <w:pPr>
              <w:ind w:right="-330"/>
              <w:jc w:val="both"/>
              <w:rPr>
                <w:color w:val="000000"/>
              </w:rPr>
            </w:pPr>
            <w:r w:rsidDel="00000000" w:rsidR="00000000" w:rsidRPr="00000000">
              <w:rPr>
                <w:color w:val="000000"/>
                <w:rtl w:val="0"/>
              </w:rPr>
              <w:t xml:space="preserve">1.2</w:t>
            </w:r>
          </w:p>
        </w:tc>
      </w:tr>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1">
            <w:pPr>
              <w:ind w:right="-330"/>
              <w:jc w:val="both"/>
              <w:rPr>
                <w:color w:val="000000"/>
              </w:rPr>
            </w:pPr>
            <w:r w:rsidDel="00000000" w:rsidR="00000000" w:rsidRPr="00000000">
              <w:rPr>
                <w:color w:val="000000"/>
                <w:rtl w:val="0"/>
              </w:rPr>
              <w:t xml:space="preserve">For inflation and GDP growth with a discussion of the underlying causes.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2">
            <w:pPr>
              <w:ind w:right="-330"/>
              <w:jc w:val="both"/>
              <w:rPr>
                <w:color w:val="000000"/>
              </w:rPr>
            </w:pPr>
            <w:r w:rsidDel="00000000" w:rsidR="00000000" w:rsidRPr="00000000">
              <w:rPr>
                <w:color w:val="000000"/>
                <w:rtl w:val="0"/>
              </w:rPr>
              <w:t xml:space="preserve">1.4</w:t>
            </w:r>
          </w:p>
        </w:tc>
      </w:tr>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3">
            <w:pPr>
              <w:ind w:right="-330"/>
              <w:jc w:val="both"/>
              <w:rPr>
                <w:color w:val="000000"/>
              </w:rPr>
            </w:pPr>
            <w:r w:rsidDel="00000000" w:rsidR="00000000" w:rsidRPr="00000000">
              <w:rPr>
                <w:color w:val="000000"/>
                <w:rtl w:val="0"/>
              </w:rPr>
              <w:t xml:space="preserve">For inflation, GDP growth, and the endogenous interest rate path with a discussion of the underlying causes.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4">
            <w:pPr>
              <w:ind w:right="-330"/>
              <w:jc w:val="both"/>
              <w:rPr>
                <w:color w:val="000000"/>
              </w:rPr>
            </w:pPr>
            <w:r w:rsidDel="00000000" w:rsidR="00000000" w:rsidRPr="00000000">
              <w:rPr>
                <w:color w:val="000000"/>
                <w:rtl w:val="0"/>
              </w:rPr>
              <w:t xml:space="preserve">1.6</w:t>
            </w:r>
          </w:p>
        </w:tc>
      </w:tr>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5">
            <w:pPr>
              <w:ind w:right="-330"/>
              <w:jc w:val="both"/>
              <w:rPr>
                <w:color w:val="000000"/>
              </w:rPr>
            </w:pPr>
            <w:r w:rsidDel="00000000" w:rsidR="00000000" w:rsidRPr="00000000">
              <w:rPr>
                <w:color w:val="000000"/>
                <w:rtl w:val="0"/>
              </w:rPr>
              <w:t xml:space="preserve">For inflation, GDP growth, the endogenous interest rate path, and the output gap with a discussion the underlying causes.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6">
            <w:pPr>
              <w:ind w:right="-330"/>
              <w:jc w:val="both"/>
              <w:rPr>
                <w:color w:val="000000"/>
              </w:rPr>
            </w:pPr>
            <w:r w:rsidDel="00000000" w:rsidR="00000000" w:rsidRPr="00000000">
              <w:rPr>
                <w:color w:val="000000"/>
                <w:rtl w:val="0"/>
              </w:rPr>
              <w:t xml:space="preserve">1.8</w:t>
            </w:r>
          </w:p>
        </w:tc>
      </w:tr>
      <w:tr>
        <w:trPr>
          <w:cantSplit w:val="0"/>
          <w:trHeight w:val="3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7">
            <w:pPr>
              <w:ind w:right="-330"/>
              <w:jc w:val="both"/>
              <w:rPr>
                <w:color w:val="000000"/>
              </w:rPr>
            </w:pPr>
            <w:r w:rsidDel="00000000" w:rsidR="00000000" w:rsidRPr="00000000">
              <w:rPr>
                <w:color w:val="000000"/>
                <w:rtl w:val="0"/>
              </w:rPr>
              <w:t xml:space="preserve">For inflation, GDP growth, the endogenous interest rate path, the output gap, and the exchange rate with a discussion the underlying causes.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C8">
            <w:pPr>
              <w:ind w:right="-330"/>
              <w:jc w:val="both"/>
              <w:rPr>
                <w:color w:val="000000"/>
              </w:rPr>
            </w:pPr>
            <w:r w:rsidDel="00000000" w:rsidR="00000000" w:rsidRPr="00000000">
              <w:rPr>
                <w:color w:val="000000"/>
                <w:rtl w:val="0"/>
              </w:rPr>
              <w:t xml:space="preserve">2.0</w:t>
            </w:r>
          </w:p>
        </w:tc>
      </w:tr>
    </w:tbl>
    <w:p w:rsidR="00000000" w:rsidDel="00000000" w:rsidP="00000000" w:rsidRDefault="00000000" w:rsidRPr="00000000" w14:paraId="000000C9">
      <w:pPr>
        <w:ind w:right="-330"/>
        <w:jc w:val="both"/>
        <w:rPr>
          <w:b w:val="1"/>
          <w:color w:val="ff0000"/>
        </w:rPr>
      </w:pPr>
      <w:r w:rsidDel="00000000" w:rsidR="00000000" w:rsidRPr="00000000">
        <w:rPr>
          <w:rtl w:val="0"/>
        </w:rPr>
      </w:r>
    </w:p>
    <w:p w:rsidR="00000000" w:rsidDel="00000000" w:rsidP="00000000" w:rsidRDefault="00000000" w:rsidRPr="00000000" w14:paraId="000000CA">
      <w:pPr>
        <w:ind w:right="-330"/>
        <w:jc w:val="both"/>
        <w:rPr/>
      </w:pPr>
      <w:r w:rsidDel="00000000" w:rsidR="00000000" w:rsidRPr="00000000">
        <w:rPr>
          <w:rtl w:val="0"/>
        </w:rPr>
      </w:r>
    </w:p>
    <w:p w:rsidR="00000000" w:rsidDel="00000000" w:rsidP="00000000" w:rsidRDefault="00000000" w:rsidRPr="00000000" w14:paraId="000000CB">
      <w:pPr>
        <w:ind w:right="-330"/>
        <w:jc w:val="both"/>
        <w:rPr>
          <w:color w:val="000000"/>
        </w:rPr>
      </w:pPr>
      <w:r w:rsidDel="00000000" w:rsidR="00000000" w:rsidRPr="00000000">
        <w:rPr>
          <w:b w:val="1"/>
          <w:color w:val="000000"/>
          <w:rtl w:val="0"/>
        </w:rPr>
        <w:t xml:space="preserve">B8. </w:t>
      </w:r>
      <w:r w:rsidDel="00000000" w:rsidR="00000000" w:rsidRPr="00000000">
        <w:rPr>
          <w:color w:val="000000"/>
          <w:rtl w:val="0"/>
        </w:rPr>
        <w:t xml:space="preserve">Does the central bank's framework include:</w:t>
      </w:r>
    </w:p>
    <w:p w:rsidR="00000000" w:rsidDel="00000000" w:rsidP="00000000" w:rsidRDefault="00000000" w:rsidRPr="00000000" w14:paraId="000000CC">
      <w:pPr>
        <w:ind w:right="-330"/>
        <w:jc w:val="both"/>
        <w:rPr>
          <w:color w:val="000000"/>
        </w:rPr>
      </w:pPr>
      <w:r w:rsidDel="00000000" w:rsidR="00000000" w:rsidRPr="00000000">
        <w:rPr>
          <w:color w:val="000000"/>
          <w:rtl w:val="0"/>
        </w:rPr>
        <w:t xml:space="preserve">(1) A baseline scenario, or</w:t>
      </w:r>
    </w:p>
    <w:p w:rsidR="00000000" w:rsidDel="00000000" w:rsidP="00000000" w:rsidRDefault="00000000" w:rsidRPr="00000000" w14:paraId="000000CD">
      <w:pPr>
        <w:ind w:right="-330"/>
        <w:jc w:val="both"/>
        <w:rPr>
          <w:color w:val="000000"/>
        </w:rPr>
      </w:pPr>
      <w:r w:rsidDel="00000000" w:rsidR="00000000" w:rsidRPr="00000000">
        <w:rPr>
          <w:color w:val="000000"/>
          <w:rtl w:val="0"/>
        </w:rPr>
        <w:t xml:space="preserve">(2) Multiple scenarios, such as Case A and Case B (and in some cases, Case X and Case Y)?</w:t>
      </w:r>
    </w:p>
    <w:p w:rsidR="00000000" w:rsidDel="00000000" w:rsidP="00000000" w:rsidRDefault="00000000" w:rsidRPr="00000000" w14:paraId="000000CE">
      <w:pPr>
        <w:ind w:right="-330"/>
        <w:jc w:val="both"/>
        <w:rPr>
          <w:color w:val="000000"/>
        </w:rPr>
      </w:pPr>
      <w:r w:rsidDel="00000000" w:rsidR="00000000" w:rsidRPr="00000000">
        <w:rPr>
          <w:color w:val="000000"/>
          <w:rtl w:val="0"/>
        </w:rPr>
        <w:t xml:space="preserve">If the answer is (1), proceed to question B8.1.</w:t>
      </w:r>
    </w:p>
    <w:p w:rsidR="00000000" w:rsidDel="00000000" w:rsidP="00000000" w:rsidRDefault="00000000" w:rsidRPr="00000000" w14:paraId="000000CF">
      <w:pPr>
        <w:ind w:right="-330"/>
        <w:jc w:val="both"/>
        <w:rPr>
          <w:color w:val="000000"/>
        </w:rPr>
      </w:pPr>
      <w:r w:rsidDel="00000000" w:rsidR="00000000" w:rsidRPr="00000000">
        <w:rPr>
          <w:color w:val="000000"/>
          <w:rtl w:val="0"/>
        </w:rPr>
        <w:t xml:space="preserve">If the answer is (2), proceed to question B8.2.</w:t>
      </w:r>
    </w:p>
    <w:p w:rsidR="00000000" w:rsidDel="00000000" w:rsidP="00000000" w:rsidRDefault="00000000" w:rsidRPr="00000000" w14:paraId="000000D0">
      <w:pPr>
        <w:ind w:right="-330"/>
        <w:jc w:val="both"/>
        <w:rPr>
          <w:color w:val="000000"/>
        </w:rPr>
      </w:pPr>
      <w:r w:rsidDel="00000000" w:rsidR="00000000" w:rsidRPr="00000000">
        <w:rPr>
          <w:rtl w:val="0"/>
        </w:rPr>
      </w:r>
    </w:p>
    <w:p w:rsidR="00000000" w:rsidDel="00000000" w:rsidP="00000000" w:rsidRDefault="00000000" w:rsidRPr="00000000" w14:paraId="000000D1">
      <w:pPr>
        <w:ind w:right="-330"/>
        <w:jc w:val="both"/>
        <w:rPr>
          <w:color w:val="000000"/>
        </w:rPr>
      </w:pPr>
      <w:r w:rsidDel="00000000" w:rsidR="00000000" w:rsidRPr="00000000">
        <w:rPr>
          <w:b w:val="1"/>
          <w:color w:val="000000"/>
          <w:rtl w:val="0"/>
        </w:rPr>
        <w:t xml:space="preserve">B8.1</w:t>
      </w:r>
      <w:r w:rsidDel="00000000" w:rsidR="00000000" w:rsidRPr="00000000">
        <w:rPr>
          <w:color w:val="000000"/>
          <w:rtl w:val="0"/>
        </w:rPr>
        <w:t xml:space="preserve"> Does the central bank publish alternative scenarios in their monetary policy reports to illustrate key risk(s) in the baseline forecast</w:t>
      </w:r>
    </w:p>
    <w:tbl>
      <w:tblPr>
        <w:tblStyle w:val="Table16"/>
        <w:tblW w:w="9346.0" w:type="dxa"/>
        <w:jc w:val="left"/>
        <w:tblLayout w:type="fixed"/>
        <w:tblLook w:val="0400"/>
      </w:tblPr>
      <w:tblGrid>
        <w:gridCol w:w="8495"/>
        <w:gridCol w:w="851"/>
        <w:tblGridChange w:id="0">
          <w:tblGrid>
            <w:gridCol w:w="8495"/>
            <w:gridCol w:w="851"/>
          </w:tblGrid>
        </w:tblGridChange>
      </w:tblGrid>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2">
            <w:pPr>
              <w:ind w:right="-330"/>
              <w:jc w:val="both"/>
              <w:rPr>
                <w:color w:val="000000"/>
              </w:rPr>
            </w:pPr>
            <w:r w:rsidDel="00000000" w:rsidR="00000000" w:rsidRPr="00000000">
              <w:rPr>
                <w:color w:val="000000"/>
                <w:rtl w:val="0"/>
              </w:rPr>
              <w:t xml:space="preserve">No alternative scenario.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3">
            <w:pPr>
              <w:ind w:right="-330"/>
              <w:jc w:val="both"/>
              <w:rPr>
                <w:color w:val="000000"/>
              </w:rPr>
            </w:pPr>
            <w:r w:rsidDel="00000000" w:rsidR="00000000" w:rsidRPr="00000000">
              <w:rPr>
                <w:color w:val="000000"/>
                <w:rtl w:val="0"/>
              </w:rPr>
              <w:t xml:space="preserve">0.0</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4">
            <w:pPr>
              <w:ind w:right="-330"/>
              <w:jc w:val="both"/>
              <w:rPr>
                <w:color w:val="000000"/>
              </w:rPr>
            </w:pPr>
            <w:r w:rsidDel="00000000" w:rsidR="00000000" w:rsidRPr="00000000">
              <w:rPr>
                <w:color w:val="000000"/>
                <w:rtl w:val="0"/>
              </w:rPr>
              <w:t xml:space="preserve">The major risk(s) is communicated in an alternative scenario(s).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5">
            <w:pPr>
              <w:ind w:right="-330"/>
              <w:jc w:val="both"/>
              <w:rPr>
                <w:color w:val="000000"/>
              </w:rPr>
            </w:pPr>
            <w:r w:rsidDel="00000000" w:rsidR="00000000" w:rsidRPr="00000000">
              <w:rPr>
                <w:color w:val="000000"/>
                <w:rtl w:val="0"/>
              </w:rPr>
              <w:t xml:space="preserve">1.0</w:t>
            </w:r>
          </w:p>
        </w:tc>
      </w:tr>
    </w:tbl>
    <w:p w:rsidR="00000000" w:rsidDel="00000000" w:rsidP="00000000" w:rsidRDefault="00000000" w:rsidRPr="00000000" w14:paraId="000000D6">
      <w:pPr>
        <w:ind w:right="-330"/>
        <w:jc w:val="both"/>
        <w:rPr>
          <w:b w:val="1"/>
          <w:color w:val="000000"/>
        </w:rPr>
      </w:pPr>
      <w:r w:rsidDel="00000000" w:rsidR="00000000" w:rsidRPr="00000000">
        <w:rPr>
          <w:rtl w:val="0"/>
        </w:rPr>
      </w:r>
    </w:p>
    <w:p w:rsidR="00000000" w:rsidDel="00000000" w:rsidP="00000000" w:rsidRDefault="00000000" w:rsidRPr="00000000" w14:paraId="000000D7">
      <w:pPr>
        <w:ind w:right="-330"/>
        <w:jc w:val="both"/>
        <w:rPr>
          <w:color w:val="000000"/>
        </w:rPr>
      </w:pPr>
      <w:r w:rsidDel="00000000" w:rsidR="00000000" w:rsidRPr="00000000">
        <w:rPr>
          <w:b w:val="1"/>
          <w:color w:val="000000"/>
          <w:rtl w:val="0"/>
        </w:rPr>
        <w:t xml:space="preserve">B8.2</w:t>
      </w:r>
      <w:r w:rsidDel="00000000" w:rsidR="00000000" w:rsidRPr="00000000">
        <w:rPr>
          <w:color w:val="000000"/>
          <w:rtl w:val="0"/>
        </w:rPr>
        <w:t xml:space="preserve"> </w:t>
        <w:tab/>
        <w:t xml:space="preserve">Does the central bank publish alternative scenarios in their monetary policy reports to illustrate key risk(s) in the baseline forecast?  Or does the central bank publish a market-reference scenario as an alternative scenario?</w:t>
      </w:r>
    </w:p>
    <w:tbl>
      <w:tblPr>
        <w:tblStyle w:val="Table17"/>
        <w:tblW w:w="9346.0" w:type="dxa"/>
        <w:jc w:val="left"/>
        <w:tblLayout w:type="fixed"/>
        <w:tblLook w:val="0400"/>
      </w:tblPr>
      <w:tblGrid>
        <w:gridCol w:w="8495"/>
        <w:gridCol w:w="851"/>
        <w:tblGridChange w:id="0">
          <w:tblGrid>
            <w:gridCol w:w="8495"/>
            <w:gridCol w:w="851"/>
          </w:tblGrid>
        </w:tblGridChange>
      </w:tblGrid>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8">
            <w:pPr>
              <w:ind w:right="-330"/>
              <w:jc w:val="both"/>
              <w:rPr/>
            </w:pPr>
            <w:r w:rsidDel="00000000" w:rsidR="00000000" w:rsidRPr="00000000">
              <w:rPr>
                <w:rtl w:val="0"/>
              </w:rPr>
              <w:t xml:space="preserve">No alternative scenario.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9">
            <w:pPr>
              <w:ind w:right="-330"/>
              <w:jc w:val="both"/>
              <w:rPr/>
            </w:pPr>
            <w:r w:rsidDel="00000000" w:rsidR="00000000" w:rsidRPr="00000000">
              <w:rPr>
                <w:rtl w:val="0"/>
              </w:rPr>
              <w:t xml:space="preserve">0.0</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A">
            <w:pPr>
              <w:ind w:right="-330"/>
              <w:jc w:val="both"/>
              <w:rPr>
                <w:color w:val="000000"/>
              </w:rPr>
            </w:pPr>
            <w:r w:rsidDel="00000000" w:rsidR="00000000" w:rsidRPr="00000000">
              <w:rPr>
                <w:color w:val="000000"/>
                <w:rtl w:val="0"/>
              </w:rPr>
              <w:t xml:space="preserve">The major risk(s) is communicated in an alternative scenario(s).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B">
            <w:pPr>
              <w:ind w:right="-330"/>
              <w:jc w:val="both"/>
              <w:rPr>
                <w:color w:val="000000"/>
              </w:rPr>
            </w:pPr>
            <w:r w:rsidDel="00000000" w:rsidR="00000000" w:rsidRPr="00000000">
              <w:rPr>
                <w:color w:val="000000"/>
                <w:rtl w:val="0"/>
              </w:rPr>
              <w:t xml:space="preserve">1.0</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C">
            <w:pPr>
              <w:ind w:right="-330"/>
              <w:jc w:val="both"/>
              <w:rPr>
                <w:color w:val="000000"/>
              </w:rPr>
            </w:pPr>
            <w:r w:rsidDel="00000000" w:rsidR="00000000" w:rsidRPr="00000000">
              <w:rPr>
                <w:color w:val="000000"/>
                <w:rtl w:val="0"/>
              </w:rPr>
              <w:t xml:space="preserve">Publishes a market-reference scenario.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DD">
            <w:pPr>
              <w:ind w:right="-330"/>
              <w:jc w:val="both"/>
              <w:rPr>
                <w:color w:val="000000"/>
              </w:rPr>
            </w:pPr>
            <w:r w:rsidDel="00000000" w:rsidR="00000000" w:rsidRPr="00000000">
              <w:rPr>
                <w:color w:val="000000"/>
                <w:rtl w:val="0"/>
              </w:rPr>
              <w:t xml:space="preserve">2.0</w:t>
            </w:r>
          </w:p>
        </w:tc>
      </w:tr>
    </w:tbl>
    <w:p w:rsidR="00000000" w:rsidDel="00000000" w:rsidP="00000000" w:rsidRDefault="00000000" w:rsidRPr="00000000" w14:paraId="000000DE">
      <w:pPr>
        <w:ind w:right="-330"/>
        <w:jc w:val="both"/>
        <w:rPr>
          <w:b w:val="1"/>
          <w:color w:val="000000"/>
        </w:rPr>
      </w:pPr>
      <w:r w:rsidDel="00000000" w:rsidR="00000000" w:rsidRPr="00000000">
        <w:rPr>
          <w:rtl w:val="0"/>
        </w:rPr>
      </w:r>
    </w:p>
    <w:p w:rsidR="00000000" w:rsidDel="00000000" w:rsidP="00000000" w:rsidRDefault="00000000" w:rsidRPr="00000000" w14:paraId="000000DF">
      <w:pPr>
        <w:ind w:right="-330"/>
        <w:jc w:val="both"/>
        <w:rPr>
          <w:b w:val="1"/>
        </w:rPr>
      </w:pPr>
      <w:r w:rsidDel="00000000" w:rsidR="00000000" w:rsidRPr="00000000">
        <w:rPr>
          <w:b w:val="1"/>
          <w:color w:val="000000"/>
          <w:rtl w:val="0"/>
        </w:rPr>
        <w:t xml:space="preserve">B9. Do the monetary policy reports include historical data and forecasts for financial variables? Financial variables </w:t>
      </w:r>
      <w:r w:rsidDel="00000000" w:rsidR="00000000" w:rsidRPr="00000000">
        <w:rPr>
          <w:b w:val="1"/>
          <w:rtl w:val="0"/>
        </w:rPr>
        <w:t xml:space="preserve">include long-term government bond yields, consumer lending rates, mortgage rates, equity prices, property prices, credit aggregates, corporate risky spreads (e.g., BAA-AAA bond yields), and credit standards (e.g., loan officer surveys). All data should be available in </w:t>
      </w:r>
      <w:r w:rsidDel="00000000" w:rsidR="00000000" w:rsidRPr="00000000">
        <w:rPr>
          <w:b w:val="1"/>
          <w:color w:val="156082"/>
          <w:rtl w:val="0"/>
        </w:rPr>
        <w:t xml:space="preserve">a </w:t>
      </w:r>
      <w:r w:rsidDel="00000000" w:rsidR="00000000" w:rsidRPr="00000000">
        <w:rPr>
          <w:b w:val="1"/>
          <w:rtl w:val="0"/>
        </w:rPr>
        <w:t xml:space="preserve">downloadable format.</w:t>
      </w:r>
    </w:p>
    <w:tbl>
      <w:tblPr>
        <w:tblStyle w:val="Table18"/>
        <w:tblW w:w="9346.0" w:type="dxa"/>
        <w:jc w:val="left"/>
        <w:tblLayout w:type="fixed"/>
        <w:tblLook w:val="0400"/>
      </w:tblPr>
      <w:tblGrid>
        <w:gridCol w:w="8354"/>
        <w:gridCol w:w="992"/>
        <w:tblGridChange w:id="0">
          <w:tblGrid>
            <w:gridCol w:w="8354"/>
            <w:gridCol w:w="992"/>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0">
            <w:pPr>
              <w:ind w:right="283"/>
              <w:jc w:val="both"/>
              <w:rPr/>
            </w:pPr>
            <w:r w:rsidDel="00000000" w:rsidR="00000000" w:rsidRPr="00000000">
              <w:rPr>
                <w:rtl w:val="0"/>
              </w:rPr>
              <w:t xml:space="preserve">No data or forecast of financial variables are available.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1">
            <w:pPr>
              <w:ind w:right="-330"/>
              <w:jc w:val="both"/>
              <w:rPr/>
            </w:pPr>
            <w:r w:rsidDel="00000000" w:rsidR="00000000" w:rsidRPr="00000000">
              <w:rPr>
                <w:rtl w:val="0"/>
              </w:rPr>
              <w:t xml:space="preserve">0.0</w:t>
            </w:r>
          </w:p>
        </w:tc>
      </w:tr>
      <w:tr>
        <w:trPr>
          <w:cantSplit w:val="0"/>
          <w:trHeight w:val="90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2">
            <w:pPr>
              <w:ind w:right="283"/>
              <w:jc w:val="both"/>
              <w:rPr/>
            </w:pPr>
            <w:r w:rsidDel="00000000" w:rsidR="00000000" w:rsidRPr="00000000">
              <w:rPr>
                <w:rtl w:val="0"/>
              </w:rPr>
              <w:t xml:space="preserve">Historical data on less than 5 of the above variables are available, and forecasts for less than 5 of the above variables are available.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3">
            <w:pPr>
              <w:ind w:right="-330"/>
              <w:jc w:val="both"/>
              <w:rPr/>
            </w:pPr>
            <w:r w:rsidDel="00000000" w:rsidR="00000000" w:rsidRPr="00000000">
              <w:rPr>
                <w:rtl w:val="0"/>
              </w:rPr>
              <w:t xml:space="preserve">0.1-0.9</w:t>
            </w:r>
          </w:p>
        </w:tc>
      </w:tr>
      <w:tr>
        <w:trPr>
          <w:cantSplit w:val="0"/>
          <w:trHeight w:val="10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4">
            <w:pPr>
              <w:ind w:right="283"/>
              <w:jc w:val="both"/>
              <w:rPr/>
            </w:pPr>
            <w:r w:rsidDel="00000000" w:rsidR="00000000" w:rsidRPr="00000000">
              <w:rPr>
                <w:rtl w:val="0"/>
              </w:rPr>
              <w:t xml:space="preserve">Historical data on 5 or more of the above variables are available, and forecasts for 5 or more of the above variables are available.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5">
            <w:pPr>
              <w:ind w:right="-330"/>
              <w:jc w:val="both"/>
              <w:rPr/>
            </w:pPr>
            <w:r w:rsidDel="00000000" w:rsidR="00000000" w:rsidRPr="00000000">
              <w:rPr>
                <w:rtl w:val="0"/>
              </w:rPr>
              <w:t xml:space="preserve">1.0</w:t>
            </w:r>
          </w:p>
        </w:tc>
      </w:tr>
    </w:tbl>
    <w:p w:rsidR="00000000" w:rsidDel="00000000" w:rsidP="00000000" w:rsidRDefault="00000000" w:rsidRPr="00000000" w14:paraId="000000E6">
      <w:pPr>
        <w:ind w:right="-330"/>
        <w:rPr>
          <w:b w:val="1"/>
          <w:color w:val="e97132"/>
        </w:rPr>
      </w:pPr>
      <w:r w:rsidDel="00000000" w:rsidR="00000000" w:rsidRPr="00000000">
        <w:rPr>
          <w:rtl w:val="0"/>
        </w:rPr>
      </w:r>
    </w:p>
    <w:p w:rsidR="00000000" w:rsidDel="00000000" w:rsidP="00000000" w:rsidRDefault="00000000" w:rsidRPr="00000000" w14:paraId="000000E7">
      <w:pPr>
        <w:ind w:right="-330"/>
        <w:jc w:val="center"/>
        <w:rPr>
          <w:b w:val="1"/>
          <w:color w:val="e97132"/>
        </w:rPr>
      </w:pPr>
      <w:r w:rsidDel="00000000" w:rsidR="00000000" w:rsidRPr="00000000">
        <w:rPr>
          <w:b w:val="1"/>
          <w:color w:val="e97132"/>
          <w:rtl w:val="0"/>
        </w:rPr>
        <w:t xml:space="preserve">Section C: Policy Process (Max. Score 7)</w:t>
      </w:r>
    </w:p>
    <w:p w:rsidR="00000000" w:rsidDel="00000000" w:rsidP="00000000" w:rsidRDefault="00000000" w:rsidRPr="00000000" w14:paraId="000000E8">
      <w:pPr>
        <w:ind w:right="-330"/>
        <w:jc w:val="both"/>
        <w:rPr>
          <w:b w:val="1"/>
        </w:rPr>
      </w:pPr>
      <w:r w:rsidDel="00000000" w:rsidR="00000000" w:rsidRPr="00000000">
        <w:rPr>
          <w:b w:val="1"/>
          <w:rtl w:val="0"/>
        </w:rPr>
        <w:t xml:space="preserve">C1. Does the central bank publish a press statement immediately following the policy decisions?</w:t>
      </w:r>
    </w:p>
    <w:tbl>
      <w:tblPr>
        <w:tblStyle w:val="Table19"/>
        <w:tblW w:w="9204.0" w:type="dxa"/>
        <w:jc w:val="left"/>
        <w:tblLayout w:type="fixed"/>
        <w:tblLook w:val="0400"/>
      </w:tblPr>
      <w:tblGrid>
        <w:gridCol w:w="8309"/>
        <w:gridCol w:w="895"/>
        <w:tblGridChange w:id="0">
          <w:tblGrid>
            <w:gridCol w:w="8309"/>
            <w:gridCol w:w="895"/>
          </w:tblGrid>
        </w:tblGridChange>
      </w:tblGrid>
      <w:tr>
        <w:trPr>
          <w:cantSplit w:val="0"/>
          <w:trHeight w:val="6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9">
            <w:pPr>
              <w:ind w:right="282"/>
              <w:jc w:val="both"/>
              <w:rPr/>
            </w:pPr>
            <w:r w:rsidDel="00000000" w:rsidR="00000000" w:rsidRPr="00000000">
              <w:rPr>
                <w:rtl w:val="0"/>
              </w:rPr>
              <w:t xml:space="preserve">The central bank does not publish a press statement immediately after the policy decisions.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A">
            <w:pPr>
              <w:ind w:right="282"/>
              <w:jc w:val="both"/>
              <w:rPr/>
            </w:pPr>
            <w:r w:rsidDel="00000000" w:rsidR="00000000" w:rsidRPr="00000000">
              <w:rPr>
                <w:rtl w:val="0"/>
              </w:rPr>
              <w:t xml:space="preserve">0.0</w:t>
            </w:r>
          </w:p>
        </w:tc>
      </w:tr>
      <w:tr>
        <w:trPr>
          <w:cantSplit w:val="0"/>
          <w:trHeight w:val="5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B">
            <w:pPr>
              <w:ind w:right="282"/>
              <w:jc w:val="both"/>
              <w:rPr/>
            </w:pPr>
            <w:r w:rsidDel="00000000" w:rsidR="00000000" w:rsidRPr="00000000">
              <w:rPr>
                <w:rtl w:val="0"/>
              </w:rPr>
              <w:t xml:space="preserve">The central bank publishes press statements in the native language only.</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C">
            <w:pPr>
              <w:ind w:right="282"/>
              <w:jc w:val="both"/>
              <w:rPr/>
            </w:pPr>
            <w:r w:rsidDel="00000000" w:rsidR="00000000" w:rsidRPr="00000000">
              <w:rPr>
                <w:rtl w:val="0"/>
              </w:rPr>
              <w:t xml:space="preserve">0.5</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D">
            <w:pPr>
              <w:ind w:right="282"/>
              <w:jc w:val="both"/>
              <w:rPr/>
            </w:pPr>
            <w:r w:rsidDel="00000000" w:rsidR="00000000" w:rsidRPr="00000000">
              <w:rPr>
                <w:rtl w:val="0"/>
              </w:rPr>
              <w:t xml:space="preserve">The central bank publishes press statements in English.</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EE">
            <w:pPr>
              <w:ind w:right="282"/>
              <w:jc w:val="both"/>
              <w:rPr/>
            </w:pPr>
            <w:r w:rsidDel="00000000" w:rsidR="00000000" w:rsidRPr="00000000">
              <w:rPr>
                <w:rtl w:val="0"/>
              </w:rPr>
              <w:t xml:space="preserve">1.0</w:t>
            </w:r>
          </w:p>
        </w:tc>
      </w:tr>
    </w:tbl>
    <w:p w:rsidR="00000000" w:rsidDel="00000000" w:rsidP="00000000" w:rsidRDefault="00000000" w:rsidRPr="00000000" w14:paraId="000000EF">
      <w:pPr>
        <w:ind w:right="-330"/>
        <w:jc w:val="both"/>
        <w:rPr>
          <w:b w:val="1"/>
        </w:rPr>
      </w:pPr>
      <w:r w:rsidDel="00000000" w:rsidR="00000000" w:rsidRPr="00000000">
        <w:rPr>
          <w:rtl w:val="0"/>
        </w:rPr>
      </w:r>
    </w:p>
    <w:p w:rsidR="00000000" w:rsidDel="00000000" w:rsidP="00000000" w:rsidRDefault="00000000" w:rsidRPr="00000000" w14:paraId="000000F0">
      <w:pPr>
        <w:ind w:right="-330"/>
        <w:jc w:val="both"/>
        <w:rPr>
          <w:b w:val="1"/>
        </w:rPr>
      </w:pPr>
      <w:r w:rsidDel="00000000" w:rsidR="00000000" w:rsidRPr="00000000">
        <w:rPr>
          <w:b w:val="1"/>
          <w:rtl w:val="0"/>
        </w:rPr>
        <w:t xml:space="preserve">C2. Is the policy decision explained at a press conference immediately after it is announced? Are the presentations available in English?</w:t>
      </w:r>
    </w:p>
    <w:tbl>
      <w:tblPr>
        <w:tblStyle w:val="Table20"/>
        <w:tblW w:w="9204.0" w:type="dxa"/>
        <w:jc w:val="left"/>
        <w:tblLayout w:type="fixed"/>
        <w:tblLook w:val="0400"/>
      </w:tblPr>
      <w:tblGrid>
        <w:gridCol w:w="8212"/>
        <w:gridCol w:w="992"/>
        <w:tblGridChange w:id="0">
          <w:tblGrid>
            <w:gridCol w:w="8212"/>
            <w:gridCol w:w="992"/>
          </w:tblGrid>
        </w:tblGridChange>
      </w:tblGrid>
      <w:tr>
        <w:trPr>
          <w:cantSplit w:val="0"/>
          <w:trHeight w:val="69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1">
            <w:pPr>
              <w:ind w:right="140"/>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2">
            <w:pPr>
              <w:ind w:right="-330"/>
              <w:jc w:val="both"/>
              <w:rPr/>
            </w:pPr>
            <w:r w:rsidDel="00000000" w:rsidR="00000000" w:rsidRPr="00000000">
              <w:rPr>
                <w:rtl w:val="0"/>
              </w:rPr>
              <w:t xml:space="preserve">0.0</w:t>
            </w:r>
          </w:p>
        </w:tc>
      </w:tr>
      <w:tr>
        <w:trPr>
          <w:cantSplit w:val="0"/>
          <w:trHeight w:val="11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3">
            <w:pPr>
              <w:ind w:right="140"/>
              <w:jc w:val="both"/>
              <w:rPr/>
            </w:pPr>
            <w:r w:rsidDel="00000000" w:rsidR="00000000" w:rsidRPr="00000000">
              <w:rPr>
                <w:rtl w:val="0"/>
              </w:rPr>
              <w:t xml:space="preserve">Yes, after all policy meetings, at pre-announced dates and times. The press conference with the Q&amp;A session is webcasted and the recording is then made available on the website. The presentations are available in downloadable form only in the native language.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4">
            <w:pPr>
              <w:ind w:right="-330"/>
              <w:jc w:val="both"/>
              <w:rPr/>
            </w:pPr>
            <w:r w:rsidDel="00000000" w:rsidR="00000000" w:rsidRPr="00000000">
              <w:rPr>
                <w:rtl w:val="0"/>
              </w:rPr>
              <w:t xml:space="preserve">0.5</w:t>
            </w:r>
          </w:p>
        </w:tc>
      </w:tr>
      <w:tr>
        <w:trPr>
          <w:cantSplit w:val="0"/>
          <w:trHeight w:val="113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5">
            <w:pPr>
              <w:ind w:right="140"/>
              <w:jc w:val="both"/>
              <w:rPr/>
            </w:pPr>
            <w:r w:rsidDel="00000000" w:rsidR="00000000" w:rsidRPr="00000000">
              <w:rPr>
                <w:rtl w:val="0"/>
              </w:rPr>
              <w:t xml:space="preserve">Yes, after all policy meetings, at pre-announced dates and times. The press conference with the Q&amp;A session is webcasted and the recording is then made available on the website. The presentations are available in downloadable form in English.</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6">
            <w:pPr>
              <w:ind w:right="-330"/>
              <w:jc w:val="both"/>
              <w:rPr/>
            </w:pPr>
            <w:r w:rsidDel="00000000" w:rsidR="00000000" w:rsidRPr="00000000">
              <w:rPr>
                <w:rtl w:val="0"/>
              </w:rPr>
              <w:t xml:space="preserve">1.0</w:t>
            </w:r>
          </w:p>
        </w:tc>
      </w:tr>
    </w:tbl>
    <w:p w:rsidR="00000000" w:rsidDel="00000000" w:rsidP="00000000" w:rsidRDefault="00000000" w:rsidRPr="00000000" w14:paraId="000000F7">
      <w:pPr>
        <w:ind w:right="-330"/>
        <w:jc w:val="both"/>
        <w:rPr>
          <w:b w:val="1"/>
        </w:rPr>
      </w:pPr>
      <w:r w:rsidDel="00000000" w:rsidR="00000000" w:rsidRPr="00000000">
        <w:rPr>
          <w:rtl w:val="0"/>
        </w:rPr>
      </w:r>
    </w:p>
    <w:p w:rsidR="00000000" w:rsidDel="00000000" w:rsidP="00000000" w:rsidRDefault="00000000" w:rsidRPr="00000000" w14:paraId="000000F8">
      <w:pPr>
        <w:ind w:right="-330"/>
        <w:jc w:val="both"/>
        <w:rPr>
          <w:b w:val="1"/>
        </w:rPr>
      </w:pPr>
      <w:r w:rsidDel="00000000" w:rsidR="00000000" w:rsidRPr="00000000">
        <w:rPr>
          <w:rtl w:val="0"/>
        </w:rPr>
      </w:r>
    </w:p>
    <w:p w:rsidR="00000000" w:rsidDel="00000000" w:rsidP="00000000" w:rsidRDefault="00000000" w:rsidRPr="00000000" w14:paraId="000000F9">
      <w:pPr>
        <w:ind w:right="-330"/>
        <w:jc w:val="both"/>
        <w:rPr>
          <w:b w:val="1"/>
        </w:rPr>
      </w:pPr>
      <w:r w:rsidDel="00000000" w:rsidR="00000000" w:rsidRPr="00000000">
        <w:rPr>
          <w:b w:val="1"/>
          <w:rtl w:val="0"/>
        </w:rPr>
        <w:t xml:space="preserve">C3. Does the central bank present its regular forecast updates with the Q&amp;A session to journalists, analysts, and market participants? Are the presentations available in English?</w:t>
      </w:r>
    </w:p>
    <w:tbl>
      <w:tblPr>
        <w:tblStyle w:val="Table21"/>
        <w:tblW w:w="9062.0" w:type="dxa"/>
        <w:jc w:val="left"/>
        <w:tblLayout w:type="fixed"/>
        <w:tblLook w:val="0400"/>
      </w:tblPr>
      <w:tblGrid>
        <w:gridCol w:w="8212"/>
        <w:gridCol w:w="850"/>
        <w:tblGridChange w:id="0">
          <w:tblGrid>
            <w:gridCol w:w="8212"/>
            <w:gridCol w:w="850"/>
          </w:tblGrid>
        </w:tblGridChange>
      </w:tblGrid>
      <w:tr>
        <w:trPr>
          <w:cantSplit w:val="0"/>
          <w:trHeight w:val="5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A">
            <w:pPr>
              <w:ind w:right="-330"/>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B">
            <w:pPr>
              <w:ind w:right="-330"/>
              <w:jc w:val="both"/>
              <w:rPr/>
            </w:pPr>
            <w:r w:rsidDel="00000000" w:rsidR="00000000" w:rsidRPr="00000000">
              <w:rPr>
                <w:rtl w:val="0"/>
              </w:rPr>
              <w:t xml:space="preserve">0.0</w:t>
            </w:r>
          </w:p>
        </w:tc>
      </w:tr>
      <w:tr>
        <w:trPr>
          <w:cantSplit w:val="0"/>
          <w:trHeight w:val="76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C">
            <w:pPr>
              <w:ind w:right="-330"/>
              <w:jc w:val="both"/>
              <w:rPr/>
            </w:pPr>
            <w:r w:rsidDel="00000000" w:rsidR="00000000" w:rsidRPr="00000000">
              <w:rPr>
                <w:rtl w:val="0"/>
              </w:rPr>
              <w:t xml:space="preserve">Yes. The presentation and Q&amp;A are available only in the native language.</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D">
            <w:pPr>
              <w:ind w:right="-330"/>
              <w:jc w:val="both"/>
              <w:rPr/>
            </w:pPr>
            <w:r w:rsidDel="00000000" w:rsidR="00000000" w:rsidRPr="00000000">
              <w:rPr>
                <w:rtl w:val="0"/>
              </w:rPr>
              <w:t xml:space="preserve">0.5</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E">
            <w:pPr>
              <w:ind w:right="-330"/>
              <w:jc w:val="both"/>
              <w:rPr/>
            </w:pPr>
            <w:r w:rsidDel="00000000" w:rsidR="00000000" w:rsidRPr="00000000">
              <w:rPr>
                <w:rtl w:val="0"/>
              </w:rPr>
              <w:t xml:space="preserve">Yes. The presentation and Q&amp;A are available in English.</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0FF">
            <w:pPr>
              <w:ind w:right="-330"/>
              <w:jc w:val="both"/>
              <w:rPr/>
            </w:pPr>
            <w:r w:rsidDel="00000000" w:rsidR="00000000" w:rsidRPr="00000000">
              <w:rPr>
                <w:rtl w:val="0"/>
              </w:rPr>
              <w:t xml:space="preserve">1.0</w:t>
            </w:r>
          </w:p>
        </w:tc>
      </w:tr>
    </w:tbl>
    <w:p w:rsidR="00000000" w:rsidDel="00000000" w:rsidP="00000000" w:rsidRDefault="00000000" w:rsidRPr="00000000" w14:paraId="00000100">
      <w:pPr>
        <w:ind w:right="-330"/>
        <w:jc w:val="both"/>
        <w:rPr>
          <w:b w:val="1"/>
        </w:rPr>
      </w:pPr>
      <w:r w:rsidDel="00000000" w:rsidR="00000000" w:rsidRPr="00000000">
        <w:rPr>
          <w:rtl w:val="0"/>
        </w:rPr>
      </w:r>
    </w:p>
    <w:p w:rsidR="00000000" w:rsidDel="00000000" w:rsidP="00000000" w:rsidRDefault="00000000" w:rsidRPr="00000000" w14:paraId="00000101">
      <w:pPr>
        <w:ind w:right="-330"/>
        <w:jc w:val="both"/>
        <w:rPr>
          <w:b w:val="1"/>
          <w:color w:val="000000"/>
        </w:rPr>
      </w:pPr>
      <w:r w:rsidDel="00000000" w:rsidR="00000000" w:rsidRPr="00000000">
        <w:rPr>
          <w:rtl w:val="0"/>
        </w:rPr>
      </w:r>
    </w:p>
    <w:p w:rsidR="00000000" w:rsidDel="00000000" w:rsidP="00000000" w:rsidRDefault="00000000" w:rsidRPr="00000000" w14:paraId="00000102">
      <w:pPr>
        <w:ind w:right="-330"/>
        <w:jc w:val="both"/>
        <w:rPr>
          <w:b w:val="1"/>
          <w:color w:val="000000"/>
        </w:rPr>
      </w:pPr>
      <w:r w:rsidDel="00000000" w:rsidR="00000000" w:rsidRPr="00000000">
        <w:rPr>
          <w:b w:val="1"/>
          <w:color w:val="000000"/>
          <w:rtl w:val="0"/>
        </w:rPr>
        <w:t xml:space="preserve">C4. Is there a public account of the policy deliberations (“minutes”) published in less than one month after the meeting? And are one-pagers of Board forecast submissions publicly available?</w:t>
      </w:r>
    </w:p>
    <w:tbl>
      <w:tblPr>
        <w:tblStyle w:val="Table22"/>
        <w:tblW w:w="913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22"/>
        <w:gridCol w:w="910"/>
        <w:tblGridChange w:id="0">
          <w:tblGrid>
            <w:gridCol w:w="8222"/>
            <w:gridCol w:w="910"/>
          </w:tblGrid>
        </w:tblGridChange>
      </w:tblGrid>
      <w:tr>
        <w:trPr>
          <w:cantSplit w:val="0"/>
          <w:trHeight w:val="275" w:hRule="atLeast"/>
          <w:tblHeader w:val="0"/>
        </w:trPr>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56" w:lineRule="auto"/>
              <w:ind w:left="107" w:right="0" w:firstLine="0"/>
              <w:jc w:val="center"/>
              <w:rPr>
                <w:rFonts w:ascii="Play" w:cs="Play" w:eastAsia="Play" w:hAnsi="Play"/>
                <w:b w:val="0"/>
                <w:i w:val="1"/>
                <w:smallCaps w:val="0"/>
                <w:strike w:val="0"/>
                <w:color w:val="000000"/>
                <w:sz w:val="24"/>
                <w:szCs w:val="24"/>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w:t>
              <w:tab/>
              <w:t xml:space="preserve">when policy decisions are made by a monetary policy committee</w:t>
            </w:r>
          </w:p>
        </w:tc>
      </w:tr>
      <w:tr>
        <w:trPr>
          <w:cantSplit w:val="0"/>
          <w:trHeight w:val="551"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0.00</w:t>
            </w:r>
          </w:p>
        </w:tc>
      </w:tr>
      <w:tr>
        <w:trPr>
          <w:cantSplit w:val="0"/>
          <w:trHeight w:val="554"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Yes, but condensed, non-attributed, and without voting results.</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0.50</w:t>
            </w:r>
          </w:p>
        </w:tc>
      </w:tr>
      <w:tr>
        <w:trPr>
          <w:cantSplit w:val="0"/>
          <w:trHeight w:val="827"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6"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Yes, detailed and with voting results on the main policy instrument. Contributions by individual MPC members and votes are not attributed.</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0.75</w:t>
            </w:r>
          </w:p>
        </w:tc>
      </w:tr>
      <w:tr>
        <w:trPr>
          <w:cantSplit w:val="0"/>
          <w:trHeight w:val="828"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6"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Yes, detailed and with voting results on the main policy instrument. Contributions by individual MPC members and votes are attributed.</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1.00</w:t>
            </w:r>
          </w:p>
        </w:tc>
      </w:tr>
      <w:tr>
        <w:trPr>
          <w:cantSplit w:val="0"/>
          <w:trHeight w:val="275"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56" w:lineRule="auto"/>
              <w:ind w:left="107" w:right="0" w:firstLine="0"/>
              <w:jc w:val="center"/>
              <w:rPr>
                <w:rFonts w:ascii="Play" w:cs="Play" w:eastAsia="Play" w:hAnsi="Play"/>
                <w:b w:val="0"/>
                <w:i w:val="1"/>
                <w:smallCaps w:val="0"/>
                <w:strike w:val="0"/>
                <w:color w:val="000000"/>
                <w:sz w:val="24"/>
                <w:szCs w:val="24"/>
                <w:u w:val="none"/>
                <w:shd w:fill="auto" w:val="clear"/>
                <w:vertAlign w:val="baseline"/>
              </w:rPr>
            </w:pPr>
            <w:r w:rsidDel="00000000" w:rsidR="00000000" w:rsidRPr="00000000">
              <w:rPr>
                <w:rFonts w:ascii="Play" w:cs="Play" w:eastAsia="Play" w:hAnsi="Play"/>
                <w:b w:val="0"/>
                <w:i w:val="1"/>
                <w:smallCaps w:val="0"/>
                <w:strike w:val="0"/>
                <w:color w:val="000000"/>
                <w:sz w:val="24"/>
                <w:szCs w:val="24"/>
                <w:u w:val="none"/>
                <w:shd w:fill="auto" w:val="clear"/>
                <w:vertAlign w:val="baseline"/>
                <w:rtl w:val="0"/>
              </w:rPr>
              <w:t xml:space="preserve">(ii)</w:t>
              <w:tab/>
              <w:t xml:space="preserve">when policy decisions are made by a single policymaker</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0.00</w:t>
            </w:r>
          </w:p>
        </w:tc>
      </w:tr>
      <w:tr>
        <w:trPr>
          <w:cantSplit w:val="0"/>
          <w:trHeight w:val="551"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Yes, with arguments/explanations.</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1.00</w:t>
            </w:r>
          </w:p>
        </w:tc>
      </w:tr>
      <w:tr>
        <w:trPr>
          <w:cantSplit w:val="0"/>
          <w:trHeight w:val="55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Yes, one-pagers of forecasts of all Board members are published immediately or after a certain, pre-determined date.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5" w:right="0" w:firstLine="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117">
      <w:pPr>
        <w:ind w:right="-330"/>
        <w:jc w:val="both"/>
        <w:rPr>
          <w:b w:val="1"/>
        </w:rPr>
      </w:pPr>
      <w:r w:rsidDel="00000000" w:rsidR="00000000" w:rsidRPr="00000000">
        <w:rPr>
          <w:rtl w:val="0"/>
        </w:rPr>
      </w:r>
    </w:p>
    <w:p w:rsidR="00000000" w:rsidDel="00000000" w:rsidP="00000000" w:rsidRDefault="00000000" w:rsidRPr="00000000" w14:paraId="00000118">
      <w:pPr>
        <w:ind w:right="-330"/>
        <w:jc w:val="both"/>
        <w:rPr>
          <w:b w:val="1"/>
          <w:color w:val="ff0000"/>
        </w:rPr>
      </w:pPr>
      <w:r w:rsidDel="00000000" w:rsidR="00000000" w:rsidRPr="00000000">
        <w:rPr>
          <w:b w:val="1"/>
          <w:rtl w:val="0"/>
        </w:rPr>
        <w:t xml:space="preserve">C5. Is the role of staff and policymakers in the baseline forecast process communicated clearly? </w:t>
      </w:r>
      <w:r w:rsidDel="00000000" w:rsidR="00000000" w:rsidRPr="00000000">
        <w:rPr>
          <w:rtl w:val="0"/>
        </w:rPr>
      </w:r>
    </w:p>
    <w:tbl>
      <w:tblPr>
        <w:tblStyle w:val="Table23"/>
        <w:tblW w:w="9204.0" w:type="dxa"/>
        <w:jc w:val="left"/>
        <w:tblLayout w:type="fixed"/>
        <w:tblLook w:val="0400"/>
      </w:tblPr>
      <w:tblGrid>
        <w:gridCol w:w="8212"/>
        <w:gridCol w:w="992"/>
        <w:tblGridChange w:id="0">
          <w:tblGrid>
            <w:gridCol w:w="8212"/>
            <w:gridCol w:w="992"/>
          </w:tblGrid>
        </w:tblGridChange>
      </w:tblGrid>
      <w:tr>
        <w:trPr>
          <w:cantSplit w:val="0"/>
          <w:trHeight w:val="80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9">
            <w:pPr>
              <w:ind w:right="281"/>
              <w:jc w:val="both"/>
              <w:rPr/>
            </w:pPr>
            <w:r w:rsidDel="00000000" w:rsidR="00000000" w:rsidRPr="00000000">
              <w:rPr>
                <w:rtl w:val="0"/>
              </w:rPr>
              <w:t xml:space="preserve">No. It is not clear how the forecast is constructed and is used in the decision- making process.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A">
            <w:pPr>
              <w:ind w:right="-330"/>
              <w:jc w:val="both"/>
              <w:rPr/>
            </w:pPr>
            <w:r w:rsidDel="00000000" w:rsidR="00000000" w:rsidRPr="00000000">
              <w:rPr>
                <w:rtl w:val="0"/>
              </w:rPr>
              <w:t xml:space="preserve">0.0</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B">
            <w:pPr>
              <w:ind w:right="281"/>
              <w:jc w:val="both"/>
              <w:rPr/>
            </w:pPr>
            <w:r w:rsidDel="00000000" w:rsidR="00000000" w:rsidRPr="00000000">
              <w:rPr>
                <w:rtl w:val="0"/>
              </w:rPr>
              <w:t xml:space="preserve">Yes. The ownership of the forecast and its role in the decision-making process is defined clearly.</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1C">
            <w:pPr>
              <w:ind w:right="-330"/>
              <w:jc w:val="both"/>
              <w:rPr/>
            </w:pPr>
            <w:r w:rsidDel="00000000" w:rsidR="00000000" w:rsidRPr="00000000">
              <w:rPr>
                <w:rtl w:val="0"/>
              </w:rPr>
              <w:t xml:space="preserve">1.0</w:t>
            </w:r>
          </w:p>
        </w:tc>
      </w:tr>
    </w:tbl>
    <w:p w:rsidR="00000000" w:rsidDel="00000000" w:rsidP="00000000" w:rsidRDefault="00000000" w:rsidRPr="00000000" w14:paraId="0000011D">
      <w:pPr>
        <w:ind w:right="-330"/>
        <w:jc w:val="both"/>
        <w:rPr>
          <w:b w:val="1"/>
        </w:rPr>
      </w:pPr>
      <w:r w:rsidDel="00000000" w:rsidR="00000000" w:rsidRPr="00000000">
        <w:rPr>
          <w:rtl w:val="0"/>
        </w:rPr>
      </w:r>
    </w:p>
    <w:p w:rsidR="00000000" w:rsidDel="00000000" w:rsidP="00000000" w:rsidRDefault="00000000" w:rsidRPr="00000000" w14:paraId="0000011E">
      <w:pPr>
        <w:ind w:right="-330"/>
        <w:jc w:val="both"/>
        <w:rPr>
          <w:b w:val="1"/>
          <w:color w:val="000000"/>
        </w:rPr>
      </w:pPr>
      <w:r w:rsidDel="00000000" w:rsidR="00000000" w:rsidRPr="00000000">
        <w:rPr>
          <w:b w:val="1"/>
          <w:color w:val="000000"/>
          <w:rtl w:val="0"/>
        </w:rPr>
        <w:t xml:space="preserve">C6. When was the last time the central bank or the government held or invited an external evaluation of the policy framework and the FPAS, and made the results publicly available?</w:t>
      </w:r>
    </w:p>
    <w:p w:rsidR="00000000" w:rsidDel="00000000" w:rsidP="00000000" w:rsidRDefault="00000000" w:rsidRPr="00000000" w14:paraId="0000011F">
      <w:pPr>
        <w:ind w:right="-330"/>
        <w:jc w:val="both"/>
        <w:rPr>
          <w:b w:val="1"/>
          <w:color w:val="ff0000"/>
        </w:rPr>
      </w:pPr>
      <w:r w:rsidDel="00000000" w:rsidR="00000000" w:rsidRPr="00000000">
        <w:rPr>
          <w:rtl w:val="0"/>
        </w:rPr>
      </w:r>
    </w:p>
    <w:tbl>
      <w:tblPr>
        <w:tblStyle w:val="Table24"/>
        <w:tblW w:w="9346.0" w:type="dxa"/>
        <w:jc w:val="left"/>
        <w:tblLayout w:type="fixed"/>
        <w:tblLook w:val="0400"/>
      </w:tblPr>
      <w:tblGrid>
        <w:gridCol w:w="8212"/>
        <w:gridCol w:w="1134"/>
        <w:tblGridChange w:id="0">
          <w:tblGrid>
            <w:gridCol w:w="8212"/>
            <w:gridCol w:w="1134"/>
          </w:tblGrid>
        </w:tblGridChange>
      </w:tblGrid>
      <w:tr>
        <w:trPr>
          <w:cantSplit w:val="0"/>
          <w:trHeight w:val="36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0">
            <w:pPr>
              <w:ind w:right="-330"/>
              <w:jc w:val="both"/>
              <w:rPr/>
            </w:pPr>
            <w:r w:rsidDel="00000000" w:rsidR="00000000" w:rsidRPr="00000000">
              <w:rPr>
                <w:rtl w:val="0"/>
              </w:rPr>
              <w:t xml:space="preserve">No evaluation in last 5 years.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1">
            <w:pPr>
              <w:ind w:right="-330"/>
              <w:jc w:val="both"/>
              <w:rPr/>
            </w:pPr>
            <w:r w:rsidDel="00000000" w:rsidR="00000000" w:rsidRPr="00000000">
              <w:rPr>
                <w:rtl w:val="0"/>
              </w:rPr>
              <w:t xml:space="preserve">0.0</w:t>
            </w:r>
          </w:p>
        </w:tc>
      </w:tr>
      <w:tr>
        <w:trPr>
          <w:cantSplit w:val="0"/>
          <w:trHeight w:val="56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2">
            <w:pPr>
              <w:ind w:right="-330"/>
              <w:jc w:val="both"/>
              <w:rPr/>
            </w:pPr>
            <w:r w:rsidDel="00000000" w:rsidR="00000000" w:rsidRPr="00000000">
              <w:rPr>
                <w:rtl w:val="0"/>
              </w:rPr>
              <w:t xml:space="preserve">Either policy framework or FPAS evaluation in the last 5 years.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3">
            <w:pPr>
              <w:ind w:right="-330"/>
              <w:jc w:val="both"/>
              <w:rPr/>
            </w:pPr>
            <w:r w:rsidDel="00000000" w:rsidR="00000000" w:rsidRPr="00000000">
              <w:rPr>
                <w:rtl w:val="0"/>
              </w:rPr>
              <w:t xml:space="preserve">0.5</w:t>
            </w:r>
          </w:p>
        </w:tc>
      </w:tr>
      <w:tr>
        <w:trPr>
          <w:cantSplit w:val="0"/>
          <w:trHeight w:val="4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4">
            <w:pPr>
              <w:ind w:right="-330"/>
              <w:jc w:val="both"/>
              <w:rPr/>
            </w:pPr>
            <w:r w:rsidDel="00000000" w:rsidR="00000000" w:rsidRPr="00000000">
              <w:rPr>
                <w:rtl w:val="0"/>
              </w:rPr>
              <w:t xml:space="preserve">Both policy framework and FPAS evaluation in the last 5 years.</w:t>
            </w:r>
          </w:p>
        </w:tc>
        <w:tc>
          <w:tcPr>
            <w:tcBorders>
              <w:top w:color="000000" w:space="0" w:sz="8" w:val="single"/>
              <w:left w:color="000000" w:space="0" w:sz="8" w:val="single"/>
              <w:bottom w:color="000000" w:space="0" w:sz="8" w:val="single"/>
              <w:right w:color="000000" w:space="0" w:sz="8" w:val="single"/>
            </w:tcBorders>
            <w:shd w:fill="auto" w:val="clear"/>
            <w:tcMar>
              <w:top w:w="72.0" w:type="dxa"/>
              <w:left w:w="144.0" w:type="dxa"/>
              <w:bottom w:w="72.0" w:type="dxa"/>
              <w:right w:w="144.0" w:type="dxa"/>
            </w:tcMar>
          </w:tcPr>
          <w:p w:rsidR="00000000" w:rsidDel="00000000" w:rsidP="00000000" w:rsidRDefault="00000000" w:rsidRPr="00000000" w14:paraId="00000125">
            <w:pPr>
              <w:ind w:right="-330"/>
              <w:jc w:val="both"/>
              <w:rPr/>
            </w:pPr>
            <w:r w:rsidDel="00000000" w:rsidR="00000000" w:rsidRPr="00000000">
              <w:rPr>
                <w:rtl w:val="0"/>
              </w:rPr>
              <w:t xml:space="preserve">1.0</w:t>
            </w:r>
          </w:p>
        </w:tc>
      </w:tr>
    </w:tbl>
    <w:p w:rsidR="00000000" w:rsidDel="00000000" w:rsidP="00000000" w:rsidRDefault="00000000" w:rsidRPr="00000000" w14:paraId="00000126">
      <w:pPr>
        <w:ind w:right="-330"/>
        <w:jc w:val="both"/>
        <w:rPr>
          <w:b w:val="1"/>
          <w:color w:val="ff0000"/>
        </w:rPr>
      </w:pPr>
      <w:r w:rsidDel="00000000" w:rsidR="00000000" w:rsidRPr="00000000">
        <w:rPr>
          <w:rtl w:val="0"/>
        </w:rPr>
      </w:r>
    </w:p>
    <w:sectPr>
      <w:pgSz w:h="16838" w:w="11906" w:orient="portrait"/>
      <w:pgMar w:bottom="993"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C18B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C18B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C18B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C18B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C18B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C18B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C18B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C18B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C18B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C18B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C18B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C18B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C18B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C18B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C18B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C18B9"/>
    <w:rPr>
      <w:i w:val="1"/>
      <w:iCs w:val="1"/>
      <w:color w:val="404040" w:themeColor="text1" w:themeTint="0000BF"/>
    </w:rPr>
  </w:style>
  <w:style w:type="paragraph" w:styleId="ListParagraph">
    <w:name w:val="List Paragraph"/>
    <w:basedOn w:val="Normal"/>
    <w:uiPriority w:val="34"/>
    <w:qFormat w:val="1"/>
    <w:rsid w:val="008C18B9"/>
    <w:pPr>
      <w:ind w:left="720"/>
      <w:contextualSpacing w:val="1"/>
    </w:pPr>
  </w:style>
  <w:style w:type="character" w:styleId="IntenseEmphasis">
    <w:name w:val="Intense Emphasis"/>
    <w:basedOn w:val="DefaultParagraphFont"/>
    <w:uiPriority w:val="21"/>
    <w:qFormat w:val="1"/>
    <w:rsid w:val="008C18B9"/>
    <w:rPr>
      <w:i w:val="1"/>
      <w:iCs w:val="1"/>
      <w:color w:val="0f4761" w:themeColor="accent1" w:themeShade="0000BF"/>
    </w:rPr>
  </w:style>
  <w:style w:type="paragraph" w:styleId="IntenseQuote">
    <w:name w:val="Intense Quote"/>
    <w:basedOn w:val="Normal"/>
    <w:next w:val="Normal"/>
    <w:link w:val="IntenseQuoteChar"/>
    <w:uiPriority w:val="30"/>
    <w:qFormat w:val="1"/>
    <w:rsid w:val="008C18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C18B9"/>
    <w:rPr>
      <w:i w:val="1"/>
      <w:iCs w:val="1"/>
      <w:color w:val="0f4761" w:themeColor="accent1" w:themeShade="0000BF"/>
    </w:rPr>
  </w:style>
  <w:style w:type="character" w:styleId="IntenseReference">
    <w:name w:val="Intense Reference"/>
    <w:basedOn w:val="DefaultParagraphFont"/>
    <w:uiPriority w:val="32"/>
    <w:qFormat w:val="1"/>
    <w:rsid w:val="008C18B9"/>
    <w:rPr>
      <w:b w:val="1"/>
      <w:bCs w:val="1"/>
      <w:smallCaps w:val="1"/>
      <w:color w:val="0f4761" w:themeColor="accent1" w:themeShade="0000BF"/>
      <w:spacing w:val="5"/>
    </w:rPr>
  </w:style>
  <w:style w:type="paragraph" w:styleId="TableParagraph" w:customStyle="1">
    <w:name w:val="Table Paragraph"/>
    <w:basedOn w:val="Normal"/>
    <w:uiPriority w:val="1"/>
    <w:qFormat w:val="1"/>
    <w:rsid w:val="00661ED0"/>
    <w:pPr>
      <w:widowControl w:val="0"/>
      <w:autoSpaceDE w:val="0"/>
      <w:autoSpaceDN w:val="0"/>
      <w:spacing w:after="0" w:line="275" w:lineRule="exact"/>
      <w:ind w:left="107"/>
    </w:pPr>
    <w:rPr>
      <w:rFonts w:ascii="Times New Roman" w:cs="Times New Roman" w:eastAsia="Times New Roman" w:hAnsi="Times New Roman"/>
      <w:kern w:val="0"/>
      <w:sz w:val="22"/>
      <w:szCs w:val="22"/>
      <w:lang w:eastAsia="en-US" w:val="en-US"/>
    </w:rPr>
  </w:style>
  <w:style w:type="table" w:styleId="TableGrid">
    <w:name w:val="Table Grid"/>
    <w:basedOn w:val="TableNormal"/>
    <w:uiPriority w:val="39"/>
    <w:rsid w:val="009549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3chcv2oHle6c+73kkrdnE3dhA==">CgMxLjA4AHIhMVp3NWxKYTNwVjhiV1dkOThWY2ZTWV9TcFE5THFDaTZo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2025-01-09T20:30:00Z</dcterms:created>
  <dc:creator>Asya Kostanyan</dc:creator>
</cp:coreProperties>
</file>