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19 – Decision-Making Transparency and Individual Accountability</w:t>
      </w:r>
    </w:p>
    <w:p>
      <w:pPr>
        <w:pStyle w:val="Heading2"/>
      </w:pPr>
      <w:r>
        <w:t>Economist Note – Video 19: Decision-Making Transparency and Individual Accountability</w:t>
      </w:r>
    </w:p>
    <w:p>
      <w:pPr>
        <w:pStyle w:val="Heading3"/>
      </w:pPr>
      <w:r>
        <w:t>Introduction</w:t>
      </w:r>
    </w:p>
    <w:p>
      <w:r>
        <w:t>Decision-making transparency is a defining feature of FPAS Mark II.</w:t>
      </w:r>
    </w:p>
    <w:p>
      <w:r>
        <w:t>It strengthens credibility by showing how individual policymakers interpret risks,</w:t>
      </w:r>
    </w:p>
    <w:p>
      <w:r>
        <w:t>how they apply the least‑regrets mindset, and how their votes shape policy outcomes.</w:t>
      </w:r>
    </w:p>
    <w:p>
      <w:r>
        <w:t>For the Central Bank of Armenia, institutionalizing decision‑making transparency and</w:t>
      </w:r>
    </w:p>
    <w:p>
      <w:r>
        <w:t>individual accountability marks a major step toward world‑class standards in monetary policy governance.</w:t>
      </w:r>
    </w:p>
    <w:p>
      <w:pPr>
        <w:pStyle w:val="Heading3"/>
      </w:pPr>
      <w:r>
        <w:t>1. Why Individual Accountability Matters</w:t>
      </w:r>
    </w:p>
    <w:p>
      <w:r>
        <w:t>Under FPAS Mark II, accountability is not limited to the institution—it extends to</w:t>
      </w:r>
    </w:p>
    <w:p>
      <w:r>
        <w:t>individual Board members. Accountability builds trust because it allows the public to see:</w:t>
      </w:r>
    </w:p>
    <w:p>
      <w:r>
        <w:t>• Who supported what decision</w:t>
      </w:r>
    </w:p>
    <w:p>
      <w:r>
        <w:t>• Why they supported it</w:t>
      </w:r>
    </w:p>
    <w:p>
      <w:r>
        <w:t>• How their reasoning fits within the FPAS Mark II framework</w:t>
      </w:r>
    </w:p>
    <w:p/>
    <w:p>
      <w:r>
        <w:t>Clear accountability incentivizes disciplined analysis, transparency in reasoning, and</w:t>
      </w:r>
    </w:p>
    <w:p>
      <w:r>
        <w:t>coherence in policy communication. It reinforces credibility by showing that decisions are</w:t>
      </w:r>
    </w:p>
    <w:p>
      <w:r>
        <w:t>made thoughtfully and consistently with the Bank’s mandate.</w:t>
      </w:r>
    </w:p>
    <w:p>
      <w:pPr>
        <w:pStyle w:val="Heading3"/>
      </w:pPr>
      <w:r>
        <w:t>2. Attributed Minutes and Individual Votes</w:t>
      </w:r>
    </w:p>
    <w:p>
      <w:r>
        <w:t>One of the most important innovations in FPAS Mark II is the publication of attributed</w:t>
      </w:r>
    </w:p>
    <w:p>
      <w:r>
        <w:t>minutes. Each Board member’s vote is recorded along with a brief explanation of their reasoning.</w:t>
      </w:r>
    </w:p>
    <w:p/>
    <w:p>
      <w:r>
        <w:t>This level of transparency is exceptional globally. It enhances:</w:t>
      </w:r>
    </w:p>
    <w:p>
      <w:r>
        <w:t>• Democratic legitimacy</w:t>
      </w:r>
    </w:p>
    <w:p>
      <w:r>
        <w:t>• Public and market understanding</w:t>
      </w:r>
    </w:p>
    <w:p>
      <w:r>
        <w:t>• Policy predictability</w:t>
      </w:r>
    </w:p>
    <w:p>
      <w:r>
        <w:t>• Trust in the decision‑making process</w:t>
      </w:r>
    </w:p>
    <w:p/>
    <w:p>
      <w:r>
        <w:t>Attributed minutes reveal not only the final decision, but the differing interpretations of</w:t>
      </w:r>
    </w:p>
    <w:p>
      <w:r>
        <w:t>risks and scenarios among Board members—providing insight into the uncertainty behind each round.</w:t>
      </w:r>
    </w:p>
    <w:p>
      <w:pPr>
        <w:pStyle w:val="Heading3"/>
      </w:pPr>
      <w:r>
        <w:t>3. Explaining Disagreement Under Uncertainty</w:t>
      </w:r>
    </w:p>
    <w:p>
      <w:r>
        <w:t>FPAS Mark II treats disagreement not as a weakness but as a strength.</w:t>
      </w:r>
    </w:p>
    <w:p>
      <w:r>
        <w:t>When Board members interpret risks differently, their perspectives help refine the</w:t>
      </w:r>
    </w:p>
    <w:p>
      <w:r>
        <w:t>institution’s understanding of uncertainty.</w:t>
      </w:r>
    </w:p>
    <w:p/>
    <w:p>
      <w:r>
        <w:t>The framework encourages:</w:t>
      </w:r>
    </w:p>
    <w:p>
      <w:r>
        <w:t>• Reasoned disagreement</w:t>
      </w:r>
    </w:p>
    <w:p>
      <w:r>
        <w:t>• Openness to alternative scenarios</w:t>
      </w:r>
    </w:p>
    <w:p>
      <w:r>
        <w:t>• Clarification of asymmetric risks</w:t>
      </w:r>
    </w:p>
    <w:p>
      <w:r>
        <w:t>• Discipline in explaining judgments</w:t>
      </w:r>
    </w:p>
    <w:p/>
    <w:p>
      <w:r>
        <w:t>Individual accountability allows the public to see these differences without undermining</w:t>
      </w:r>
    </w:p>
    <w:p>
      <w:r>
        <w:t>the unity of the institution’s final decision.</w:t>
      </w:r>
    </w:p>
    <w:p>
      <w:pPr>
        <w:pStyle w:val="Heading3"/>
      </w:pPr>
      <w:r>
        <w:t>4. Publication Timelines and Transparency Discipline</w:t>
      </w:r>
    </w:p>
    <w:p>
      <w:r>
        <w:t>FPAS Mark II includes strict timelines for publishing:</w:t>
      </w:r>
    </w:p>
    <w:p>
      <w:r>
        <w:t>• Executive Statement</w:t>
      </w:r>
    </w:p>
    <w:p>
      <w:r>
        <w:t>• Attributed minutes</w:t>
      </w:r>
    </w:p>
    <w:p>
      <w:r>
        <w:t>• Monetary Policy Report</w:t>
      </w:r>
    </w:p>
    <w:p>
      <w:r>
        <w:t>• Supporting analytical materials</w:t>
      </w:r>
    </w:p>
    <w:p/>
    <w:p>
      <w:r>
        <w:t>Timeliness reinforces credibility. Delayed communication creates uncertainty and weakens</w:t>
      </w:r>
    </w:p>
    <w:p>
      <w:r>
        <w:t>policy transmission. The structured timing ensures that the public receives information</w:t>
      </w:r>
    </w:p>
    <w:p>
      <w:r>
        <w:t>consistently and predictably, without room for speculation.</w:t>
      </w:r>
    </w:p>
    <w:p>
      <w:pPr>
        <w:pStyle w:val="Heading3"/>
      </w:pPr>
      <w:r>
        <w:t>5. Preventing Discretion Through Openness</w:t>
      </w:r>
    </w:p>
    <w:p>
      <w:r>
        <w:t>Individual accountability limits arbitrary decision‑making.</w:t>
      </w:r>
    </w:p>
    <w:p>
      <w:r>
        <w:t>When Board members know their reasoning will be publicly available, policy discussions</w:t>
      </w:r>
    </w:p>
    <w:p>
      <w:r>
        <w:t>become more disciplined, evidence‑based, and aligned with the FPAS Mark II framework.</w:t>
      </w:r>
    </w:p>
    <w:p/>
    <w:p>
      <w:r>
        <w:t>Transparency reduces:</w:t>
      </w:r>
    </w:p>
    <w:p>
      <w:r>
        <w:t>• Political pressure</w:t>
      </w:r>
    </w:p>
    <w:p>
      <w:r>
        <w:t>• Hidden biases</w:t>
      </w:r>
    </w:p>
    <w:p>
      <w:r>
        <w:t>• Excessive reliance on unstructured judgment</w:t>
      </w:r>
    </w:p>
    <w:p>
      <w:r>
        <w:t>• Discretionary deviations from the analytical system</w:t>
      </w:r>
    </w:p>
    <w:p/>
    <w:p>
      <w:r>
        <w:t>It promotes a culture in which decisions are supported by coherent reasoning and</w:t>
      </w:r>
    </w:p>
    <w:p>
      <w:r>
        <w:t>scenario‑based analysis.</w:t>
      </w:r>
    </w:p>
    <w:p>
      <w:pPr>
        <w:pStyle w:val="Heading3"/>
      </w:pPr>
      <w:r>
        <w:t>Conclusion</w:t>
      </w:r>
    </w:p>
    <w:p>
      <w:r>
        <w:t>Decision‑making transparency and individual accountability form a cornerstone of FPAS Mark II.</w:t>
      </w:r>
    </w:p>
    <w:p>
      <w:r>
        <w:t>By publishing votes, explanations, and minutes, the Central Bank of Armenia demonstrates</w:t>
      </w:r>
    </w:p>
    <w:p>
      <w:r>
        <w:t>its commitment to openness, disciplined reasoning, and credible policymaking under uncertainty.</w:t>
      </w:r>
    </w:p>
    <w:p>
      <w:r>
        <w:t>This strengthens trust, anchors expectations, and enhances the effectiveness of monetary policy.</w:t>
      </w:r>
    </w:p>
    <w:p>
      <w:pPr>
        <w:pStyle w:val="Heading2"/>
      </w:pPr>
      <w:r>
        <w:t>References</w:t>
      </w:r>
    </w:p>
    <w:p>
      <w:r>
        <w:t>Laxton, D., Galstyan, M., &amp; Avagyan, V. (eds.) (2023). *Forecasting and Policy Analysis System Mark II.* Better Policy Project.</w:t>
      </w:r>
    </w:p>
    <w:p>
      <w:r>
        <w:t>Freedman, C., &amp; Laxton, D. (2009). *Why Inflation Targeting?* IMF Working Paper 09/86.</w:t>
      </w:r>
    </w:p>
    <w:p>
      <w:r>
        <w:t>Debelle, G., &amp; Laxton, D. (1996). *Is the Phillips Curve Really a Curve?* IMF Working Paper 96/37.</w:t>
      </w:r>
    </w:p>
    <w:p>
      <w:pPr>
        <w:pStyle w:val="Heading2"/>
      </w:pPr>
      <w:r>
        <w:t>Video Script</w:t>
      </w:r>
    </w:p>
    <w:p>
      <w:r>
        <w:t>Hello, my name is Susik. I’m a Level One student at the Global Forecasting School and an economist at the Central Bank of Armenia.</w:t>
      </w:r>
    </w:p>
    <w:p>
      <w:r>
        <w:t>In this video, we explore how FPAS Mark II strengthens policy credibility through decision‑making transparency and individual accountability.</w:t>
      </w:r>
    </w:p>
    <w:p>
      <w:r>
        <w:t>Under FPAS Mark II, individual Board members’ votes and explanations are published through attributed minutes. This level of openness is exceptional globally.</w:t>
      </w:r>
    </w:p>
    <w:p>
      <w:r>
        <w:t>Transparency helps the public and markets understand how each Board member interprets risks, evaluates scenarios, and applies the least‑regrets mindset.</w:t>
      </w:r>
    </w:p>
    <w:p>
      <w:r>
        <w:t>Disagreement is expected under uncertainty—and under FPAS Mark II, it becomes a strength. It provides insight into alternative risk assessments and supports better decisions.</w:t>
      </w:r>
    </w:p>
    <w:p>
      <w:r>
        <w:t>Strict publication timelines for the Executive Statement, minutes, and the Monetary Policy Report reinforce predictable communication and discourage speculation.</w:t>
      </w:r>
    </w:p>
    <w:p>
      <w:r>
        <w:t>By making individual reasoning public, the Central Bank limits discretion and strengthens discipline in both analysis and communication.</w:t>
      </w:r>
    </w:p>
    <w:p>
      <w:r>
        <w:t>Decision‑making transparency ensures that policy remains credible, accountable, and aligned with FPAS Mark II standards.</w:t>
      </w:r>
    </w:p>
    <w:p>
      <w:r>
        <w:t>I would like to thank Douglas Laxton, Jared Laxton, Asya Kostanyan, and Sophio for their guidance and support in helping me prepare this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