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20 – The Accountability Framework</w:t>
      </w:r>
    </w:p>
    <w:p>
      <w:pPr>
        <w:pStyle w:val="Heading2"/>
      </w:pPr>
      <w:r>
        <w:t>Economist Note – Video 20: The Accountability Framework</w:t>
      </w:r>
    </w:p>
    <w:p>
      <w:pPr>
        <w:pStyle w:val="Heading3"/>
      </w:pPr>
      <w:r>
        <w:t>Introduction</w:t>
      </w:r>
    </w:p>
    <w:p>
      <w:r>
        <w:t>Accountability is a defining feature of FPAS Mark II.</w:t>
      </w:r>
    </w:p>
    <w:p>
      <w:r>
        <w:t>It ensures that monetary policy decisions are transparent, disciplined,</w:t>
      </w:r>
    </w:p>
    <w:p>
      <w:r>
        <w:t>and aligned with the mandate of price stability.</w:t>
      </w:r>
    </w:p>
    <w:p>
      <w:r>
        <w:t>The Accountability Framework gives structure to how the Central Bank of Armenia evaluates</w:t>
      </w:r>
    </w:p>
    <w:p>
      <w:r>
        <w:t>policy outcomes, reviews internal processes, and communicates results to the public.</w:t>
      </w:r>
    </w:p>
    <w:p>
      <w:pPr>
        <w:pStyle w:val="Heading3"/>
      </w:pPr>
      <w:r>
        <w:t>1. Purpose of the Accountability Framework</w:t>
      </w:r>
    </w:p>
    <w:p>
      <w:r>
        <w:t>Accountability reinforces credibility by demonstrating that:</w:t>
      </w:r>
    </w:p>
    <w:p>
      <w:r>
        <w:t>• Decisions are evaluated against clear objectives</w:t>
      </w:r>
    </w:p>
    <w:p>
      <w:r>
        <w:t>• Mistakes are acknowledged and addressed</w:t>
      </w:r>
    </w:p>
    <w:p>
      <w:r>
        <w:t>• Processes improve over time</w:t>
      </w:r>
    </w:p>
    <w:p>
      <w:r>
        <w:t>Under FPAS Mark II, accountability is continuous, not episodic.</w:t>
      </w:r>
    </w:p>
    <w:p>
      <w:r>
        <w:t>It is built directly into the 29‑day policy cycle and the institutional communication strategy.</w:t>
      </w:r>
    </w:p>
    <w:p>
      <w:pPr>
        <w:pStyle w:val="Heading3"/>
      </w:pPr>
      <w:r>
        <w:t>2. Measuring Policy Outcomes Against Objectives</w:t>
      </w:r>
    </w:p>
    <w:p>
      <w:r>
        <w:t>Policy success is assessed against:</w:t>
      </w:r>
    </w:p>
    <w:p>
      <w:r>
        <w:t>• Inflation developments relative to the target</w:t>
      </w:r>
    </w:p>
    <w:p>
      <w:r>
        <w:t>• Measures of underlying inflation</w:t>
      </w:r>
    </w:p>
    <w:p>
      <w:r>
        <w:t>• Economic slack and labor market indicators</w:t>
      </w:r>
    </w:p>
    <w:p>
      <w:r>
        <w:t>• Financial stability metrics</w:t>
      </w:r>
    </w:p>
    <w:p>
      <w:r>
        <w:t>• External and geopolitical risks</w:t>
      </w:r>
    </w:p>
    <w:p>
      <w:r>
        <w:t>FPAS Mark II emphasizes evaluating outcomes within an uncertainty-aware, least-regrets framework,</w:t>
      </w:r>
    </w:p>
    <w:p>
      <w:r>
        <w:t>avoiding rigid scorekeeping while maintaining transparency.</w:t>
      </w:r>
    </w:p>
    <w:p>
      <w:pPr>
        <w:pStyle w:val="Heading3"/>
      </w:pPr>
      <w:r>
        <w:t>3. Internal Review Mechanisms</w:t>
      </w:r>
    </w:p>
    <w:p>
      <w:r>
        <w:t>Internal accountability is strengthened through:</w:t>
      </w:r>
    </w:p>
    <w:p>
      <w:r>
        <w:t>• Post‑round reviews</w:t>
      </w:r>
    </w:p>
    <w:p>
      <w:r>
        <w:t>• Forecast performance assessment</w:t>
      </w:r>
    </w:p>
    <w:p>
      <w:r>
        <w:t>• Scenario effectiveness evaluations</w:t>
      </w:r>
    </w:p>
    <w:p>
      <w:r>
        <w:t>• Credibility and expectations analysis</w:t>
      </w:r>
    </w:p>
    <w:p>
      <w:r>
        <w:t>• Communication quality checks</w:t>
      </w:r>
    </w:p>
    <w:p>
      <w:r>
        <w:t>These reviews build institutional memory and reinforce learning across policy rounds.</w:t>
      </w:r>
    </w:p>
    <w:p>
      <w:pPr>
        <w:pStyle w:val="Heading3"/>
      </w:pPr>
      <w:r>
        <w:t>4. External Review and Public Accountability</w:t>
      </w:r>
    </w:p>
    <w:p>
      <w:r>
        <w:t>Transparency also requires external accountability.</w:t>
      </w:r>
    </w:p>
    <w:p>
      <w:r>
        <w:t>This includes:</w:t>
      </w:r>
    </w:p>
    <w:p>
      <w:r>
        <w:t>• Publication of the Monetary Policy Report</w:t>
      </w:r>
    </w:p>
    <w:p>
      <w:r>
        <w:t>• Executive Statement</w:t>
      </w:r>
    </w:p>
    <w:p>
      <w:r>
        <w:t>• Attributed minutes</w:t>
      </w:r>
    </w:p>
    <w:p>
      <w:r>
        <w:t>• Press conferences</w:t>
      </w:r>
    </w:p>
    <w:p>
      <w:r>
        <w:t>• Annual reviews</w:t>
      </w:r>
    </w:p>
    <w:p>
      <w:r>
        <w:t>External accountability reinforces democratic legitimacy and allows experts, analysts,</w:t>
      </w:r>
    </w:p>
    <w:p>
      <w:r>
        <w:t>and the public to scrutinize policy decisions under FPAS Mark II.</w:t>
      </w:r>
    </w:p>
    <w:p>
      <w:pPr>
        <w:pStyle w:val="Heading3"/>
      </w:pPr>
      <w:r>
        <w:t>5. Embedding Accountability in Institutional Culture</w:t>
      </w:r>
    </w:p>
    <w:p>
      <w:r>
        <w:t>Accountability is not merely procedural—it is cultural.</w:t>
      </w:r>
    </w:p>
    <w:p>
      <w:r>
        <w:t>FPAS Mark II promotes:</w:t>
      </w:r>
    </w:p>
    <w:p>
      <w:r>
        <w:t>• Humility in decision-making</w:t>
      </w:r>
    </w:p>
    <w:p>
      <w:r>
        <w:t>• Openness about uncertainty</w:t>
      </w:r>
    </w:p>
    <w:p>
      <w:r>
        <w:t>• Willingness to revise assessments</w:t>
      </w:r>
    </w:p>
    <w:p>
      <w:r>
        <w:t>• Clear communication of risks</w:t>
      </w:r>
    </w:p>
    <w:p>
      <w:r>
        <w:t>This culture ensures that accountability becomes a source of strength rather than constraint.</w:t>
      </w:r>
    </w:p>
    <w:p>
      <w:pPr>
        <w:pStyle w:val="Heading3"/>
      </w:pPr>
      <w:r>
        <w:t>Conclusion</w:t>
      </w:r>
    </w:p>
    <w:p>
      <w:r>
        <w:t>The Accountability Framework of FPAS Mark II ensures that the Central Bank of Armenia</w:t>
      </w:r>
    </w:p>
    <w:p>
      <w:r>
        <w:t>remains transparent, credible, and aligned with its mandate.</w:t>
      </w:r>
    </w:p>
    <w:p>
      <w:r>
        <w:t>By integrating accountability into analysis, communication, and institutional learning,</w:t>
      </w:r>
    </w:p>
    <w:p>
      <w:r>
        <w:t>the Bank strengthens public trust and enhances policy effectiveness.</w:t>
      </w:r>
    </w:p>
    <w:p>
      <w:pPr>
        <w:pStyle w:val="Heading2"/>
      </w:pPr>
      <w:r>
        <w:t>References</w:t>
      </w:r>
    </w:p>
    <w:p>
      <w:r>
        <w:t>Laxton, D., Galstyan, M., &amp; Avagyan, V. (eds.) (2023). Forecasting and Policy Analysis System Mark II. Better Policy Project.</w:t>
      </w:r>
    </w:p>
    <w:p>
      <w:r>
        <w:t>Freedman, C., &amp; Laxton, D. (2009). Why Inflation Targeting? IMF Working Paper 09/86.</w:t>
      </w:r>
    </w:p>
    <w:p>
      <w:pPr>
        <w:pStyle w:val="Heading2"/>
      </w:pPr>
      <w:r>
        <w:t>Video Script</w:t>
      </w:r>
    </w:p>
    <w:p>
      <w:r>
        <w:t>Hello, my name is Susik. I’m a Level One student at the Global Forecasting School and an economist at the Central Bank of Armenia.</w:t>
      </w:r>
    </w:p>
    <w:p>
      <w:r>
        <w:t>In today’s video, we explore how FPAS Mark II strengthens credibility through a robust Accountability Framework.</w:t>
      </w:r>
    </w:p>
    <w:p>
      <w:r>
        <w:t>Accountability ensures that every policy decision is evaluated against the mandate of price stability and the risks identified during the policy round.</w:t>
      </w:r>
    </w:p>
    <w:p>
      <w:r>
        <w:t>FPAS Mark II uses post‑round reviews, scenario evaluations, and communication assessments to build institutional learning.</w:t>
      </w:r>
    </w:p>
    <w:p>
      <w:r>
        <w:t>Public accountability is reinforced through the Monetary Policy Report, attributed minutes, press conferences, and the Executive Statement.</w:t>
      </w:r>
    </w:p>
    <w:p>
      <w:r>
        <w:t>This transparency helps the public understand not only what we decided, but why we made those decisions under uncertainty.</w:t>
      </w:r>
    </w:p>
    <w:p>
      <w:r>
        <w:t>By embedding accountability into every stage of the policy cycle, the Central Bank strengthens credibility and supports anchored expectations.</w:t>
      </w:r>
    </w:p>
    <w:p>
      <w:r>
        <w:t>I would like to thank Douglas Laxton, Jared Laxton, Asya Kostanyan, and Sophio for their guidance and support in helping me prepare this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