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15 – Dynamic Learning and Human Capital Development</w:t>
      </w:r>
    </w:p>
    <w:p>
      <w:pPr>
        <w:pStyle w:val="Heading2"/>
      </w:pPr>
      <w:r>
        <w:t>Economist Note – Video 15: Dynamic Learning and Human Capital Development</w:t>
      </w:r>
    </w:p>
    <w:p>
      <w:pPr>
        <w:pStyle w:val="Heading3"/>
      </w:pPr>
      <w:r>
        <w:t>Introduction</w:t>
      </w:r>
    </w:p>
    <w:p>
      <w:r>
        <w:t>FPAS Mark II transforms not only the analytical framework of monetary policy but also</w:t>
      </w:r>
    </w:p>
    <w:p>
      <w:r>
        <w:t>the institutional processes through which policymakers learn, collaborate, and develop expertise.</w:t>
      </w:r>
    </w:p>
    <w:p>
      <w:r>
        <w:t>For a small open economy like Armenia, where uncertainty is persistent and shocks originate</w:t>
      </w:r>
    </w:p>
    <w:p>
      <w:r>
        <w:t>from multiple external sources, human capital becomes a core pillar of the monetary policy</w:t>
      </w:r>
    </w:p>
    <w:p>
      <w:r>
        <w:t>framework. The FPAS Mark II manual emphasizes that disciplined learning is central to sustaining</w:t>
      </w:r>
    </w:p>
    <w:p>
      <w:r>
        <w:t>credibility, strengthening judgment, and improving the quality of policy decisions over time.</w:t>
      </w:r>
    </w:p>
    <w:p/>
    <w:p>
      <w:r>
        <w:t>This video explores how dynamic learning, rotation systems, internal training routines, and</w:t>
      </w:r>
    </w:p>
    <w:p>
      <w:r>
        <w:t>continuous feedback loops enable the Central Bank of Armenia to operate as a modern</w:t>
      </w:r>
    </w:p>
    <w:p>
      <w:r>
        <w:t>learning institution.</w:t>
      </w:r>
    </w:p>
    <w:p>
      <w:pPr>
        <w:pStyle w:val="Heading3"/>
      </w:pPr>
      <w:r>
        <w:t>1. Human Capital as a Core Component of FPAS Mark II</w:t>
      </w:r>
    </w:p>
    <w:p>
      <w:r>
        <w:t>Under FPAS Mark II, analytical tools and models are only as effective as the people</w:t>
      </w:r>
    </w:p>
    <w:p>
      <w:r>
        <w:t>who use them. The manual stresses that credibility comes not only from correct decisions but</w:t>
      </w:r>
    </w:p>
    <w:p>
      <w:r>
        <w:t>from the institution’s demonstrated ability to learn and improve. This requires staff who can</w:t>
      </w:r>
    </w:p>
    <w:p>
      <w:r>
        <w:t>integrate modeling results, scenario analysis, financial data, and judgment-based narratives—</w:t>
      </w:r>
    </w:p>
    <w:p>
      <w:r>
        <w:t>a skillset developed over time through structured learning.</w:t>
      </w:r>
    </w:p>
    <w:p/>
    <w:p>
      <w:r>
        <w:t>FPAS Mark II positions human capital as a macroeconomic asset. Staff skills determine</w:t>
      </w:r>
    </w:p>
    <w:p>
      <w:r>
        <w:t>whether the institution can correctly diagnose risks, interpret uncertainty, and support</w:t>
      </w:r>
    </w:p>
    <w:p>
      <w:r>
        <w:t>least-regrets decisions.</w:t>
      </w:r>
    </w:p>
    <w:p>
      <w:pPr>
        <w:pStyle w:val="Heading3"/>
      </w:pPr>
      <w:r>
        <w:t>2. Continuous Learning and Institutional Memory</w:t>
      </w:r>
    </w:p>
    <w:p>
      <w:r>
        <w:t>The Mark II framework embeds learning directly into the policy cycle. After each round,</w:t>
      </w:r>
    </w:p>
    <w:p>
      <w:r>
        <w:t>teams conduct post-mortems assessing forecast accuracy, scenario usefulness, communication</w:t>
      </w:r>
    </w:p>
    <w:p>
      <w:r>
        <w:t>effectiveness, and risk interpretation. This ensures that lessons are carried into the next cycle,</w:t>
      </w:r>
    </w:p>
    <w:p>
      <w:r>
        <w:t>creating an institutional memory.</w:t>
      </w:r>
    </w:p>
    <w:p/>
    <w:p>
      <w:r>
        <w:t>The manual underscores that central banks cannot avoid mistakes—but they can demonstrate</w:t>
      </w:r>
    </w:p>
    <w:p>
      <w:r>
        <w:t>an ability to learn faster than others. This learning capacity is central to long-term</w:t>
      </w:r>
    </w:p>
    <w:p>
      <w:r>
        <w:t>credibility and to sustaining anchored expectations in a volatile world.</w:t>
      </w:r>
    </w:p>
    <w:p>
      <w:pPr>
        <w:pStyle w:val="Heading3"/>
      </w:pPr>
      <w:r>
        <w:t>3. The Rotation System: Building Versatility and Reducing Silos</w:t>
      </w:r>
    </w:p>
    <w:p>
      <w:r>
        <w:t>FPAS Mark II introduces a structured rotation mechanism across teams. Analysts rotate</w:t>
      </w:r>
    </w:p>
    <w:p>
      <w:r>
        <w:t>between forecasting, scenario development, external conditions monitoring, and specialized</w:t>
      </w:r>
    </w:p>
    <w:p>
      <w:r>
        <w:t>modules such as the financial cycle or inflation decomposition.</w:t>
      </w:r>
    </w:p>
    <w:p/>
    <w:p>
      <w:r>
        <w:t>This increases resilience—ensuring that institutional knowledge does not rest with a few</w:t>
      </w:r>
    </w:p>
    <w:p>
      <w:r>
        <w:t>individuals. Rotations prevent analytical silos, broaden skillsets, and ensure that staff gain</w:t>
      </w:r>
    </w:p>
    <w:p>
      <w:r>
        <w:t>exposure to multiple components of the FPAS system.</w:t>
      </w:r>
    </w:p>
    <w:p>
      <w:pPr>
        <w:pStyle w:val="Heading3"/>
      </w:pPr>
      <w:r>
        <w:t>4. Internal Training Routines and Capacity Building</w:t>
      </w:r>
    </w:p>
    <w:p>
      <w:r>
        <w:t>On-the-job learning is reinforced by structured training routines:</w:t>
      </w:r>
    </w:p>
    <w:p>
      <w:r>
        <w:t>• Daily analytical briefings</w:t>
      </w:r>
    </w:p>
    <w:p>
      <w:r>
        <w:t>• Weekly seminars on FPAS tools</w:t>
      </w:r>
    </w:p>
    <w:p>
      <w:r>
        <w:t>• Monthly cross-team workshops</w:t>
      </w:r>
    </w:p>
    <w:p>
      <w:r>
        <w:t>• Case-based exercises using past policy rounds</w:t>
      </w:r>
    </w:p>
    <w:p>
      <w:r>
        <w:t>• Internally taught courses on modeling, expectations, and risk assessment</w:t>
      </w:r>
    </w:p>
    <w:p/>
    <w:p>
      <w:r>
        <w:t>These routines ensure that learning is continuous rather than sporadic. They also prepare</w:t>
      </w:r>
    </w:p>
    <w:p>
      <w:r>
        <w:t>staff to take on roles with higher responsibility, including presenting scenarios, leading</w:t>
      </w:r>
    </w:p>
    <w:p>
      <w:r>
        <w:t>policy workshops, and drafting executive briefings.</w:t>
      </w:r>
    </w:p>
    <w:p>
      <w:pPr>
        <w:pStyle w:val="Heading3"/>
      </w:pPr>
      <w:r>
        <w:t>5. International Collaboration and External Learning Channels</w:t>
      </w:r>
    </w:p>
    <w:p>
      <w:r>
        <w:t>The Mark II framework places strong emphasis on global learning. Staff participate in</w:t>
      </w:r>
    </w:p>
    <w:p>
      <w:r>
        <w:t>regional workshops, collaborate with partner institutions, present analytical work in</w:t>
      </w:r>
    </w:p>
    <w:p>
      <w:r>
        <w:t>international seminars, and engage with research communities.</w:t>
      </w:r>
    </w:p>
    <w:p/>
    <w:p>
      <w:r>
        <w:t>The manual views external learning as essential—exposing staff to new methodologies,</w:t>
      </w:r>
    </w:p>
    <w:p>
      <w:r>
        <w:t>alternative frameworks, and global best practices in uncertainty-aware policymaking.</w:t>
      </w:r>
    </w:p>
    <w:p>
      <w:pPr>
        <w:pStyle w:val="Heading3"/>
      </w:pPr>
      <w:r>
        <w:t>6. Learning as a Credibility Mechanism</w:t>
      </w:r>
    </w:p>
    <w:p>
      <w:r>
        <w:t>Credibility in FPAS Mark II is shaped not only by decisions but by the institution’s</w:t>
      </w:r>
    </w:p>
    <w:p>
      <w:r>
        <w:t>demonstrated ability to adapt and improve. Transparent communication of learning—</w:t>
      </w:r>
    </w:p>
    <w:p>
      <w:r>
        <w:t>including acknowledgement of past errors—reinforces public trust.</w:t>
      </w:r>
    </w:p>
    <w:p/>
    <w:p>
      <w:r>
        <w:t>A central bank that learns is one that consistently upgrades its analytical capacity,</w:t>
      </w:r>
    </w:p>
    <w:p>
      <w:r>
        <w:t>reduces vulnerability to external shocks, and strengthens its long-term policy framework.</w:t>
      </w:r>
    </w:p>
    <w:p>
      <w:pPr>
        <w:pStyle w:val="Heading3"/>
      </w:pPr>
      <w:r>
        <w:t>Conclusion</w:t>
      </w:r>
    </w:p>
    <w:p>
      <w:r>
        <w:t>Dynamic learning and human capital development form the backbone of FPAS Mark II.</w:t>
      </w:r>
    </w:p>
    <w:p>
      <w:r>
        <w:t>By embedding learning routines, rotations, and continuous feedback loops into the policy</w:t>
      </w:r>
    </w:p>
    <w:p>
      <w:r>
        <w:t>process, the Central Bank of Armenia ensures that its staff remain adaptive, analytical, and</w:t>
      </w:r>
    </w:p>
    <w:p>
      <w:r>
        <w:t>capable of supporting risk-based decision-making. Human capital is not a complement to</w:t>
      </w:r>
    </w:p>
    <w:p>
      <w:r>
        <w:t>FPAS Mark II—it is one of its foundations.</w:t>
      </w:r>
    </w:p>
    <w:p>
      <w:pPr>
        <w:pStyle w:val="Heading2"/>
      </w:pPr>
      <w:r>
        <w:t>References</w:t>
      </w:r>
    </w:p>
    <w:p>
      <w:r>
        <w:t>Laxton, D., Galstyan, M., &amp; Avagyan, V. (eds.) (2023). *Forecasting and Policy Analysis System Mark II.* Better Policy Project (Unpublished mimeograph).</w:t>
      </w:r>
    </w:p>
    <w:p>
      <w:r>
        <w:t>Freedman, C., &amp; Laxton, D. (2009). *Why Inflation Targeting?* IMF Working Paper 09/86.</w:t>
      </w:r>
    </w:p>
    <w:p>
      <w:r>
        <w:t>Debelle, G., &amp; Laxton, D. (1996). *Is the Phillips Curve Really a Curve?* IMF Working Paper 96/37.</w:t>
      </w:r>
    </w:p>
    <w:p>
      <w:pPr>
        <w:pStyle w:val="Heading2"/>
      </w:pPr>
      <w:r>
        <w:t>Video Script</w:t>
      </w:r>
    </w:p>
    <w:p>
      <w:r>
        <w:t>Hello, my name is Susik. I’m a Level One student at the Global Forecasting School and an economist at the Central Bank of Armenia.</w:t>
      </w:r>
    </w:p>
    <w:p>
      <w:r>
        <w:t>In this video, we explore how FPAS Mark II transforms the Central Bank of Armenia into a modern learning institution.</w:t>
      </w:r>
    </w:p>
    <w:p>
      <w:r>
        <w:t>FPAS Mark II recognizes that credibility depends not only on correct decisions but on the institution’s ability to learn continuously.</w:t>
      </w:r>
    </w:p>
    <w:p>
      <w:r>
        <w:t>The rotation system helps staff develop expertise across multiple analytical domains, reducing silos and increasing institutional resilience.</w:t>
      </w:r>
    </w:p>
    <w:p>
      <w:r>
        <w:t>Internal training routines—briefings, seminars, and workshops—ensure that learning is embedded into daily operations.</w:t>
      </w:r>
    </w:p>
    <w:p>
      <w:r>
        <w:t>International collaboration further strengthens human capital by exposing staff to global best practices and innovative methodologies.</w:t>
      </w:r>
    </w:p>
    <w:p>
      <w:r>
        <w:t>Dynamic learning is not optional—it is essential for navigating uncertainty and sustaining a credible policy framework.</w:t>
      </w:r>
    </w:p>
    <w:p>
      <w:r>
        <w:t>I would like to thank Douglas Laxton, Jared Laxton, Asya Kostanyan, and Sophio for their guidance and support in helping me prepare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