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4 — The Birth of Inflation Targeting: A New Era in Monetary Policy</w:t>
      </w:r>
    </w:p>
    <w:p>
      <w:r>
        <w:t>(Companion Note and Script for Susik, CBA Economist, Global Forecasting School)</w:t>
      </w:r>
    </w:p>
    <w:p>
      <w:pPr>
        <w:pStyle w:val="Heading2"/>
      </w:pPr>
      <w:r>
        <w:t>Companion Note</w:t>
      </w:r>
    </w:p>
    <w:p>
      <w:pPr>
        <w:pStyle w:val="Heading3"/>
      </w:pPr>
      <w:r>
        <w:t>1) Why a “new era” was needed</w:t>
      </w:r>
    </w:p>
    <w:p>
      <w:r>
        <w:t>By the late 1980s, advanced and small open economies had learned two hard lessons from the 1970s: (i) monetary targeting was not a reliable operational guide in the presence of rapid financial innovation and unstable money demand; and (ii) credibility—anchored inflation expectations backed by institutional design—was the true scarce asset of monetary policy. The route out of high and volatile inflation required a framework with (a) a clear nominal anchor, (b) operational independence, and (c) transparent communication so the public could understand and evaluate policy trade-offs.</w:t>
        <w:br/>
        <w:br/>
        <w:t>New Zealand’s 1989 Reserve Bank Act established operational independence and a single objective of price stability implemented through a Policy Targets Agreement (PTA). The Act tied the Governor’s accountability to achieving the target, marking the birth of modern inflation targeting. Understanding monetary policy is about building a shared mindset for decision-making under uncertainty.</w:t>
      </w:r>
    </w:p>
    <w:p>
      <w:pPr>
        <w:pStyle w:val="Heading3"/>
      </w:pPr>
      <w:r>
        <w:t>2) Who did what first? New Zealand vs. Bank of Canada</w:t>
      </w:r>
    </w:p>
    <w:p>
      <w:r>
        <w:t>New Zealand was the first to adopt explicit inflation targeting, but the Bank of Canada had already developed the modern forecasting and policy analysis framework that made inflation targeting operationally credible. When the RBNZ sought to strengthen its process, it adopted model-based analysis and structured decision-making practices pioneered in Canada through the Quarterly Projection Model (QPM). Thus, New Zealand created the first legal and institutional inflation targeting regime, while Canada built the analytical process that became global best practice.</w:t>
      </w:r>
    </w:p>
    <w:p>
      <w:pPr>
        <w:pStyle w:val="Heading3"/>
      </w:pPr>
      <w:r>
        <w:t>3) The New Zealand Arc: From Target to Full Framework</w:t>
      </w:r>
    </w:p>
    <w:p>
      <w:r>
        <w:t>Stage 1: Credible disinflation (1989–1992) — The PTA anchored expectations and quickly brought inflation down. Stage 2: Flexibility (mid-1990s onward) — The framework evolved into ‘flexible inflation targeting,’ balancing short-run trade-offs. Stage 3: Tools and communication (late 1990s onward) — The RBNZ pioneered publishing the forward policy rate path and replaced the Monetary Conditions Index with the Official Cash Rate. Stage 4: Transparency and macroprudential integration (2000s onward) — The RBNZ combined price and financial stability goals within a coherent communication strategy.</w:t>
      </w:r>
    </w:p>
    <w:p>
      <w:pPr>
        <w:pStyle w:val="Heading3"/>
      </w:pPr>
      <w:r>
        <w:t>4) Why the Bank of Canada’s Framework Mattered</w:t>
      </w:r>
    </w:p>
    <w:p>
      <w:r>
        <w:t>The Bank of Canada’s QPM embedded rational expectations, loss functions, and endogenous credibility. Its policy process linked economic projections to policy-rate decisions, enabling systematic responses to shocks. Two elements became global norms: (1) publishing endogenous interest-rate paths, and (2) transparency as a core tool of policy transmission. The RBNZ and many others later adopted these principles, illustrating the complementarity between institutional and analytical credibility.</w:t>
      </w:r>
    </w:p>
    <w:p>
      <w:pPr>
        <w:pStyle w:val="Heading3"/>
      </w:pPr>
      <w:r>
        <w:t>5) The Two Intellectual Roots of Inflation Targeting</w:t>
      </w:r>
    </w:p>
    <w:p>
      <w:r>
        <w:t>Inflation targeting rests on two foundational ideas:</w:t>
        <w:br/>
        <w:br/>
        <w:t>(a) The Long-Run Natural Rate Hypothesis (LR-NRH): Friedman and Phelps showed that only policies anchoring expectations can stabilize both inflation and output. Misunderstanding this principle led to the Great Inflation. Freedman and Laxton (2009) explain how the Bank of Canada integrated this insight into its framework to ensure credibility and macroeconomic stability.</w:t>
        <w:br/>
        <w:br/>
        <w:t>(b) The Time-Inconsistency Problem: Kydland &amp; Prescott (1977) and Barro &amp; Gordon (1983) showed that discretionary policy leads to inflation bias. New Zealand’s 1989 Act directly addressed this issue by holding the Governor accountable for inflation outcomes. Latin American economies later used institutional reforms to achieve credibility where history had eroded trust.</w:t>
        <w:br/>
        <w:br/>
        <w:t>Together, these roots highlight that inflation targeting must blend model-based discipline with institutional integrity. New Zealand emphasized institutional credibility; Canada developed analytical credibility. Successful frameworks like Armenia’s Prudent Risk Management Approach combine both.</w:t>
      </w:r>
    </w:p>
    <w:p>
      <w:pPr>
        <w:pStyle w:val="Heading3"/>
      </w:pPr>
      <w:r>
        <w:t>6) Implications for Armenia</w:t>
      </w:r>
    </w:p>
    <w:p>
      <w:r>
        <w:t>Armenia’s FPAS Mark II builds directly on both traditions. Its least-regrets approach fuses rules-based discipline with model-based flexibility. Anchored expectations, transparent communication, and continuous learning are central to sustaining credibility and managing uncertainty.</w:t>
      </w:r>
    </w:p>
    <w:p>
      <w:pPr>
        <w:pStyle w:val="Heading3"/>
      </w:pPr>
      <w:r>
        <w:t>References</w:t>
      </w:r>
      <w:r>
        <w:br/>
        <w:t>Haworth, C., Kostanyan, A., &amp; Laxton, D. (2019). 'Transparent Monetary Policy: A History of Inflation Targeting in New Zealand.' London School of Economics, Institute of Global Affairs.</w:t>
      </w:r>
    </w:p>
    <w:p>
      <w:r>
        <w:t>Barro, R., and D. Gordon. (1983). ‘Rules, Discretion, and Reputation in a Model of Monetary Policy.’ Journal of Monetary Economics, 12: 101–121.</w:t>
        <w:br/>
        <w:t>Friedman, M. (1968). ‘The Role of Monetary Policy.’ American Economic Review, 58(1): 1–17.</w:t>
        <w:br/>
        <w:t>Kydland, F., and E. Prescott. (1977). ‘Rules Rather than Discretion: The Inconsistency of Optimal Plans.’ Journal of Political Economy, 85: 473–492.</w:t>
        <w:br/>
        <w:t>Phelps, E. (1968). ‘Money-Wage Dynamics and Labor Market Equilibrium.’ Journal of Political Economy, 76(4 Pt 2): 678–711.</w:t>
        <w:br/>
        <w:t>Rogoff, K. (1985). ‘The Optimal Degree of Commitment to an Intermediate Target.’ Quarterly Journal of Economics, 100: 169–190.</w:t>
        <w:br/>
        <w:t>Walsh, C. (1995). ‘Optimal Contracts for Central Bankers.’ American Economic Review, 85(1): 150–167.</w:t>
        <w:br/>
        <w:t>Freedman, C., &amp; Laxton, D. (2009). ‘Why Inflation Targeting?’ IMF Working Paper 09/86.</w:t>
        <w:br/>
        <w:t>Haworth, C., Kostanyan, A., &amp; Laxton, D. (2019). ‘Transparent Monetary Policy: A History of Inflation Targeting in New Zealand.’ LSE Working Paper.</w:t>
      </w:r>
    </w:p>
    <w:p>
      <w:r>
        <w:br w:type="page"/>
      </w:r>
    </w:p>
    <w:p>
      <w:pPr>
        <w:pStyle w:val="Heading2"/>
      </w:pPr>
      <w:r>
        <w:t>Video Script for Susik</w:t>
      </w:r>
    </w:p>
    <w:p>
      <w:r>
        <w:t>Before we wrap up, let’s step back to the beginning of this story — to New Zealand in 1989.</w:t>
        <w:br/>
        <w:br/>
        <w:t>Imagine the challenge: inflation had been stubbornly high for over a decade, the public had lost trust in monetary policy, and no country had ever dared to make its central bank governor personally accountable for hitting an inflation number. The Reserve Bank of New Zealand did exactly that. The Governor signed a Policy Targets Agreement that put his reputation—and job—on the line. It was bold, experimental, and controversial.</w:t>
        <w:br/>
        <w:br/>
        <w:t>For a while, the Bank was literally learning by doing. The staff had no established model, no historical guide, and few international peers. But the simplicity and clarity of the target, combined with transparent reporting, restored confidence. Inflation came down quickly, and by the mid-1990s, the RBNZ began adding the analytical depth it had initially lacked. Working with experts who had developed the Bank of Canada’s Quarterly Projection Model, the RBNZ built its Forecasting and Policy System—a framework that turned intuition into disciplined policy analysis.</w:t>
        <w:br/>
        <w:br/>
        <w:t>That evolution—from an act of courage to a system of learning—remains one of the most inspiring stories in central banking. It reminds us that good institutions evolve, and that credible policy is as much about humility and transparency as it is about precision.</w:t>
        <w:br/>
        <w:br/>
        <w:t>Thank you for watching. See you in the next video.</w:t>
      </w:r>
    </w:p>
    <w:p>
      <w:pPr>
        <w:pStyle w:val="Heading3"/>
      </w:pPr>
      <w:r>
        <w:t>7) The Story of New Zealand: From Experiment to Example</w:t>
      </w:r>
    </w:p>
    <w:p>
      <w:r>
        <w:t>The Reserve Bank of New Zealand (RBNZ) occupies a unique place in monetary history. In 1989, New Zealand became the first country to codify price stability as the single, explicit goal of monetary policy under a new legislative framework—the Reserve Bank Act. The Act formalized central bank independence and introduced the Policy Targets Agreement (PTA), which directly tied the Governor’s performance to achieving a numerical inflation target. This was an audacious reform: no other central bank had ever made its leadership contractually accountable for inflation outcomes.</w:t>
        <w:br/>
        <w:br/>
        <w:t>As detailed by Haworth, Kostanyan, and Laxton (2019), the RBNZ’s early years were marked by experimentation and uncertainty. The Bank had limited analytical infrastructure and little precedent to follow—‘flying by the seat of its pants,’ as insiders later described it. Despite this, the early framework succeeded in rapidly bringing inflation down from double digits to within the new target range. The credibility of the system grew not because it was perfect, but because it was transparent, enforceable, and disciplined.</w:t>
        <w:br/>
        <w:br/>
        <w:t>The early version of inflation targeting in New Zealand emphasized the *time-inconsistency* root of the problem. It aimed to prevent political interference and short-term bias through institutional design—accountability contracts, public reporting, and legal independence. However, this first phase was less sophisticated in managing the trade-offs between inflation, output, and exchange-rate volatility. The framework initially lacked a strong analytical backbone—a limitation that became clear during episodes of external shocks in the early 1990s.</w:t>
        <w:br/>
        <w:br/>
        <w:t>In the mid-1990s, under the leadership of Governor Don Brash, the RBNZ began transforming its decision process. It developed the Forecasting and Policy System (FPS), directly inspired by the Bank of Canada’s Quarterly Projection Model (QPM) and policy process. This shift marked the fusion of the two intellectual roots: the institutional credibility of New Zealand and the analytical credibility of Canada. By introducing model-consistent forecasting, scenario analysis, and a forward policy-rate path, the RBNZ became the first central bank to fully integrate transparency into its monetary operations.</w:t>
        <w:br/>
        <w:br/>
        <w:t>Over time, the framework evolved from a rigid rule into a flexible system—allowing temporary deviations from the target to smooth business-cycle fluctuations and financial conditions. The inflation target was redefined as a range (1–3 percent) centered on a 2 percent midpoint. Later reforms added macroprudential tools and a formal Monetary Policy Committee, bringing New Zealand’s system closer to today’s global best practice.</w:t>
        <w:br/>
        <w:br/>
        <w:t>As Haworth, Kostanyan, and Laxton emphasize, the New Zealand story illustrates how institutional courage and intellectual humility combined to create a framework that could learn and adapt. It was not the product of a perfect design but of disciplined trial and error—an essential lesson for all central banks building or refining their own inflation-targeting regimes.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