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5 — Principles 1 &amp; 2: A Clear Nominal Anchor and Consistency Between Objectives</w:t>
      </w:r>
    </w:p>
    <w:p>
      <w:r>
        <w:t>(Companion Note and Script for Susik, CBA Economist, Global Forecasting School)</w:t>
      </w:r>
    </w:p>
    <w:p>
      <w:pPr>
        <w:pStyle w:val="Heading2"/>
      </w:pPr>
      <w:r>
        <w:t>Companion Note</w:t>
      </w:r>
    </w:p>
    <w:p>
      <w:pPr>
        <w:pStyle w:val="Heading3"/>
      </w:pPr>
      <w:r>
        <w:t>1) Why Principles Matter</w:t>
      </w:r>
    </w:p>
    <w:p>
      <w:r>
        <w:t>The success of modern monetary policy frameworks rests on a small set of guiding principles that ensure policy is credible, consistent, and transparent. Among these, the first two are foundational: a clear nominal anchor and internal consistency among policy objectives. Without a well-understood anchor, monetary policy lacks focus and credibility. Without consistency among objectives, even a credible anchor can lose meaning over time. As Freedman and Laxton (2009) emphasize, these principles are not theoretical—they form the operational backbone of successful inflation-targeting frameworks worldwide.</w:t>
      </w:r>
    </w:p>
    <w:p>
      <w:pPr>
        <w:pStyle w:val="Heading3"/>
      </w:pPr>
      <w:r>
        <w:t>2) Principle 1: A Clear Nominal Anchor</w:t>
      </w:r>
    </w:p>
    <w:p>
      <w:r>
        <w:t>A nominal anchor defines what the central bank ultimately controls to achieve price stability. It is the fixed point that guides expectations of households, firms, and markets. In inflation-targeting regimes, that anchor is the publicly announced inflation target, supported by credible communication and consistent actions. The anchor serves three essential roles:</w:t>
        <w:br/>
        <w:t>1. **Expectation Formation:** It provides a benchmark for wage and price setting.</w:t>
        <w:br/>
        <w:t>2. **Policy Discipline:** It constrains short-term political or opportunistic pressures.</w:t>
        <w:br/>
        <w:t>3. **Credibility:** It anchors inflation expectations, making policy more effective.</w:t>
        <w:br/>
        <w:br/>
        <w:t>Freedman and Laxton (2009) note that the inflation target must be **numerical, symmetric, and forward-looking**. A range (e.g., 1–3 percent) with a midpoint focus encourages flexibility without losing credibility. Anchored expectations reduce both inflation and output volatility, yielding measurable welfare gains. Canada’s experience in the early 1990s, as detailed in their work, demonstrated how a transparent inflation target could rebuild public trust and stabilize long-term interest rates even before inflation had fully converged to the target.</w:t>
      </w:r>
    </w:p>
    <w:p>
      <w:pPr>
        <w:pStyle w:val="Heading3"/>
      </w:pPr>
      <w:r>
        <w:t>3) Principle 2: Consistency Among Objectives</w:t>
      </w:r>
    </w:p>
    <w:p>
      <w:r>
        <w:t>The second principle concerns coherence between the inflation target and other policy goals—such as growth, employment, and financial stability. Freedman and Laxton (2009) argue that consistency is achieved when all objectives are framed within a single overarching mandate: maintaining low, stable, and predictable inflation. Attempting to pursue conflicting short-run goals undermines credibility and confuses markets. In well-designed frameworks, short-term trade-offs are recognized, but long-term consistency is never sacrificed.</w:t>
        <w:br/>
        <w:br/>
        <w:t>The Bank of Canada’s framework illustrates this principle vividly. By focusing on price stability as the means to long-run prosperity, the Bank avoided the temptation to fine-tune short-term outcomes. Likewise, the Reserve Bank of New Zealand evolved toward a flexible regime, balancing transitory deviations from target while preserving the anchor. This alignment of objectives has been key to maintaining credibility during shocks—especially in open economies where exchange-rate and output fluctuations can be large.</w:t>
      </w:r>
    </w:p>
    <w:p>
      <w:pPr>
        <w:pStyle w:val="Heading3"/>
      </w:pPr>
      <w:r>
        <w:t>4) Evidence from Experience</w:t>
      </w:r>
    </w:p>
    <w:p>
      <w:r>
        <w:t>Empirical evidence supports the claim that clear anchors and consistent objectives improve welfare. Countries with well-anchored expectations—such as Canada, New Zealand, the United Kingdom, and later the Czech Republic—experienced lower macroeconomic volatility and faster recovery from shocks. Cross-country comparisons in Freedman and Laxton (2009) show that credibility gains were strongest where targets were explicit, communication transparent, and objectives internally consistent.</w:t>
      </w:r>
    </w:p>
    <w:p>
      <w:pPr>
        <w:pStyle w:val="Heading3"/>
      </w:pPr>
      <w:r>
        <w:t>5) Lessons for FPAS Mark II</w:t>
      </w:r>
    </w:p>
    <w:p>
      <w:r>
        <w:t>In FPAS Mark II, these first two principles define the structure and purpose of the entire forecasting and decision process. The nominal anchor—expressed as a clear, forward-looking inflation objective—guides scenario design, forecast discussions, and communication. Consistency across objectives ensures that the central bank’s messages to the public, the government, and the financial sector remain aligned. This disciplined yet flexible structure allows policymakers to make decisions that are both credible and adaptive to uncertainty—embodying the broader idea of prudent risk management within a modern inflation-targeting framework.</w:t>
      </w:r>
    </w:p>
    <w:p>
      <w:pPr>
        <w:pStyle w:val="Heading3"/>
      </w:pPr>
      <w:r>
        <w:t>References</w:t>
      </w:r>
      <w:r>
        <w:br/>
        <w:t>Adrian, T., M. Obstfeld, &amp; D. Laxton. (2018). *Advancing the Frontiers of Monetary Policy.* Washington, D.C.: International Monetary Fund.</w:t>
      </w:r>
    </w:p>
    <w:p>
      <w:r>
        <w:t>Freedman, C., &amp; Laxton, D. (2009). “Why Inflation Targeting?” IMF Working Paper 09/86.</w:t>
        <w:br/>
        <w:t>Haworth, C., Kostanyan, A., &amp; Laxton, D. (2019). “Transparent Monetary Policy: A History of Inflation Targeting in New Zealand.” London School of Economics, Institute of Global Affairs.</w:t>
        <w:br/>
        <w:t>Central Bank of Armenia. (2025). “CBA Academy Onboarding Platform for New Board Members: Monetary Policy.” Yerevan.</w:t>
      </w:r>
    </w:p>
    <w:p>
      <w:r>
        <w:br w:type="page"/>
      </w:r>
    </w:p>
    <w:p>
      <w:pPr>
        <w:pStyle w:val="Heading2"/>
      </w:pPr>
      <w:r>
        <w:t>Video Script for Susik</w:t>
      </w:r>
    </w:p>
    <w:p>
      <w:r>
        <w:t>Hi everyone, I’m Susik from the Central Bank of Armenia. In this video, we turn to the first two principles that lie at the heart of modern monetary policy frameworks—the principle of a clear nominal anchor and the principle of consistency among objectives.</w:t>
        <w:br/>
        <w:br/>
        <w:t>Let’s start with the nominal anchor. Think of it as the compass of monetary policy—the fixed point that helps everyone navigate uncertainty. It’s what gives households, firms, and investors confidence about the future value of money. In an inflation-targeting regime, that anchor is the explicit inflation target itself. It tells everyone, in advance, what the central bank is aiming for—and more importantly, that it will stay the course.</w:t>
        <w:br/>
        <w:br/>
        <w:t>As Freedman and Laxton explained, an effective anchor has three qualities: it must be clear, credible, and forward-looking. Clarity means the target is publicly known and easy to understand. Credibility means the bank’s actions are consistent with its promises. And being forward-looking means the target shapes expectations, not just reacts to the past.</w:t>
        <w:br/>
        <w:br/>
        <w:t>The Bank of Canada’s experience in the early 1990s is a powerful example. Even before inflation had fully reached the target, long-term interest rates began to fall because markets believed the Bank would deliver. That credibility made policy more effective. New Zealand’s journey followed a similar logic—though its early focus was more institutional, Canada’s approach perfected the process side.</w:t>
        <w:br/>
        <w:br/>
        <w:t>Now let’s turn to the second principle—consistency among objectives. Central banks must make sure that all their goals support, rather than contradict, each other. When inflation control is treated as the foundation, other objectives—like employment, growth, and financial stability—can be pursued sustainably. But when short-term goals compete with price stability, credibility suffers and everyone loses.</w:t>
        <w:br/>
        <w:br/>
        <w:t>Freedman and Laxton showed that successful inflation-targeting regimes integrate all objectives within one clear mandate: maintaining low, stable, and predictable inflation. In practice, that means recognizing short-run trade-offs without sacrificing long-term focus. It’s about being disciplined and flexible at the same time.</w:t>
        <w:br/>
        <w:br/>
        <w:t>Under FPAS Mark II, these two principles are embedded in the framework itself. The inflation target provides the nominal anchor for forecasts and communication, while consistency ensures every decision and message fits together. Together, they make monetary policy credible, coherent, and resilient to uncertainty.</w:t>
        <w:br/>
        <w:br/>
        <w:t>In our next video, we’ll move on to Principles 3 and 4—the relationship between monetary policy, fiscal policy, and the real economy.</w:t>
        <w:br/>
        <w:br/>
        <w:t>Thank you for watching. See you in the next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