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6 — Principles 3 &amp; 4: Policy Coherence and the Forecasting and Policy Analysis System (FPAS)</w:t>
      </w:r>
    </w:p>
    <w:p>
      <w:r>
        <w:t>(Companion Note and Script for Susik, CBA Economist, Global Forecasting School)</w:t>
      </w:r>
    </w:p>
    <w:p>
      <w:pPr>
        <w:pStyle w:val="Heading2"/>
      </w:pPr>
      <w:r>
        <w:t>Companion Note</w:t>
      </w:r>
    </w:p>
    <w:p>
      <w:pPr>
        <w:pStyle w:val="Heading3"/>
      </w:pPr>
      <w:r>
        <w:t>1) Why Policy Coherence Matters</w:t>
      </w:r>
    </w:p>
    <w:p>
      <w: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br/>
        <w:br/>
        <w:t>Monetary policy does not operate in a vacuum. Its effectiveness depends on a consistent macroeconomic policy mix—especially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pPr>
        <w:pStyle w:val="Heading3"/>
      </w:pPr>
      <w:r>
        <w:t>2) Principle 3: Policy Coherence Across Government</w:t>
      </w:r>
    </w:p>
    <w:p>
      <w: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br/>
        <w:br/>
        <w:t>In practice, coherence is best achieved through **cooperation**, not direct coordination. Monetary and fiscal authorities should maintain a shared understanding of the economic outlook and ensure that their policies complement one another. This cooperation allows each policy area to perform well independently while contributing to overall macroeconomic stability.</w:t>
        <w:br/>
        <w:br/>
        <w:t>However, in exceptional situations—such as during a crisis or when interest rates are constrained by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 minimum, cooperation and mutual awareness of policy stances are essential to achieve the synergies that come from well-performing policies acting together.</w:t>
        <w:br/>
        <w:br/>
        <w:t>Canada’s experience after the 1991 inflation-targeting announcement showed how credible fiscal consolidation amplified the effectiveness of monetary policy. New Zealand, too, demonstrated that cooperation between the government and the Reserve Bank—anchored by clear communication—was key to stabilizing expectations. Freedman and Laxton argue that coherence should never compromise independence: it is about alignment of goals, not control of instruments.</w:t>
      </w:r>
    </w:p>
    <w:p>
      <w:pPr>
        <w:pStyle w:val="Heading3"/>
      </w:pPr>
      <w:r>
        <w:t>3) Principle 4: The Forecasting and Policy Analysis System (FPAS)</w:t>
      </w:r>
    </w:p>
    <w:p>
      <w: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br/>
        <w:br/>
        <w:t>FPAS consists of four main elements:</w:t>
        <w:br/>
        <w:t>1. A quantitative model linking policy instruments to inflation and output.</w:t>
        <w:br/>
        <w:t>2. A forecast process integrating expert judgment and scenarios.</w:t>
        <w:br/>
        <w:t>3. A structured decision-making cycle that includes forecast rounds, policy discussions, and publication of reports.</w:t>
        <w:br/>
        <w:t>4. A communication strategy that aligns internal analysis with external messaging.</w:t>
        <w:br/>
        <w:br/>
        <w:t>In this way, FPAS serves as the operational backbone of modern inflation-targeting regimes. It allows central banks to manage uncertainty, update expectations in real time, and coordinate effectively across departments.</w:t>
      </w:r>
    </w:p>
    <w:p>
      <w:pPr>
        <w:pStyle w:val="Heading3"/>
      </w:pPr>
      <w:r>
        <w:t>4) Lessons from Early FPAS Systems</w:t>
      </w:r>
    </w:p>
    <w:p>
      <w:r>
        <w:t>The first generation of FPAS systems, developed at the Bank of Canada and later adapted by other central banks, demonstrated how analytical and institutional reforms could reinforce credibility. Adrian, Obstfeld, and Laxton (2018) show that countries adopting FPAS frameworks achieved smoother policy cycles, clearer communication, and better integration of fiscal and monetary analysis. New Zealand’s Forecasting and Policy System (FPS) and the Czech National Bank’s modeling work both extended these principles to small open economies, proving that disciplined processes can enhance credibility even under uncertainty.</w:t>
      </w:r>
    </w:p>
    <w:p>
      <w:pPr>
        <w:pStyle w:val="Heading3"/>
      </w:pPr>
      <w:r>
        <w:t>5) FPAS Mark II and Modern Practice</w:t>
      </w:r>
    </w:p>
    <w:p>
      <w: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That means systematically identifying risks, quantifying uncertainty, and designing policies that minimize regret under different scenarios. This evolution has allowed central banks—especially those in emerging markets—to operate with greater confidence and transparency, while maintaining flexibility and consistency over time.</w:t>
      </w:r>
    </w:p>
    <w:p>
      <w:pPr>
        <w:pStyle w:val="Heading3"/>
      </w:pPr>
      <w:r>
        <w:t>References</w:t>
      </w:r>
    </w:p>
    <w:p>
      <w:r>
        <w:t>Freedman, C., &amp; Laxton, D. (2009). “Why Inflation Targeting?” IMF Working Paper 09/86.</w:t>
        <w:br/>
        <w:t>Adrian, T., M. Obstfeld, &amp; D. Laxton. (2018). *Advancing the Frontiers of Monetary Policy.* Washington, D.C.: International Monetary Fund.</w:t>
        <w:br/>
        <w:t>Haworth, C., Kostanyan, A., &amp; Laxton, D. (2019). “Transparent Monetary Policy: A History of Inflation Targeting in New Zealand.” London School of Economics, Institute of Global Affairs.</w:t>
        <w:br/>
        <w:t>Central Bank of Armenia. (2025). “CBA Academy Onboarding Platform for New Board Members: Monetary Policy.” Yerevan.</w:t>
      </w:r>
    </w:p>
    <w:p>
      <w:r>
        <w:br w:type="page"/>
      </w:r>
    </w:p>
    <w:p>
      <w:pPr>
        <w:pStyle w:val="Heading2"/>
      </w:pPr>
      <w:r>
        <w:t>Freedman and Laxton pointed out that Canada’s success in the early 1990s was not just about monetary tightening—it was also about fiscal credibility. The government’s commitment to sustainable budgets gave the central bank room to focus on inflation without fear of fiscal dominance. New Zealand’s framework showed the same principle from a different angle: accountability through the Policy Targets Agreement ensured that both the government and the Reserve Bank were aligned around the inflation goal.</w:t>
        <w:br/>
        <w:br/>
        <w:t>In normal times, what’s needed is cooperation, not coordination. Each policy—monetary, fiscal, and structural—should perform well in its own area, but with a shared understanding of the broader goals. Only in rare cases, like during a crisis or when the economy is stuck at the effective lower bound, do we need more active coordination to support demand and avoid deflation.</w:t>
      </w:r>
    </w:p>
    <w:p>
      <w:r>
        <w:t>Hi everyone, I’m Susik from the Central Bank of Armenia. In this video, we continue exploring the key principles that define credible monetary policy frameworks. We’ll focus on Principles 3 and 4 from the Freedman and Laxton paper, which deal with policy coherence and the Forecasting and Policy Analysis System—or FPAS.</w:t>
        <w:br/>
        <w:br/>
        <w:t>Let’s start with Principle 3: policy coherence across government. Inflation targeting only works when the rest of government policies—especially fiscal and structural policies—are consistent with the inflation objective. If the central bank is trying to stabilize inflation while fiscal policy is running large deficits, markets get mixed signals. Coherence doesn’t mean the central bank gives up its independence. It means that everyone in government shares the same long-run goal of stability.</w:t>
        <w:br/>
        <w:br/>
        <w:t>Freedman and Laxton pointed out that Canada’s success in the early 1990s was not just about monetary tightening—it was also about fiscal credibility. The government’s commitment to sustainable budgets gave the central bank room to focus on inflation without fear of fiscal dominance. New Zealand’s framework showed the same principle from a different angle: accountability through the Policy Targets Agreement ensured that both the government and the Reserve Bank were aligned around the inflation goal.</w:t>
        <w:br/>
        <w:br/>
        <w:t>Now let’s move to Principle 4: the Forecasting and Policy Analysis System, or FPAS. This is where the theory becomes practice. FPAS provides the structure that makes monetary policy coherent, consistent, and credible. It connects the models, the people, and the process. Every forecast, every policy meeting, and every communication is part of a single disciplined cycle.</w:t>
        <w:br/>
        <w:br/>
        <w:t>FPAS has four essential parts. First, a core model that links policy decisions to inflation and output. Second, a forecast process that blends model results with expert judgment. Third, a structured decision cycle—forecast rounds, policy meetings, and communication steps. And fourth, a clear communication strategy that ensures internal analysis matches what the public hears.</w:t>
        <w:br/>
        <w:br/>
        <w:t>In FPAS Mark II, these ideas have evolved to handle more complex risks. The system helps central banks think in terms of probabilities, not certainties—identifying risks and managing them prudently. It’s what allows small open economies like Armenia to operate with confidence even in an uncertain global environment.</w:t>
        <w:br/>
        <w:br/>
        <w:t>So, Principles 3 and 4 remind us that successful inflation targeting requires both policy coherence and an institutional framework that turns analysis into action. Together, they make monetary policy not just credible—but truly effective.</w:t>
        <w:br/>
        <w:br/>
        <w:t>In our next video, we’ll move on to Principles 5 and 6, where we’ll explore flexibility and transparency—the final ingredients of a modern monetary policy framework.</w:t>
        <w:br/>
        <w:br/>
        <w:t>Thank you for watching.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