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10 – FPAS Mark II: The Anatomy of a Policy Round</w:t>
      </w:r>
    </w:p>
    <w:p>
      <w:pPr>
        <w:pStyle w:val="Heading2"/>
      </w:pPr>
      <w:r>
        <w:t>Part I – Economist Note</w:t>
      </w:r>
    </w:p>
    <w:p>
      <w:r>
        <w:t>The Central Bank of Armenia (CBA) has become a global benchmark in operationalizing the principles of FPAS Mark II. Unlike many institutions that treat forecasting, policy formulation, and communication as separate activities, the CBA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pPr>
        <w:pStyle w:val="Heading3"/>
      </w:pPr>
      <w:r>
        <w:t>1. The Concept of a Policy Round</w:t>
      </w:r>
    </w:p>
    <w:p>
      <w:r>
        <w:t>At its core, a policy round under FPAS Mark II is a structured decision-making cycle linking four essential stages: assessment, scenario development, policy simulation, and communication. Each stage involves collaboration across departments—Research, Statistics, Financial Stability, and Communication—and each contributes uniquely to the final decision. This process ensures that the central bank acts with coherence, internal accountability, and clear alignment between its analytical framework and policy objectives.</w:t>
      </w:r>
    </w:p>
    <w:p>
      <w:r>
        <w:t>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pPr>
        <w:pStyle w:val="Heading3"/>
      </w:pPr>
      <w:r>
        <w:t>2. Stage One: Assessment – Understanding Where the Economy Stands</w:t>
      </w:r>
    </w:p>
    <w:p>
      <w:r>
        <w:t>The first stage of a policy round focuses on diagnosing the current economic environment. The CBA’s Research Department maintains a comprehensive set of high-frequency indicators that cover inflation, labor markets, credit, and external conditions. These are complemented by survey-based measures of expectations and risk assessments drawn from financial market data. Advanced nowcasting tools and mixed-frequency models help generate real-time estimates of key variables such as output and core inflation.</w:t>
      </w:r>
    </w:p>
    <w:p>
      <w:r>
        <w:t>The goal of the assessment phase is not just to describe recent data, but to understand the forces driving it. Staff presentations emphasize identifying temporary versus persistent shocks, quantifying their sources, and interpreting how these shocks interact with domestic and external demand. This diagnostic exercise answers the first essential question in any analytical framework: where is the economy today?</w:t>
      </w:r>
    </w:p>
    <w:p>
      <w:pPr>
        <w:pStyle w:val="Heading3"/>
      </w:pPr>
      <w:r>
        <w:t>3. Stage Two: Scenario Development – Mapping the Risks</w:t>
      </w:r>
    </w:p>
    <w:p>
      <w:r>
        <w:t>Once the current position of the economy is established, attention shifts to the future. In this stage, staff build a set of internally consistent macroeconomic scenarios that capture a range of plausible paths for inflation and output. Typically, three scenarios are prepared: a central or baseline projection, an adverse scenario that incorporates downside risks, and an optimistic scenario that captures potential upside surprises.</w:t>
      </w:r>
    </w:p>
    <w:p>
      <w:r>
        <w:t>Each scenario is constructed using the CBA’s structural forecasting model, complemented by expert judgment and sectoral analysis. Scenario narratives describe the shocks driving each path—such as changes in commodity prices, external demand, or financial conditions—and quantify their effects. The key innovation of Mark II is that these scenarios are not treated as alternatives to be chosen among but as tools to evaluate risk distributions. The Board’s discussion focuses on the shape of these distributions, asking where the balance of risks lies and how it might evolve.</w:t>
      </w:r>
    </w:p>
    <w:p>
      <w:pPr>
        <w:pStyle w:val="Heading3"/>
      </w:pPr>
      <w:r>
        <w:t>4. Stage Three: Policy Simulation – The Least-Regrets Evaluation</w:t>
      </w:r>
    </w:p>
    <w:p>
      <w:r>
        <w:t>The third stage of the policy round is where analysis becomes decision. Here, the CBA’s staff simulate the policy paths required to stabilize inflation and output in each scenario. The emphasis is on robustness rather than optimization. Each potential policy action—whether a rate hike, cut, or hold—is evaluated in terms of the regrets it might generate under different scenarios. This process quantifies the trade-offs between acting too aggressively and acting too cautiously.</w:t>
      </w:r>
    </w:p>
    <w:p>
      <w:r>
        <w:t>A key tool used in this stage is the decision table. This table summarizes, for each policy choice, the projected outcomes for inflation, output, and credibility across all scenarios. By comparing these results side by side, policymakers can visualize the risks associated with each action. The Board then discusses which policy path would minimize the risk of large future regrets—those situations where, in hindsight, inaction or excessive action would have caused unnecessary instability.</w:t>
      </w:r>
    </w:p>
    <w:p>
      <w:r>
        <w:t>This stage exemplifies the least-regrets mindset that defines FPAS Mark II. It accepts that uncertainty cannot be eliminated and instead focuses on managing it transparently. By embedding structured risk evaluation into the core of the decision process, the CBA ensures that prudence is not just a principle but a measurable practice.</w:t>
      </w:r>
    </w:p>
    <w:p>
      <w:pPr>
        <w:pStyle w:val="Heading3"/>
      </w:pPr>
      <w:r>
        <w:t>5. Stage Four: Communication and Accountability</w:t>
      </w:r>
    </w:p>
    <w:p>
      <w:r>
        <w:t>The final stage of the policy round translates complex internal deliberations into clear public communication. The Monetary Policy Report (MPR) serves as the main vehicle for this transparency. Its narrative explains the economic context, the reasoning behind the decision, and the risks considered. Unlike traditional reports that focus on a single forecast, the CBA’s MPR highlights scenario analysis and conveys how the Board weighed competing risks.</w:t>
      </w:r>
    </w:p>
    <w:p>
      <w:r>
        <w:t>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pPr>
        <w:pStyle w:val="Heading3"/>
      </w:pPr>
      <w:r>
        <w:t>6. Continuous Learning and Feedback</w:t>
      </w:r>
    </w:p>
    <w:p>
      <w:r>
        <w:t>What distinguishes FPAS Mark II from previous generations is the feedback loop embedded into the policy process. After each round, staff conduct a detailed evaluation comparing realized outcomes with previous projections. Forecast errors are analyzed not as failures but as sources of information about evolving relationships in the economy. This discipline strengthens institutional memory and ensures that each new policy round begins with improved knowledge and refined judgment.</w:t>
      </w:r>
    </w:p>
    <w:p>
      <w:r>
        <w:t>This iterative process creates a living analytical framework—one that continuously adapts to structural changes, measurement challenges, and new forms of risk. It is through this mechanism that the CBA has become recognized globally for advancing the frontier of monetary policy analysis.</w:t>
      </w:r>
    </w:p>
    <w:p>
      <w:pPr>
        <w:pStyle w:val="Heading3"/>
      </w:pPr>
      <w:r>
        <w:t>7. Conclusion – Institutional Discipline as a Form of Prudence</w:t>
      </w:r>
    </w:p>
    <w:p>
      <w:r>
        <w:t>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systems that handle uncertainty systematically. In this way, Armenia has set a new global standard for how small, agile institutions can lead the next generation of inflation-targeting frameworks.</w:t>
      </w:r>
    </w:p>
    <w:p>
      <w:pPr>
        <w:pStyle w:val="Heading3"/>
      </w:pPr>
      <w:r>
        <w:t>References</w:t>
      </w:r>
    </w:p>
    <w:p>
      <w:r>
        <w:t>Better Policy Project. (2023). The Prudent Risk Management Approach to Price Stability. Unpublished mimeograph.</w:t>
      </w:r>
    </w:p>
    <w:p>
      <w:r>
        <w:t>Freedman, C., &amp; Laxton, D. (2009). Why Inflation Targeting? IMF Working Paper WP/09/86.</w:t>
      </w:r>
    </w:p>
    <w:p>
      <w:r>
        <w:t>Debelle, G., &amp; Laxton, D. (1996). Is the Phillips Curve Really Convex? IMF Working Paper WP/96/111.</w:t>
      </w:r>
    </w:p>
    <w:p>
      <w:r>
        <w:t>Friedman, M. (1968). The Role of Monetary Policy. American Economic Review, 58(1).</w:t>
      </w:r>
    </w:p>
    <w:p>
      <w:r>
        <w:t>Bernanke, B. (2024). Forecasting for Monetary Policy Making and Communication at the Bank of England: A Review. Bank of England Independent Evaluation Office.</w:t>
      </w:r>
    </w:p>
    <w:p>
      <w:pPr>
        <w:pStyle w:val="Heading2"/>
      </w:pPr>
      <w:r>
        <w:t>Part II – Script (Susik)</w:t>
      </w:r>
    </w:p>
    <w:p>
      <w:r>
        <w:t>Hi, I’m Susik from the Central Bank of Armenia. In this episode, we’ll go inside FPAS Mark II to see how a modern policy round actually works.</w:t>
        <w:br/>
        <w:br/>
        <w:t>A policy round is the heartbeat of our central bank. It’s a structured process that links data, analysis, decisions, and communication in a continuous loop. In FPAS Mark II, the goal isn’t to eliminate uncertainty—it’s to manage it systematically.</w:t>
        <w:br/>
        <w:br/>
        <w:t>Stage one is assessment. Teams across the bank monitor a wide range of indicators: inflation, labor markets, credit, global conditions, and expectations. We use mixed-frequency models and high-frequency data to understand where the economy stands right now. But we don’t stop at describing the data—we dig deeper to identify what’s driving it. Are the shocks temporary or structural? Domestic or global? That diagnosis shapes everything that follows.</w:t>
        <w:br/>
        <w:br/>
        <w:t>Stage two is scenario development. Here, we construct a set of plausible futures—baseline, adverse, and optimistic. Each scenario tells a different story about how the economy might evolve. We quantify these narratives using our structural model and combine them with expert judgment. This helps us map the full range of risks and ensures that our discussions aren’t limited to a single view of the future.</w:t>
        <w:br/>
        <w:br/>
        <w:t>Stage three is policy simulation. This is where the least-regrets mindset comes to life. We simulate different policy paths and examine how each would perform under our scenarios. Decision tables summarize the outcomes—what happens to inflation, output, and credibility under each possible decision. The Board’s job is to ask: which option would we least regret if the world turns out differently than expected? That question anchors the entire discussion.</w:t>
        <w:br/>
        <w:br/>
        <w:t>Stage four is communication. Once the decision is made, we explain it transparently in the Monetary Policy Report. Instead of focusing on a single forecast, we show how we weighed the risks and reached our decision. This kind of transparency builds trust—it tells the public not that we know the future, but that we’re ready for whatever future unfolds.</w:t>
        <w:br/>
        <w:br/>
        <w:t>And then the process begins again. After each round, we analyze what worked, what didn’t, and how we can improve. We compare forecasts to outcomes, learn from our mistakes, and update our framework. That’s what makes FPAS Mark II a living system—it learns, adapts, and grows with every decision.</w:t>
        <w:br/>
        <w:br/>
        <w:t>This disciplined process has made Armenia a model for how small, agile central banks can lead global innovation in monetary policy. Independence gives us the authority to act. The policy round gives us the structure to act wisely. Together, they define what credibility looks like in the modern era of central banking.</w:t>
      </w:r>
    </w:p>
    <w:p>
      <w:pPr>
        <w:pStyle w:val="Heading2"/>
      </w:pPr>
      <w:r>
        <w:t>Acknowledgements</w:t>
      </w:r>
    </w:p>
    <w:p>
      <w:r>
        <w:t>Thanks to Douglas Laxton, Jared Laxton, Asya Kostanyan, and Sophio Mkervalidze at the Global Forecasting School for their guidance and support in producing this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