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7 – Principles: Independence, Transparency, and Accountability</w:t>
      </w:r>
    </w:p>
    <w:p>
      <w:pPr>
        <w:pStyle w:val="Heading2"/>
      </w:pPr>
      <w:r>
        <w:t>Part I – Economist Note</w:t>
      </w:r>
    </w:p>
    <w:p>
      <w:r>
        <w:t>A written analysis for professional economists, with full references.</w:t>
      </w:r>
    </w:p>
    <w:p>
      <w:pPr>
        <w:pStyle w:val="Heading3"/>
      </w:pPr>
      <w:r>
        <w:t>1. Why analytical frameworks matter</w:t>
      </w:r>
    </w:p>
    <w:p>
      <w:r>
        <w:t>Credible monetary policy depends not only on independence but on the discipline of an analytical framework that links forecasts, instruments, and objectives. A genuine forward-looking system has three essential ingredients:</w:t>
      </w:r>
    </w:p>
    <w:p>
      <w:r>
        <w:t>1. Where is the economy today? A coherent and internally consistent assessment of the current macroeconomic position—output gap, inflation pressures, and financial conditions.</w:t>
      </w:r>
    </w:p>
    <w:p>
      <w:r>
        <w:t>2. What are the underlying forces driving it? A structured analysis of demand, supply, and external shocks, showing how transmission channels operate.</w:t>
      </w:r>
    </w:p>
    <w:p>
      <w:r>
        <w:t>3. What must be done with policy instruments to achieve the objectives? A systematic process that determines how interest rates and other instruments must adjust to keep inflation and output near target.</w:t>
      </w:r>
    </w:p>
    <w:p>
      <w:r>
        <w:t>Any framework missing one of these three elements is incomplete. The Bank of England, as shown in Bernanke (2024), never succeeded in developing this third component; hence, it never possessed a coherent forward-looking analytical framework.</w:t>
      </w:r>
    </w:p>
    <w:p>
      <w:pPr>
        <w:pStyle w:val="Heading3"/>
      </w:pPr>
      <w:r>
        <w:t>2. The Bank of England’s missing third ingredient</w:t>
      </w:r>
    </w:p>
    <w:p>
      <w:r>
        <w:t>Bernanke’s independent review (2024) found that the Bank’s system relied heavily on judgment and an outdated model suite centered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r>
        <w:t>As Milton Friedman (1968)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r>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pPr>
        <w:pStyle w:val="Heading3"/>
      </w:pPr>
      <w:r>
        <w:t>3. Contrast with first-generation FPAS frameworks</w:t>
      </w:r>
    </w:p>
    <w:p>
      <w:r>
        <w:t>Central banks such as the Reserve Bank of New Zealand, the National Bank of Georgia, and the Central Bank of Armenia built what we describe as Mark I Forecasting and Policy Analysis Systems (FPAS). These frameworks explicitly integrate:</w:t>
      </w:r>
    </w:p>
    <w:p>
      <w:r>
        <w:t>- A structural model linking the economy’s key relationships.</w:t>
      </w:r>
    </w:p>
    <w:p>
      <w:r>
        <w:t>- A forecast process that endogenizes the policy instrument.</w:t>
      </w:r>
    </w:p>
    <w:p>
      <w:r>
        <w:t>- Scenario analysis for prudent risk management.</w:t>
      </w:r>
    </w:p>
    <w:p>
      <w:r>
        <w:t>- A communication system that explains policy choices transparently.</w:t>
      </w:r>
    </w:p>
    <w:p>
      <w:r>
        <w:t>In these institutions, the forecast and the policy decision are two sides of the same coin. The analytical framework ensures that every published scenario is consistent with the central bank’s objectives and its best understanding of transmission mechanisms.</w:t>
      </w:r>
    </w:p>
    <w:p>
      <w:pPr>
        <w:pStyle w:val="Heading3"/>
      </w:pPr>
      <w:r>
        <w:t>4. The state of the art: the Prudent Risk Management Approach</w:t>
      </w:r>
    </w:p>
    <w:p>
      <w:r>
        <w:t>The Prudent Risk Management Approach to Price Stability (2023)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w:t>
      </w:r>
    </w:p>
    <w:p>
      <w:r>
        <w:t>Compared with this benchmark, the Bank of England’s structure revealed by Bernanke (2024) was not merely out-of-date—it was conceptually incomplete. It failed to answer the third essential question: what must be done with our instruments to achieve our objectives?</w:t>
      </w:r>
    </w:p>
    <w:p>
      <w:pPr>
        <w:pStyle w:val="Heading3"/>
      </w:pPr>
      <w:r>
        <w:t>5. Implications for institutional integrity</w:t>
      </w:r>
    </w:p>
    <w:p>
      <w:r>
        <w:t>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RBNZ, NBG, and CBA show that smaller, more agile institutions can achieve world-class standards when they combine operational independence with analytical coherence and clear communication.</w:t>
      </w:r>
    </w:p>
    <w:p>
      <w:pPr>
        <w:pStyle w:val="Heading3"/>
      </w:pPr>
      <w:r>
        <w:t>References</w:t>
      </w:r>
    </w:p>
    <w:p>
      <w:r>
        <w:t>Adrian, T., Obstfeld, M., &amp; Laxton, D. (2018). “Managing Expectations.” In Advancing the Frontiers of Monetary Policy. International Monetary Fund.</w:t>
      </w:r>
    </w:p>
    <w:p>
      <w:r>
        <w:t>Bernanke, B. (2024). Forecasting for Monetary Policy Making and Communication at the Bank of England: A Review. Bank of England Independent Evaluation Office.</w:t>
      </w:r>
    </w:p>
    <w:p>
      <w:r>
        <w:t>Bernanke, B. (2025). Improving Fed Communications: A Proposal. Hutchins Center Working Paper #102, Brookings Institution.</w:t>
      </w:r>
    </w:p>
    <w:p>
      <w:r>
        <w:t>Freedman, C., &amp; Laxton, D. (2009). “Why Inflation Targeting?” IMF Working Paper WP/09/86.</w:t>
      </w:r>
    </w:p>
    <w:p>
      <w:r>
        <w:t>Friedman, M. (1968). “The Role of Monetary Policy.” American Economic Review, 58(1).</w:t>
      </w:r>
    </w:p>
    <w:p>
      <w:r>
        <w:t>Better Policy Project. (2023). The Prudent Risk Management Approach to Price Stability. Unpublished mimeograph.</w:t>
      </w:r>
    </w:p>
    <w:p>
      <w:pPr>
        <w:pStyle w:val="Heading2"/>
      </w:pPr>
      <w:r>
        <w:t>Part II – Script (Susik)</w:t>
      </w:r>
    </w:p>
    <w:p>
      <w:r>
        <w:t>Hi, I’m Susik from the Central Bank of Armenia. In this video, we’ll look at why independence, transparency, and accountability are the cornerstones of credible monetary policy.</w:t>
        <w:br/>
        <w:br/>
        <w:t>Central banks must be independent to resist short-term political pressures—but independence alone is not enough. It has to be matched with transparency and accountability so that the public understands and trusts our decisions.</w:t>
        <w:br/>
        <w:br/>
        <w:t>Take the Bank of England as an example. In 1997, it gained operational independence, and long-term inflation expectations quickly anchored. But the Bank never built a true analytical framework. It did not link its forecasts to its policy instruments in a consistent way. For years, its forecasts assumed a fixed or externally given path for interest rates—something that Milton Friedman warned against back in 1968. If inflation turned out higher than expected, real interest rates would fall, demand would rise, and inflation would climb even further. That is the very opposite of stability.</w:t>
        <w:br/>
        <w:br/>
        <w:t>Modern central banks that learned from this experience—like the Reserve Bank of New Zealand and the Central Bank of Armenia—built what we call Mark I Forecasting and Policy Analysis Systems. These systems bring together three ingredients: a clear assessment of where the economy is today, an understanding of the forces driving it, and a model that shows what we need to do with our instruments to achieve our objectives. That’s what makes them forward-looking and coherent.</w:t>
        <w:br/>
        <w:br/>
        <w:t>The most advanced version of this approach is the Prudent Risk Management framework, which combines forecasting, risk assessment, and communication in one system. It’s what allows central banks like ours to act independently and communicate credibly at the same time.</w:t>
        <w:br/>
        <w:br/>
        <w:t>Independence gives us the power to act. Transparency and accountability give us the legitimacy to lead. Together, they form the foundation of institutional integrity and public trust.</w:t>
      </w:r>
    </w:p>
    <w:p>
      <w:pPr>
        <w:pStyle w:val="Heading2"/>
      </w:pPr>
      <w:r>
        <w:t>Acknowledgements</w:t>
      </w:r>
    </w:p>
    <w:p>
      <w:r>
        <w:t>Thanks to Douglas Laxton, Jared Laxton, Asya Kostanyan, and Sophio Mkervalidze at the Global Forecasting School for their guidance and support in producing this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