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6825" w14:textId="77777777" w:rsidR="0092071B" w:rsidRPr="0092071B" w:rsidRDefault="0092071B" w:rsidP="0092071B">
      <w:pPr>
        <w:jc w:val="center"/>
        <w:rPr>
          <w:b/>
          <w:bCs/>
          <w:color w:val="156082" w:themeColor="accent1"/>
          <w:sz w:val="28"/>
          <w:szCs w:val="28"/>
        </w:rPr>
      </w:pPr>
      <w:r w:rsidRPr="0092071B">
        <w:rPr>
          <w:b/>
          <w:bCs/>
          <w:color w:val="156082" w:themeColor="accent1"/>
          <w:sz w:val="28"/>
          <w:szCs w:val="28"/>
        </w:rPr>
        <w:t>The Birth of Inflation Targeting: A New Era in Monetary Policy</w:t>
      </w:r>
    </w:p>
    <w:p w14:paraId="3FA63261" w14:textId="77777777" w:rsidR="00D43124" w:rsidRDefault="00D43124" w:rsidP="00D43124">
      <w:pPr>
        <w:jc w:val="center"/>
        <w:rPr>
          <w:b/>
          <w:bCs/>
        </w:rPr>
      </w:pPr>
    </w:p>
    <w:p w14:paraId="495E4969" w14:textId="1D4CA501" w:rsidR="009659F4" w:rsidRDefault="009659F4" w:rsidP="009659F4">
      <w:pPr>
        <w:rPr>
          <w:b/>
          <w:bCs/>
        </w:rPr>
      </w:pPr>
      <w:r>
        <w:rPr>
          <w:b/>
          <w:bCs/>
        </w:rPr>
        <w:t>Susanna Grigoryan</w:t>
      </w:r>
    </w:p>
    <w:p w14:paraId="39ADBF9B" w14:textId="55200B4C" w:rsidR="009659F4" w:rsidRPr="009659F4" w:rsidRDefault="009659F4" w:rsidP="009659F4">
      <w:pPr>
        <w:rPr>
          <w:b/>
          <w:bCs/>
        </w:rPr>
      </w:pPr>
      <w:r w:rsidRPr="009659F4">
        <w:rPr>
          <w:b/>
          <w:bCs/>
        </w:rPr>
        <w:t>Recent Staff Member, Monetary Policy Department, Central Bank of Armenia</w:t>
      </w:r>
    </w:p>
    <w:p w14:paraId="599C62FE" w14:textId="77777777" w:rsidR="009659F4" w:rsidRPr="009659F4" w:rsidRDefault="009659F4" w:rsidP="009659F4">
      <w:pPr>
        <w:rPr>
          <w:b/>
          <w:bCs/>
        </w:rPr>
      </w:pPr>
      <w:r w:rsidRPr="009659F4">
        <w:rPr>
          <w:b/>
          <w:bCs/>
        </w:rPr>
        <w:t>Student, Global Forecasting School</w:t>
      </w:r>
    </w:p>
    <w:p w14:paraId="5872F8CC" w14:textId="267E51A5" w:rsidR="009659F4" w:rsidRDefault="009659F4" w:rsidP="009659F4">
      <w:pPr>
        <w:rPr>
          <w:b/>
          <w:bCs/>
        </w:rPr>
      </w:pPr>
      <w:r>
        <w:rPr>
          <w:b/>
          <w:bCs/>
        </w:rPr>
        <w:t xml:space="preserve">November </w:t>
      </w:r>
      <w:r w:rsidRPr="009659F4">
        <w:rPr>
          <w:b/>
          <w:bCs/>
        </w:rPr>
        <w:t>2025</w:t>
      </w:r>
    </w:p>
    <w:p w14:paraId="4918BD39" w14:textId="77777777" w:rsidR="009659F4" w:rsidRDefault="009659F4" w:rsidP="009659F4">
      <w:pPr>
        <w:rPr>
          <w:b/>
          <w:bCs/>
        </w:rPr>
      </w:pPr>
    </w:p>
    <w:p w14:paraId="421A120A" w14:textId="1CC6836F" w:rsidR="00550764" w:rsidRPr="00616E51" w:rsidRDefault="00550764" w:rsidP="00550764">
      <w:pPr>
        <w:jc w:val="both"/>
      </w:pPr>
      <w:r w:rsidRPr="00616E51">
        <w:t>Hello everyone, I’m </w:t>
      </w:r>
      <w:r w:rsidRPr="00616E51">
        <w:rPr>
          <w:b/>
          <w:bCs/>
        </w:rPr>
        <w:t>Susanna Grigoryan</w:t>
      </w:r>
      <w:r w:rsidRPr="00616E51">
        <w:t>, an </w:t>
      </w:r>
      <w:r w:rsidRPr="00616E51">
        <w:rPr>
          <w:b/>
          <w:bCs/>
        </w:rPr>
        <w:t>Economist at the Central Bank of</w:t>
      </w:r>
      <w:r w:rsidR="002A2525">
        <w:rPr>
          <w:b/>
          <w:bCs/>
        </w:rPr>
        <w:t xml:space="preserve"> </w:t>
      </w:r>
      <w:r w:rsidRPr="00616E51">
        <w:rPr>
          <w:b/>
          <w:bCs/>
        </w:rPr>
        <w:t>Armenia</w:t>
      </w:r>
      <w:r w:rsidRPr="00616E51">
        <w:t> and a </w:t>
      </w:r>
      <w:r w:rsidRPr="00616E51">
        <w:rPr>
          <w:b/>
          <w:bCs/>
        </w:rPr>
        <w:t>Level One student at the Global Forecasting School</w:t>
      </w:r>
      <w:r w:rsidRPr="00616E51">
        <w:t>.</w:t>
      </w:r>
      <w:r w:rsidR="002A2525">
        <w:t xml:space="preserve">  </w:t>
      </w:r>
      <w:r w:rsidRPr="00616E51">
        <w:t>In this video, we’ll explore how the modern era of monetary policy began — the birth of </w:t>
      </w:r>
      <w:r w:rsidRPr="00616E51">
        <w:rPr>
          <w:b/>
          <w:bCs/>
        </w:rPr>
        <w:t>inflation targeting</w:t>
      </w:r>
      <w:r w:rsidRPr="00616E51">
        <w:t>, a framework that transformed central banking worldwide and continues to shape our work today.</w:t>
      </w:r>
    </w:p>
    <w:p w14:paraId="7D32E890" w14:textId="24EACB0B" w:rsidR="00550764" w:rsidRPr="00616E51" w:rsidRDefault="00550764" w:rsidP="00550764">
      <w:pPr>
        <w:jc w:val="both"/>
      </w:pPr>
      <w:r w:rsidRPr="00616E51">
        <w:t>By the late 1980s, both advanced and small open economies had learned two hard</w:t>
      </w:r>
      <w:r>
        <w:t xml:space="preserve"> </w:t>
      </w:r>
      <w:r w:rsidRPr="00616E51">
        <w:t>lessons from the 1970s.</w:t>
      </w:r>
      <w:r>
        <w:t xml:space="preserve"> </w:t>
      </w:r>
      <w:r w:rsidRPr="00616E51">
        <w:t>First, </w:t>
      </w:r>
      <w:r w:rsidRPr="00616E51">
        <w:rPr>
          <w:b/>
          <w:bCs/>
        </w:rPr>
        <w:t>monetary targeting</w:t>
      </w:r>
      <w:r w:rsidRPr="00616E51">
        <w:t xml:space="preserve"> was no longer a reliable guide for </w:t>
      </w:r>
      <w:r>
        <w:t>p</w:t>
      </w:r>
      <w:r w:rsidRPr="00616E51">
        <w:t>olicy in an era of rapid financial innovation and unstable money demand.</w:t>
      </w:r>
      <w:r w:rsidRPr="00616E51">
        <w:br/>
        <w:t>Second, </w:t>
      </w:r>
      <w:r w:rsidRPr="00616E51">
        <w:rPr>
          <w:b/>
          <w:bCs/>
        </w:rPr>
        <w:t>credibility</w:t>
      </w:r>
      <w:r w:rsidRPr="00616E51">
        <w:t xml:space="preserve"> — the ability to anchor inflation expectations through strong institutions — had become the most </w:t>
      </w:r>
      <w:proofErr w:type="gramStart"/>
      <w:r w:rsidRPr="00616E51">
        <w:t>valuable asset</w:t>
      </w:r>
      <w:proofErr w:type="gramEnd"/>
      <w:r w:rsidRPr="00616E51">
        <w:t xml:space="preserve"> in monetary policy.</w:t>
      </w:r>
    </w:p>
    <w:p w14:paraId="2510E1D6" w14:textId="77777777" w:rsidR="00550764" w:rsidRPr="00616E51" w:rsidRDefault="00550764" w:rsidP="00550764">
      <w:pPr>
        <w:jc w:val="both"/>
      </w:pPr>
      <w:r w:rsidRPr="00616E51">
        <w:t>Escaping high and volatile inflation required a new framework — one built on three pillars: a </w:t>
      </w:r>
      <w:r w:rsidRPr="00616E51">
        <w:rPr>
          <w:b/>
          <w:bCs/>
        </w:rPr>
        <w:t>clear nominal anchor</w:t>
      </w:r>
      <w:r w:rsidRPr="00616E51">
        <w:t>, </w:t>
      </w:r>
      <w:r w:rsidRPr="00616E51">
        <w:rPr>
          <w:b/>
          <w:bCs/>
        </w:rPr>
        <w:t>operational independence</w:t>
      </w:r>
      <w:r w:rsidRPr="00616E51">
        <w:t>, and </w:t>
      </w:r>
      <w:r w:rsidRPr="00616E51">
        <w:rPr>
          <w:b/>
          <w:bCs/>
        </w:rPr>
        <w:t>transparent communication</w:t>
      </w:r>
      <w:r w:rsidRPr="00616E51">
        <w:t>, so that the public could understand and evaluate policy trade-offs.</w:t>
      </w:r>
    </w:p>
    <w:p w14:paraId="13B49C99" w14:textId="16569F38" w:rsidR="00550764" w:rsidRPr="00616E51" w:rsidRDefault="00550764" w:rsidP="00550764">
      <w:pPr>
        <w:jc w:val="both"/>
      </w:pPr>
      <w:r w:rsidRPr="00616E51">
        <w:t>New Zealand led the way. Its </w:t>
      </w:r>
      <w:r w:rsidRPr="00616E51">
        <w:rPr>
          <w:b/>
          <w:bCs/>
        </w:rPr>
        <w:t>1989 Reserve Bank Act</w:t>
      </w:r>
      <w:r w:rsidRPr="00616E51">
        <w:t> gave the central bank operational independence and a single objective: </w:t>
      </w:r>
      <w:r w:rsidRPr="00616E51">
        <w:rPr>
          <w:b/>
          <w:bCs/>
        </w:rPr>
        <w:t>price stability</w:t>
      </w:r>
      <w:r w:rsidRPr="00616E51">
        <w:t>.</w:t>
      </w:r>
      <w:r>
        <w:t xml:space="preserve"> </w:t>
      </w:r>
      <w:r w:rsidRPr="00616E51">
        <w:t>This objective was implemented through a </w:t>
      </w:r>
      <w:r w:rsidRPr="00616E51">
        <w:rPr>
          <w:b/>
          <w:bCs/>
        </w:rPr>
        <w:t>Policy Targets Agreement</w:t>
      </w:r>
      <w:r w:rsidRPr="00616E51">
        <w:t>, or PTA, which made the Governor directly accountable for achieving the target.</w:t>
      </w:r>
      <w:r>
        <w:t xml:space="preserve"> </w:t>
      </w:r>
      <w:r w:rsidRPr="00616E51">
        <w:t>This innovation marked the birth of </w:t>
      </w:r>
      <w:r w:rsidRPr="00616E51">
        <w:rPr>
          <w:b/>
          <w:bCs/>
        </w:rPr>
        <w:t>modern inflation targeting</w:t>
      </w:r>
      <w:r w:rsidRPr="00616E51">
        <w:t> — and a new mindset for making policy decisions under uncertainty.</w:t>
      </w:r>
    </w:p>
    <w:p w14:paraId="12E8427F" w14:textId="34F855AE" w:rsidR="00550764" w:rsidRPr="00616E51" w:rsidRDefault="00550764" w:rsidP="00550764">
      <w:pPr>
        <w:jc w:val="both"/>
      </w:pPr>
      <w:r w:rsidRPr="00616E51">
        <w:t>While New Zealand was the first to adopt explicit inflation targeting, the </w:t>
      </w:r>
      <w:r w:rsidRPr="00616E51">
        <w:rPr>
          <w:b/>
          <w:bCs/>
        </w:rPr>
        <w:t>Bank of Canada</w:t>
      </w:r>
      <w:r w:rsidRPr="00616E51">
        <w:t> had already developed the analytical foundation that made such frameworks credible in practice.</w:t>
      </w:r>
      <w:r>
        <w:t xml:space="preserve"> </w:t>
      </w:r>
      <w:r w:rsidRPr="00616E51">
        <w:t>When the </w:t>
      </w:r>
      <w:r w:rsidRPr="00616E51">
        <w:rPr>
          <w:b/>
          <w:bCs/>
        </w:rPr>
        <w:t>Reserve Bank of New Zealand</w:t>
      </w:r>
      <w:r w:rsidRPr="00616E51">
        <w:t> sought to strengthen its process, it adopted </w:t>
      </w:r>
      <w:r w:rsidRPr="00616E51">
        <w:rPr>
          <w:b/>
          <w:bCs/>
        </w:rPr>
        <w:t>model-based analysis</w:t>
      </w:r>
      <w:r w:rsidRPr="00616E51">
        <w:t> and structured decision-making tools pioneered in Canada through the </w:t>
      </w:r>
      <w:r w:rsidRPr="00616E51">
        <w:rPr>
          <w:b/>
          <w:bCs/>
        </w:rPr>
        <w:t>Quarterly Projection Model</w:t>
      </w:r>
      <w:r w:rsidRPr="00616E51">
        <w:t>, or QPM.</w:t>
      </w:r>
      <w:r w:rsidRPr="00616E51">
        <w:br/>
        <w:t>In essence, New Zealand created the first </w:t>
      </w:r>
      <w:r w:rsidRPr="00616E51">
        <w:rPr>
          <w:b/>
          <w:bCs/>
        </w:rPr>
        <w:t>legal and institutional</w:t>
      </w:r>
      <w:r w:rsidRPr="00616E51">
        <w:t> inflation-targeting regime, while Canada built the </w:t>
      </w:r>
      <w:r w:rsidRPr="00616E51">
        <w:rPr>
          <w:b/>
          <w:bCs/>
        </w:rPr>
        <w:t>analytical process</w:t>
      </w:r>
      <w:r w:rsidRPr="00616E51">
        <w:t> that became the global standard.</w:t>
      </w:r>
    </w:p>
    <w:p w14:paraId="19364DB9" w14:textId="77777777" w:rsidR="00550764" w:rsidRDefault="00550764" w:rsidP="00550764">
      <w:pPr>
        <w:jc w:val="both"/>
      </w:pPr>
      <w:r w:rsidRPr="00616E51">
        <w:lastRenderedPageBreak/>
        <w:t>New Zealand’s experience can be seen as a journey — what we call </w:t>
      </w:r>
      <w:r w:rsidRPr="00616E51">
        <w:rPr>
          <w:b/>
          <w:bCs/>
        </w:rPr>
        <w:t>the New Zealand Arc</w:t>
      </w:r>
      <w:r w:rsidRPr="00616E51">
        <w:t>.</w:t>
      </w:r>
    </w:p>
    <w:p w14:paraId="0C81347A" w14:textId="77777777" w:rsidR="00550764" w:rsidRDefault="00550764" w:rsidP="00550764">
      <w:pPr>
        <w:pStyle w:val="ListParagraph"/>
        <w:numPr>
          <w:ilvl w:val="0"/>
          <w:numId w:val="3"/>
        </w:numPr>
        <w:jc w:val="both"/>
      </w:pPr>
      <w:r w:rsidRPr="00616E51">
        <w:br/>
        <w:t>In </w:t>
      </w:r>
      <w:r w:rsidRPr="00550764">
        <w:rPr>
          <w:b/>
          <w:bCs/>
        </w:rPr>
        <w:t>Stage One</w:t>
      </w:r>
      <w:r w:rsidRPr="00616E51">
        <w:t>, from 1989 to 1992, the focus was </w:t>
      </w:r>
      <w:r w:rsidRPr="00550764">
        <w:rPr>
          <w:b/>
          <w:bCs/>
        </w:rPr>
        <w:t>credible disinflation</w:t>
      </w:r>
      <w:r w:rsidRPr="00616E51">
        <w:t>: the PTA anchored expectations and quickly brought inflation down.</w:t>
      </w:r>
    </w:p>
    <w:p w14:paraId="53AE49EF" w14:textId="77777777" w:rsidR="00550764" w:rsidRDefault="00550764" w:rsidP="00550764">
      <w:pPr>
        <w:pStyle w:val="ListParagraph"/>
        <w:numPr>
          <w:ilvl w:val="0"/>
          <w:numId w:val="3"/>
        </w:numPr>
        <w:jc w:val="both"/>
      </w:pPr>
      <w:r w:rsidRPr="00616E51">
        <w:t>In </w:t>
      </w:r>
      <w:r w:rsidRPr="00550764">
        <w:rPr>
          <w:b/>
          <w:bCs/>
        </w:rPr>
        <w:t>Stage Two</w:t>
      </w:r>
      <w:r w:rsidRPr="00616E51">
        <w:t>, beginning in the mid-1990s, the framework evolved into </w:t>
      </w:r>
      <w:r w:rsidRPr="00550764">
        <w:rPr>
          <w:b/>
          <w:bCs/>
        </w:rPr>
        <w:t>flexible inflation targeting</w:t>
      </w:r>
      <w:r w:rsidRPr="00616E51">
        <w:t>, recognizing short-run trade-offs between inflation and output.</w:t>
      </w:r>
    </w:p>
    <w:p w14:paraId="40256352" w14:textId="77777777" w:rsidR="00550764" w:rsidRDefault="00550764" w:rsidP="00550764">
      <w:pPr>
        <w:pStyle w:val="ListParagraph"/>
        <w:numPr>
          <w:ilvl w:val="0"/>
          <w:numId w:val="3"/>
        </w:numPr>
        <w:jc w:val="both"/>
      </w:pPr>
      <w:r w:rsidRPr="00616E51">
        <w:t>In </w:t>
      </w:r>
      <w:r w:rsidRPr="00550764">
        <w:rPr>
          <w:b/>
          <w:bCs/>
        </w:rPr>
        <w:t>Stage Three</w:t>
      </w:r>
      <w:r w:rsidRPr="00616E51">
        <w:t>, during the late 1990s, the RBNZ refined its </w:t>
      </w:r>
      <w:r w:rsidRPr="00550764">
        <w:rPr>
          <w:b/>
          <w:bCs/>
        </w:rPr>
        <w:t>tools and communication</w:t>
      </w:r>
      <w:r w:rsidRPr="00616E51">
        <w:t> — publishing the forward policy-rate path and replacing the </w:t>
      </w:r>
      <w:r w:rsidRPr="00550764">
        <w:rPr>
          <w:b/>
          <w:bCs/>
        </w:rPr>
        <w:t>Monetary Conditions Index</w:t>
      </w:r>
      <w:r w:rsidRPr="00616E51">
        <w:t> with the </w:t>
      </w:r>
      <w:r w:rsidRPr="00550764">
        <w:rPr>
          <w:b/>
          <w:bCs/>
        </w:rPr>
        <w:t>Official Cash Rate</w:t>
      </w:r>
      <w:r w:rsidRPr="00616E51">
        <w:t>.</w:t>
      </w:r>
      <w:r>
        <w:t xml:space="preserve"> </w:t>
      </w:r>
    </w:p>
    <w:p w14:paraId="734BBC5A" w14:textId="29E137C6" w:rsidR="00550764" w:rsidRPr="00616E51" w:rsidRDefault="00550764" w:rsidP="00550764">
      <w:pPr>
        <w:pStyle w:val="ListParagraph"/>
        <w:numPr>
          <w:ilvl w:val="0"/>
          <w:numId w:val="3"/>
        </w:numPr>
        <w:jc w:val="both"/>
      </w:pPr>
      <w:r w:rsidRPr="00616E51">
        <w:t>And in </w:t>
      </w:r>
      <w:r w:rsidRPr="00550764">
        <w:rPr>
          <w:b/>
          <w:bCs/>
        </w:rPr>
        <w:t>Stage Four</w:t>
      </w:r>
      <w:r w:rsidRPr="00616E51">
        <w:t>, from the 2000s onward, the RBNZ emphasized </w:t>
      </w:r>
      <w:r w:rsidRPr="00550764">
        <w:rPr>
          <w:b/>
          <w:bCs/>
        </w:rPr>
        <w:t>transparency and macroprudential integration</w:t>
      </w:r>
      <w:r w:rsidRPr="00616E51">
        <w:t>, uniting price stability and financial stability within a coherent communication strategy.</w:t>
      </w:r>
    </w:p>
    <w:p w14:paraId="3B85CE11" w14:textId="4C1ED322" w:rsidR="00550764" w:rsidRPr="00616E51" w:rsidRDefault="00550764" w:rsidP="00550764">
      <w:pPr>
        <w:jc w:val="both"/>
      </w:pPr>
      <w:r w:rsidRPr="00616E51">
        <w:t>Meanwhile, the </w:t>
      </w:r>
      <w:r w:rsidRPr="00616E51">
        <w:rPr>
          <w:b/>
          <w:bCs/>
        </w:rPr>
        <w:t>Bank of Canada’s framework</w:t>
      </w:r>
      <w:r w:rsidRPr="00616E51">
        <w:t> was quietly shaping how central banks thought about policy around the world.</w:t>
      </w:r>
      <w:r>
        <w:t xml:space="preserve"> </w:t>
      </w:r>
      <w:r w:rsidRPr="00616E51">
        <w:t>Its </w:t>
      </w:r>
      <w:r w:rsidRPr="00616E51">
        <w:rPr>
          <w:b/>
          <w:bCs/>
        </w:rPr>
        <w:t>Quarterly Projection Model</w:t>
      </w:r>
      <w:r w:rsidRPr="00616E51">
        <w:t> embedded rational expectations, loss functions, and endogenous credibility — linking economic projections directly to policy-rate decisions.</w:t>
      </w:r>
      <w:r>
        <w:t xml:space="preserve"> </w:t>
      </w:r>
      <w:r w:rsidRPr="00616E51">
        <w:t>This made policy responses to shocks both systematic and transparent.</w:t>
      </w:r>
    </w:p>
    <w:p w14:paraId="173F484E" w14:textId="0EF28DCB" w:rsidR="00550764" w:rsidRPr="00616E51" w:rsidRDefault="00550764" w:rsidP="00550764">
      <w:pPr>
        <w:jc w:val="both"/>
      </w:pPr>
      <w:r w:rsidRPr="00616E51">
        <w:t>Two features of the Canadian approach soon became global norms:</w:t>
      </w:r>
      <w:r w:rsidRPr="00616E51">
        <w:br/>
        <w:t>first, </w:t>
      </w:r>
      <w:r w:rsidRPr="00616E51">
        <w:rPr>
          <w:b/>
          <w:bCs/>
        </w:rPr>
        <w:t>publishing endogenous interest-rate paths</w:t>
      </w:r>
      <w:r w:rsidRPr="00616E51">
        <w:t>, and second, using </w:t>
      </w:r>
      <w:r w:rsidRPr="00616E51">
        <w:rPr>
          <w:b/>
          <w:bCs/>
        </w:rPr>
        <w:t>transparency</w:t>
      </w:r>
      <w:r w:rsidRPr="00616E51">
        <w:t> as an active tool of policy transmission.</w:t>
      </w:r>
      <w:r>
        <w:t xml:space="preserve"> </w:t>
      </w:r>
      <w:r w:rsidRPr="00616E51">
        <w:t>The RBNZ and many others later adopted these practices, showing how </w:t>
      </w:r>
      <w:r w:rsidRPr="00616E51">
        <w:rPr>
          <w:b/>
          <w:bCs/>
        </w:rPr>
        <w:t>institutional credibility</w:t>
      </w:r>
      <w:r w:rsidRPr="00616E51">
        <w:t> and </w:t>
      </w:r>
      <w:r w:rsidRPr="00616E51">
        <w:rPr>
          <w:b/>
          <w:bCs/>
        </w:rPr>
        <w:t>analytical credibility</w:t>
      </w:r>
      <w:r w:rsidRPr="00616E51">
        <w:t> reinforce each other.</w:t>
      </w:r>
    </w:p>
    <w:p w14:paraId="71C5A1EA" w14:textId="77777777" w:rsidR="00550764" w:rsidRPr="00616E51" w:rsidRDefault="00550764" w:rsidP="00550764">
      <w:pPr>
        <w:jc w:val="both"/>
      </w:pPr>
      <w:r w:rsidRPr="00616E51">
        <w:t>Inflation targeting also rests on two deep intellectual roots.</w:t>
      </w:r>
    </w:p>
    <w:p w14:paraId="45E17615" w14:textId="1DEFCD61" w:rsidR="00550764" w:rsidRPr="00616E51" w:rsidRDefault="00550764" w:rsidP="00550764">
      <w:pPr>
        <w:jc w:val="both"/>
      </w:pPr>
      <w:r w:rsidRPr="00616E51">
        <w:t>The first is the </w:t>
      </w:r>
      <w:r w:rsidRPr="00616E51">
        <w:rPr>
          <w:b/>
          <w:bCs/>
        </w:rPr>
        <w:t>Long-Run Natural Rate Hypothesis</w:t>
      </w:r>
      <w:r w:rsidRPr="00616E51">
        <w:t>.</w:t>
      </w:r>
      <w:r w:rsidR="002A2525">
        <w:t xml:space="preserve"> </w:t>
      </w:r>
      <w:r w:rsidRPr="00616E51">
        <w:t>Economists </w:t>
      </w:r>
      <w:r w:rsidRPr="00616E51">
        <w:rPr>
          <w:b/>
          <w:bCs/>
        </w:rPr>
        <w:t>Milton</w:t>
      </w:r>
      <w:r w:rsidR="002A2525">
        <w:rPr>
          <w:b/>
          <w:bCs/>
        </w:rPr>
        <w:t xml:space="preserve"> </w:t>
      </w:r>
      <w:r w:rsidRPr="00616E51">
        <w:rPr>
          <w:b/>
          <w:bCs/>
        </w:rPr>
        <w:t>Friedman</w:t>
      </w:r>
      <w:r w:rsidRPr="00616E51">
        <w:t> and </w:t>
      </w:r>
      <w:r w:rsidRPr="00616E51">
        <w:rPr>
          <w:b/>
          <w:bCs/>
        </w:rPr>
        <w:t>Edmund Phelps</w:t>
      </w:r>
      <w:r w:rsidRPr="00616E51">
        <w:t> showed that only policies anchored in expectations can</w:t>
      </w:r>
      <w:r w:rsidR="002A2525">
        <w:t xml:space="preserve"> </w:t>
      </w:r>
      <w:r w:rsidRPr="00616E51">
        <w:t>stabilize both inflation and output.</w:t>
      </w:r>
      <w:r>
        <w:t xml:space="preserve"> </w:t>
      </w:r>
      <w:r w:rsidRPr="00616E51">
        <w:t>When that principle was ignored, it led to the </w:t>
      </w:r>
      <w:r w:rsidRPr="00616E51">
        <w:rPr>
          <w:b/>
          <w:bCs/>
        </w:rPr>
        <w:t>Great Inflation</w:t>
      </w:r>
      <w:r w:rsidRPr="00616E51">
        <w:t> of the 1970s.</w:t>
      </w:r>
      <w:r>
        <w:t xml:space="preserve"> </w:t>
      </w:r>
      <w:r w:rsidRPr="00616E51">
        <w:t>Later, </w:t>
      </w:r>
      <w:r w:rsidRPr="00616E51">
        <w:rPr>
          <w:b/>
          <w:bCs/>
        </w:rPr>
        <w:t>Freedman and Laxton (2009)</w:t>
      </w:r>
      <w:r w:rsidRPr="00616E51">
        <w:t> explained how the </w:t>
      </w:r>
      <w:r w:rsidRPr="00616E51">
        <w:rPr>
          <w:b/>
          <w:bCs/>
        </w:rPr>
        <w:t>Bank of Canada</w:t>
      </w:r>
      <w:r w:rsidRPr="00616E51">
        <w:t> embedded this insight into its framework to ensure lasting credibility and macroeconomic stability.</w:t>
      </w:r>
    </w:p>
    <w:p w14:paraId="757BE901" w14:textId="26C7A108" w:rsidR="00550764" w:rsidRPr="00616E51" w:rsidRDefault="00550764" w:rsidP="00550764">
      <w:pPr>
        <w:jc w:val="both"/>
      </w:pPr>
      <w:r w:rsidRPr="00616E51">
        <w:t>The second root is the </w:t>
      </w:r>
      <w:r w:rsidRPr="00616E51">
        <w:rPr>
          <w:b/>
          <w:bCs/>
        </w:rPr>
        <w:t>Time-Inconsistency Problem</w:t>
      </w:r>
      <w:r w:rsidRPr="00616E51">
        <w:t>, identified by </w:t>
      </w:r>
      <w:r w:rsidRPr="00616E51">
        <w:rPr>
          <w:b/>
          <w:bCs/>
        </w:rPr>
        <w:t>Kydland and Prescott (1977)</w:t>
      </w:r>
      <w:r w:rsidRPr="00616E51">
        <w:t> and </w:t>
      </w:r>
      <w:r w:rsidRPr="00616E51">
        <w:rPr>
          <w:b/>
          <w:bCs/>
        </w:rPr>
        <w:t>Barro and Gordon (1983)</w:t>
      </w:r>
      <w:r w:rsidRPr="00616E51">
        <w:t>.</w:t>
      </w:r>
      <w:r>
        <w:t xml:space="preserve"> </w:t>
      </w:r>
      <w:r w:rsidRPr="00616E51">
        <w:t>They showed that purely discretionary policy leads to an inflation bias — the temptation to boost output in the short run at the cost of higher inflation in the long run.</w:t>
      </w:r>
      <w:r>
        <w:t xml:space="preserve"> N</w:t>
      </w:r>
      <w:r w:rsidRPr="00616E51">
        <w:t>ew Zealand’s </w:t>
      </w:r>
      <w:r w:rsidRPr="00616E51">
        <w:rPr>
          <w:b/>
          <w:bCs/>
        </w:rPr>
        <w:t>1989 Act</w:t>
      </w:r>
      <w:r w:rsidRPr="00616E51">
        <w:t> addressed this directly by holding the Governor accountable for inflation outcomes.</w:t>
      </w:r>
      <w:r>
        <w:t xml:space="preserve"> </w:t>
      </w:r>
      <w:r w:rsidRPr="00616E51">
        <w:t>Later,</w:t>
      </w:r>
      <w:r>
        <w:t xml:space="preserve"> </w:t>
      </w:r>
      <w:r w:rsidRPr="00616E51">
        <w:t>several </w:t>
      </w:r>
      <w:r w:rsidRPr="00616E51">
        <w:rPr>
          <w:b/>
          <w:bCs/>
        </w:rPr>
        <w:t xml:space="preserve">Latin </w:t>
      </w:r>
      <w:r w:rsidRPr="00616E51">
        <w:rPr>
          <w:b/>
          <w:bCs/>
        </w:rPr>
        <w:lastRenderedPageBreak/>
        <w:t>American</w:t>
      </w:r>
      <w:r w:rsidRPr="00616E51">
        <w:t> economies adopted similar institutional reforms to rebuild credibility where years of instability had eroded public trust.</w:t>
      </w:r>
    </w:p>
    <w:p w14:paraId="50F4E1DD" w14:textId="77777777" w:rsidR="00550764" w:rsidRDefault="00550764" w:rsidP="00550764">
      <w:pPr>
        <w:jc w:val="both"/>
      </w:pPr>
      <w:r w:rsidRPr="00616E51">
        <w:t>Together, these two intellectual foundations demonstrate that </w:t>
      </w:r>
      <w:r w:rsidRPr="00616E51">
        <w:rPr>
          <w:b/>
          <w:bCs/>
        </w:rPr>
        <w:t>inflation targeting must combine model-based discipline with institutional integrity</w:t>
      </w:r>
      <w:r w:rsidRPr="00616E51">
        <w:t>.</w:t>
      </w:r>
      <w:r w:rsidRPr="00616E51">
        <w:br/>
        <w:t>New Zealand emphasized institutional credibility, while Canada developed analytical credibility.</w:t>
      </w:r>
    </w:p>
    <w:p w14:paraId="097F65D7" w14:textId="19CC33F9" w:rsidR="00550764" w:rsidRPr="00616E51" w:rsidRDefault="00550764" w:rsidP="00550764">
      <w:pPr>
        <w:jc w:val="both"/>
      </w:pPr>
      <w:r w:rsidRPr="00616E51">
        <w:t>Successful frameworks — including </w:t>
      </w:r>
      <w:r w:rsidRPr="00616E51">
        <w:rPr>
          <w:b/>
          <w:bCs/>
        </w:rPr>
        <w:t>Armenia’s Prudent Risk Management</w:t>
      </w:r>
      <w:r w:rsidR="00DF4E9F">
        <w:rPr>
          <w:b/>
          <w:bCs/>
        </w:rPr>
        <w:t xml:space="preserve"> </w:t>
      </w:r>
      <w:r w:rsidRPr="00616E51">
        <w:rPr>
          <w:b/>
          <w:bCs/>
        </w:rPr>
        <w:t>Approach</w:t>
      </w:r>
      <w:r w:rsidRPr="00616E51">
        <w:t> — integrate both.</w:t>
      </w:r>
      <w:r>
        <w:t xml:space="preserve"> </w:t>
      </w:r>
      <w:r w:rsidRPr="00616E51">
        <w:t>That brings us to </w:t>
      </w:r>
      <w:r w:rsidRPr="00616E51">
        <w:rPr>
          <w:b/>
          <w:bCs/>
        </w:rPr>
        <w:t>Armenia</w:t>
      </w:r>
      <w:r w:rsidRPr="00616E51">
        <w:t>.</w:t>
      </w:r>
      <w:r w:rsidR="00325B01">
        <w:t xml:space="preserve"> </w:t>
      </w:r>
      <w:r w:rsidRPr="00616E51">
        <w:t>Our </w:t>
      </w:r>
      <w:r w:rsidRPr="00616E51">
        <w:rPr>
          <w:b/>
          <w:bCs/>
        </w:rPr>
        <w:t>FPAS Mark II</w:t>
      </w:r>
      <w:r w:rsidRPr="00616E51">
        <w:t> framework</w:t>
      </w:r>
      <w:r w:rsidR="00DF4E9F">
        <w:t xml:space="preserve"> </w:t>
      </w:r>
      <w:r w:rsidRPr="00616E51">
        <w:t>builds directly on these two traditions.</w:t>
      </w:r>
      <w:r w:rsidR="00325B01">
        <w:t xml:space="preserve"> </w:t>
      </w:r>
      <w:r w:rsidRPr="00616E51">
        <w:t>Its </w:t>
      </w:r>
      <w:r w:rsidRPr="00616E51">
        <w:rPr>
          <w:b/>
          <w:bCs/>
        </w:rPr>
        <w:t>least-regrets approach</w:t>
      </w:r>
      <w:r w:rsidRPr="00616E51">
        <w:t> combines rules-</w:t>
      </w:r>
      <w:r w:rsidR="00DF4E9F">
        <w:t xml:space="preserve"> b</w:t>
      </w:r>
      <w:r w:rsidRPr="00616E51">
        <w:t>ased discipline with model-based flexibility.</w:t>
      </w:r>
      <w:r w:rsidR="00325B01">
        <w:t xml:space="preserve"> </w:t>
      </w:r>
      <w:r w:rsidRPr="00616E51">
        <w:t>Anchored expectations, transparent communication, and continuous learning are central to sustaining credibility and managing uncertainty.</w:t>
      </w:r>
    </w:p>
    <w:p w14:paraId="046C209B" w14:textId="3FF5BB62" w:rsidR="00550764" w:rsidRPr="00616E51" w:rsidRDefault="00550764" w:rsidP="00550764">
      <w:pPr>
        <w:jc w:val="both"/>
      </w:pPr>
      <w:r w:rsidRPr="00616E51">
        <w:t>In many ways, FPAS Mark II reflects the lessons of this global journey — from the failures of monetary targeting to the creation of credible, forward-looking frameworks grounded in analysis and accountability.</w:t>
      </w:r>
    </w:p>
    <w:p w14:paraId="002769C9" w14:textId="51227106" w:rsidR="00550764" w:rsidRPr="00616E51" w:rsidRDefault="00550764" w:rsidP="00550764">
      <w:pPr>
        <w:jc w:val="both"/>
      </w:pPr>
      <w:r w:rsidRPr="00616E51">
        <w:t>The </w:t>
      </w:r>
      <w:r w:rsidRPr="00616E51">
        <w:rPr>
          <w:b/>
          <w:bCs/>
        </w:rPr>
        <w:t>new era</w:t>
      </w:r>
      <w:r w:rsidRPr="00616E51">
        <w:t> of monetary policy was not just about new tools; it was about a new mindset.</w:t>
      </w:r>
      <w:r w:rsidRPr="00616E51">
        <w:br/>
        <w:t>Credibility, transparency, and analytical rigor became the foundation for modern central banking.</w:t>
      </w:r>
      <w:r>
        <w:t xml:space="preserve"> </w:t>
      </w:r>
      <w:r w:rsidRPr="00616E51">
        <w:t>And here in Armenia, those same principles continue to guide us as we strengthen our </w:t>
      </w:r>
      <w:r w:rsidRPr="00616E51">
        <w:rPr>
          <w:b/>
          <w:bCs/>
        </w:rPr>
        <w:t>Prudent Risk Management Approach</w:t>
      </w:r>
      <w:r w:rsidRPr="00616E51">
        <w:t> to meet the challenges of an ever-changing world.</w:t>
      </w:r>
    </w:p>
    <w:p w14:paraId="24C61C6F" w14:textId="77777777" w:rsidR="00550764" w:rsidRPr="00616E51" w:rsidRDefault="00550764" w:rsidP="00550764">
      <w:pPr>
        <w:jc w:val="both"/>
      </w:pPr>
      <w:r w:rsidRPr="00616E51">
        <w:t>Thank you for watching, and I look forward to seeing you in the next episode of the </w:t>
      </w:r>
      <w:r w:rsidRPr="00616E51">
        <w:rPr>
          <w:b/>
          <w:bCs/>
        </w:rPr>
        <w:t>CBA Academy</w:t>
      </w:r>
      <w:r w:rsidRPr="00616E51">
        <w:t>.</w:t>
      </w:r>
    </w:p>
    <w:p w14:paraId="5F3D9488" w14:textId="77777777" w:rsidR="00550764" w:rsidRDefault="00550764" w:rsidP="00550764"/>
    <w:p w14:paraId="3F905E02" w14:textId="77777777" w:rsidR="00B07A92" w:rsidRDefault="00B07A92" w:rsidP="00B07A92">
      <w:pPr>
        <w:rPr>
          <w:b/>
          <w:bCs/>
        </w:rPr>
      </w:pPr>
      <w:r w:rsidRPr="00B07A92">
        <w:rPr>
          <w:b/>
          <w:bCs/>
        </w:rPr>
        <w:t>See you there.</w:t>
      </w:r>
    </w:p>
    <w:p w14:paraId="553F2788" w14:textId="77777777" w:rsidR="009659F4" w:rsidRDefault="009659F4" w:rsidP="00B07A92">
      <w:pPr>
        <w:rPr>
          <w:b/>
          <w:bCs/>
        </w:rPr>
      </w:pPr>
    </w:p>
    <w:p w14:paraId="798F34E0" w14:textId="77777777" w:rsidR="009659F4" w:rsidRPr="009659F4" w:rsidRDefault="009659F4" w:rsidP="009659F4">
      <w:pPr>
        <w:rPr>
          <w:b/>
          <w:bCs/>
        </w:rPr>
      </w:pPr>
      <w:r w:rsidRPr="009659F4">
        <w:rPr>
          <w:b/>
          <w:bCs/>
        </w:rPr>
        <w:t>Literature &amp; Further Reading</w:t>
      </w:r>
    </w:p>
    <w:p w14:paraId="461E1148" w14:textId="77777777" w:rsidR="00416680" w:rsidRPr="00416680" w:rsidRDefault="00416680" w:rsidP="00416680">
      <w:pPr>
        <w:numPr>
          <w:ilvl w:val="0"/>
          <w:numId w:val="4"/>
        </w:numPr>
      </w:pPr>
      <w:r w:rsidRPr="00416680">
        <w:t>Haworth, C., Kostanyan, A., &amp; Laxton, D. (2019). </w:t>
      </w:r>
      <w:hyperlink r:id="rId7" w:tgtFrame="_blank" w:history="1">
        <w:r w:rsidRPr="00416680">
          <w:rPr>
            <w:rStyle w:val="Hyperlink"/>
          </w:rPr>
          <w:t>Transparent Monetary Policy: A History of Inflation Targeting in New Zealand.</w:t>
        </w:r>
      </w:hyperlink>
    </w:p>
    <w:p w14:paraId="0A89BF8A" w14:textId="77777777" w:rsidR="00416680" w:rsidRPr="00416680" w:rsidRDefault="00416680" w:rsidP="00416680">
      <w:pPr>
        <w:numPr>
          <w:ilvl w:val="0"/>
          <w:numId w:val="4"/>
        </w:numPr>
      </w:pPr>
      <w:r w:rsidRPr="00416680">
        <w:t>Barro, R., &amp; Gordon, D. (1983). </w:t>
      </w:r>
      <w:hyperlink r:id="rId8" w:tgtFrame="_blank" w:history="1">
        <w:r w:rsidRPr="00416680">
          <w:rPr>
            <w:rStyle w:val="Hyperlink"/>
          </w:rPr>
          <w:t>Rules, Discretion, and Reputation in a Model of Monetary Policy.</w:t>
        </w:r>
      </w:hyperlink>
    </w:p>
    <w:p w14:paraId="6185D671" w14:textId="77777777" w:rsidR="00416680" w:rsidRPr="00416680" w:rsidRDefault="00416680" w:rsidP="00416680">
      <w:pPr>
        <w:numPr>
          <w:ilvl w:val="0"/>
          <w:numId w:val="4"/>
        </w:numPr>
      </w:pPr>
      <w:r w:rsidRPr="00416680">
        <w:t>Friedman, M. (1968). </w:t>
      </w:r>
      <w:hyperlink r:id="rId9" w:tgtFrame="_blank" w:history="1">
        <w:r w:rsidRPr="00416680">
          <w:rPr>
            <w:rStyle w:val="Hyperlink"/>
          </w:rPr>
          <w:t>The Role of Monetary Policy.</w:t>
        </w:r>
      </w:hyperlink>
    </w:p>
    <w:p w14:paraId="66808790" w14:textId="77777777" w:rsidR="00416680" w:rsidRPr="00416680" w:rsidRDefault="00416680" w:rsidP="00416680">
      <w:pPr>
        <w:numPr>
          <w:ilvl w:val="0"/>
          <w:numId w:val="4"/>
        </w:numPr>
      </w:pPr>
      <w:r w:rsidRPr="00416680">
        <w:lastRenderedPageBreak/>
        <w:t>Kydland, F., &amp; Prescott, E. (1977). </w:t>
      </w:r>
      <w:hyperlink r:id="rId10" w:tgtFrame="_blank" w:history="1">
        <w:r w:rsidRPr="00416680">
          <w:rPr>
            <w:rStyle w:val="Hyperlink"/>
          </w:rPr>
          <w:t>Rules Rather than Discretion: The Inconsistency of Optimal Plans.</w:t>
        </w:r>
      </w:hyperlink>
    </w:p>
    <w:p w14:paraId="6BDD8955" w14:textId="77777777" w:rsidR="00416680" w:rsidRPr="00416680" w:rsidRDefault="00416680" w:rsidP="00416680">
      <w:pPr>
        <w:numPr>
          <w:ilvl w:val="0"/>
          <w:numId w:val="4"/>
        </w:numPr>
      </w:pPr>
      <w:r w:rsidRPr="00416680">
        <w:t>Phelps, E. (1968). </w:t>
      </w:r>
      <w:hyperlink r:id="rId11" w:tgtFrame="_blank" w:history="1">
        <w:r w:rsidRPr="00416680">
          <w:rPr>
            <w:rStyle w:val="Hyperlink"/>
          </w:rPr>
          <w:t>Money-Wage Dynamics and Labor Market Equilibrium.</w:t>
        </w:r>
      </w:hyperlink>
    </w:p>
    <w:p w14:paraId="2CEA82E8" w14:textId="77777777" w:rsidR="00416680" w:rsidRPr="00416680" w:rsidRDefault="00416680" w:rsidP="00416680">
      <w:pPr>
        <w:numPr>
          <w:ilvl w:val="0"/>
          <w:numId w:val="4"/>
        </w:numPr>
      </w:pPr>
      <w:r w:rsidRPr="00416680">
        <w:t>Rogoff, K. (1985). </w:t>
      </w:r>
      <w:hyperlink r:id="rId12" w:tgtFrame="_blank" w:history="1">
        <w:r w:rsidRPr="00416680">
          <w:rPr>
            <w:rStyle w:val="Hyperlink"/>
          </w:rPr>
          <w:t>The Optimal Degree of Commitment to an Intermediate Target.</w:t>
        </w:r>
      </w:hyperlink>
    </w:p>
    <w:p w14:paraId="3BACD007" w14:textId="77777777" w:rsidR="00416680" w:rsidRPr="00416680" w:rsidRDefault="00416680" w:rsidP="00416680">
      <w:pPr>
        <w:numPr>
          <w:ilvl w:val="0"/>
          <w:numId w:val="4"/>
        </w:numPr>
      </w:pPr>
      <w:r w:rsidRPr="00416680">
        <w:t>Walsh, C. (1995). </w:t>
      </w:r>
      <w:hyperlink r:id="rId13" w:tgtFrame="_blank" w:history="1">
        <w:r w:rsidRPr="00416680">
          <w:rPr>
            <w:rStyle w:val="Hyperlink"/>
          </w:rPr>
          <w:t>Optimal Contracts for Central Bankers.</w:t>
        </w:r>
      </w:hyperlink>
    </w:p>
    <w:p w14:paraId="6FB57CE6" w14:textId="77777777" w:rsidR="00416680" w:rsidRPr="00416680" w:rsidRDefault="00416680" w:rsidP="00416680">
      <w:pPr>
        <w:numPr>
          <w:ilvl w:val="0"/>
          <w:numId w:val="4"/>
        </w:numPr>
      </w:pPr>
      <w:r w:rsidRPr="00416680">
        <w:t>Freedman, C., &amp; Laxton, D. (2009). </w:t>
      </w:r>
      <w:hyperlink r:id="rId14" w:tgtFrame="_blank" w:history="1">
        <w:r w:rsidRPr="00416680">
          <w:rPr>
            <w:rStyle w:val="Hyperlink"/>
          </w:rPr>
          <w:t>Why Inflation Targeting? IMF Working Paper.</w:t>
        </w:r>
      </w:hyperlink>
    </w:p>
    <w:p w14:paraId="744CF77B" w14:textId="77777777" w:rsidR="0072308F" w:rsidRDefault="0072308F"/>
    <w:sectPr w:rsidR="0072308F" w:rsidSect="0072308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9A2D0" w14:textId="77777777" w:rsidR="00101A42" w:rsidRDefault="00101A42" w:rsidP="0072308F">
      <w:pPr>
        <w:spacing w:after="0" w:line="240" w:lineRule="auto"/>
      </w:pPr>
      <w:r>
        <w:separator/>
      </w:r>
    </w:p>
  </w:endnote>
  <w:endnote w:type="continuationSeparator" w:id="0">
    <w:p w14:paraId="51098985" w14:textId="77777777" w:rsidR="00101A42" w:rsidRDefault="00101A42" w:rsidP="00723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15DD0" w14:textId="77777777" w:rsidR="0072308F" w:rsidRDefault="007230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9552D" w14:textId="77777777" w:rsidR="0072308F" w:rsidRDefault="0072308F">
    <w:pPr>
      <w:pStyle w:val="Footer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75CE2ABF" w14:textId="77777777" w:rsidR="0072308F" w:rsidRDefault="007230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769F9" w14:textId="77777777" w:rsidR="0072308F" w:rsidRDefault="007230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E2645" w14:textId="77777777" w:rsidR="00101A42" w:rsidRDefault="00101A42" w:rsidP="0072308F">
      <w:pPr>
        <w:spacing w:after="0" w:line="240" w:lineRule="auto"/>
      </w:pPr>
      <w:r>
        <w:separator/>
      </w:r>
    </w:p>
  </w:footnote>
  <w:footnote w:type="continuationSeparator" w:id="0">
    <w:p w14:paraId="16220FA1" w14:textId="77777777" w:rsidR="00101A42" w:rsidRDefault="00101A42" w:rsidP="00723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512AB" w14:textId="77777777" w:rsidR="0072308F" w:rsidRDefault="007230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72308F" w14:paraId="4FF94FDD" w14:textId="77777777" w:rsidTr="0072308F">
      <w:tc>
        <w:tcPr>
          <w:tcW w:w="4508" w:type="dxa"/>
        </w:tcPr>
        <w:p w14:paraId="7E8B976A" w14:textId="52742C5B" w:rsidR="0072308F" w:rsidRDefault="0072308F">
          <w:pPr>
            <w:spacing w:line="264" w:lineRule="auto"/>
          </w:pPr>
          <w:r>
            <w:rPr>
              <w:noProof/>
            </w:rPr>
            <w:drawing>
              <wp:inline distT="0" distB="0" distL="0" distR="0" wp14:anchorId="4DD67A05" wp14:editId="79E9C5C3">
                <wp:extent cx="985837" cy="718131"/>
                <wp:effectExtent l="0" t="0" r="5080" b="6350"/>
                <wp:docPr id="4301005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8910838" name="Picture 53891083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982" cy="732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8" w:type="dxa"/>
        </w:tcPr>
        <w:p w14:paraId="4C3CB505" w14:textId="28E1B944" w:rsidR="0072308F" w:rsidRDefault="0072308F" w:rsidP="0072308F">
          <w:pPr>
            <w:spacing w:line="264" w:lineRule="auto"/>
            <w:jc w:val="right"/>
          </w:pPr>
          <w:r>
            <w:rPr>
              <w:noProof/>
            </w:rPr>
            <w:drawing>
              <wp:inline distT="0" distB="0" distL="0" distR="0" wp14:anchorId="768D2550" wp14:editId="709BD820">
                <wp:extent cx="809625" cy="809625"/>
                <wp:effectExtent l="0" t="0" r="9525" b="9525"/>
                <wp:docPr id="135099171" name="Picture 2" descr="A globe with a world map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1183935" name="Picture 2" descr="A globe with a world map&#10;&#10;AI-generated content may be incorrect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4760" cy="814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0EC4AC4" w14:textId="5701E787" w:rsidR="0072308F" w:rsidRDefault="0072308F" w:rsidP="0072308F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FD75DD" wp14:editId="1D9F683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6B2A020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F1CDE" w14:textId="77777777" w:rsidR="0072308F" w:rsidRDefault="007230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E19FE"/>
    <w:multiLevelType w:val="multilevel"/>
    <w:tmpl w:val="9AC4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4139A"/>
    <w:multiLevelType w:val="multilevel"/>
    <w:tmpl w:val="7CFE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F0CB0"/>
    <w:multiLevelType w:val="multilevel"/>
    <w:tmpl w:val="D1FC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F2326"/>
    <w:multiLevelType w:val="hybridMultilevel"/>
    <w:tmpl w:val="6358BE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826114">
    <w:abstractNumId w:val="0"/>
  </w:num>
  <w:num w:numId="2" w16cid:durableId="1105033860">
    <w:abstractNumId w:val="2"/>
  </w:num>
  <w:num w:numId="3" w16cid:durableId="814569369">
    <w:abstractNumId w:val="3"/>
  </w:num>
  <w:num w:numId="4" w16cid:durableId="888955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90D"/>
    <w:rsid w:val="000064B8"/>
    <w:rsid w:val="00017610"/>
    <w:rsid w:val="00087444"/>
    <w:rsid w:val="000B4C75"/>
    <w:rsid w:val="00101A42"/>
    <w:rsid w:val="002A2525"/>
    <w:rsid w:val="002F0FAD"/>
    <w:rsid w:val="00325B01"/>
    <w:rsid w:val="003E0332"/>
    <w:rsid w:val="00416680"/>
    <w:rsid w:val="00456F43"/>
    <w:rsid w:val="004B4DD7"/>
    <w:rsid w:val="004F58F3"/>
    <w:rsid w:val="00550764"/>
    <w:rsid w:val="0056772D"/>
    <w:rsid w:val="00721C29"/>
    <w:rsid w:val="0072308F"/>
    <w:rsid w:val="007F690D"/>
    <w:rsid w:val="0092071B"/>
    <w:rsid w:val="009659F4"/>
    <w:rsid w:val="00B07A92"/>
    <w:rsid w:val="00BC2A6B"/>
    <w:rsid w:val="00CB466F"/>
    <w:rsid w:val="00D43124"/>
    <w:rsid w:val="00DF4E9F"/>
    <w:rsid w:val="00F2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2A9C4B"/>
  <w15:chartTrackingRefBased/>
  <w15:docId w15:val="{06F01EE7-ED29-42F3-9059-F272FF82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6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6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9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3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08F"/>
  </w:style>
  <w:style w:type="paragraph" w:styleId="Footer">
    <w:name w:val="footer"/>
    <w:basedOn w:val="Normal"/>
    <w:link w:val="FooterChar"/>
    <w:uiPriority w:val="99"/>
    <w:unhideWhenUsed/>
    <w:rsid w:val="00723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08F"/>
  </w:style>
  <w:style w:type="table" w:styleId="TableGrid">
    <w:name w:val="Table Grid"/>
    <w:basedOn w:val="TableNormal"/>
    <w:uiPriority w:val="39"/>
    <w:rsid w:val="00723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30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08F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659F4"/>
  </w:style>
  <w:style w:type="character" w:customStyle="1" w:styleId="DateChar">
    <w:name w:val="Date Char"/>
    <w:basedOn w:val="DefaultParagraphFont"/>
    <w:link w:val="Date"/>
    <w:uiPriority w:val="99"/>
    <w:semiHidden/>
    <w:rsid w:val="00965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ber.org/papers/w1079" TargetMode="External"/><Relationship Id="rId13" Type="http://schemas.openxmlformats.org/officeDocument/2006/relationships/hyperlink" Target="https://people.ucsc.edu/~walshc/MyPapers/OptimalContracts.pdf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lse.ac.uk/iga/assets/documents/research-and-publications/Transparent-Monetary-Policy-a-history-of-inflation-targeting-in-New-Zealand.pdf" TargetMode="External"/><Relationship Id="rId12" Type="http://schemas.openxmlformats.org/officeDocument/2006/relationships/hyperlink" Target="https://www.jstor.org/stable/1885679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jstor.org/stable/1830370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sfu.ca/~kkasa/prescott_77.pdf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miltonfriedman.hoover.org/internal/media/dispatcher/214919/full" TargetMode="External"/><Relationship Id="rId14" Type="http://schemas.openxmlformats.org/officeDocument/2006/relationships/hyperlink" Target="https://www.imf.org/external/pubs/ft/wp/2009/wp0986.pdf" TargetMode="Externa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1073</Words>
  <Characters>6345</Characters>
  <Application>Microsoft Office Word</Application>
  <DocSecurity>0</DocSecurity>
  <Lines>115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Asya Kostanyan</dc:creator>
  <cp:keywords/>
  <dc:description/>
  <cp:lastModifiedBy>Asya Kostanyan</cp:lastModifiedBy>
  <cp:revision>10</cp:revision>
  <cp:lastPrinted>2025-11-12T21:35:00Z</cp:lastPrinted>
  <dcterms:created xsi:type="dcterms:W3CDTF">2025-11-07T14:25:00Z</dcterms:created>
  <dcterms:modified xsi:type="dcterms:W3CDTF">2025-11-12T22:06:00Z</dcterms:modified>
</cp:coreProperties>
</file>