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18 – Measuring and Enhancing Transparency</w:t>
      </w:r>
    </w:p>
    <w:p>
      <w:pPr>
        <w:pStyle w:val="Heading2"/>
      </w:pPr>
      <w:r>
        <w:t>Economist Note – Video 18: Measuring and Enhancing Transparency</w:t>
      </w:r>
    </w:p>
    <w:p>
      <w:pPr>
        <w:pStyle w:val="Heading3"/>
      </w:pPr>
      <w:r>
        <w:t>Introduction</w:t>
      </w:r>
    </w:p>
    <w:p>
      <w:r>
        <w:t>Transparency is one of the central pillars of FPAS Mark II. For a small open economy,</w:t>
      </w:r>
    </w:p>
    <w:p>
      <w:r>
        <w:t>credibility hinges on the public’s ability to understand policy reasoning, evaluate decisions,</w:t>
      </w:r>
    </w:p>
    <w:p>
      <w:r>
        <w:t>and form expectations grounded in clear institutional communication. Transparency therefore</w:t>
      </w:r>
    </w:p>
    <w:p>
      <w:r>
        <w:t>serves as both an accountability mechanism and a monetary policy instrument.</w:t>
      </w:r>
    </w:p>
    <w:p>
      <w:pPr>
        <w:pStyle w:val="Heading3"/>
      </w:pPr>
      <w:r>
        <w:t>1. Why Transparency Matters</w:t>
      </w:r>
    </w:p>
    <w:p>
      <w:r>
        <w:t>Transparency lowers uncertainty, anchors expectations, and strengthens policy transmission.</w:t>
      </w:r>
    </w:p>
    <w:p>
      <w:r>
        <w:t>It reduces the risk of misinterpretation and helps markets internalize the central bank's risk</w:t>
      </w:r>
    </w:p>
    <w:p>
      <w:r>
        <w:t>assessment rather than relying on speculation. Under FPAS Mark II, transparency is integrated</w:t>
      </w:r>
    </w:p>
    <w:p>
      <w:r>
        <w:t>into scenario design, communication, minutes, forecasts, and post‑round assessments.</w:t>
      </w:r>
    </w:p>
    <w:p>
      <w:pPr>
        <w:pStyle w:val="Heading3"/>
      </w:pPr>
      <w:r>
        <w:t>2. Dimensions of Transparency</w:t>
      </w:r>
    </w:p>
    <w:p>
      <w:r>
        <w:t>Transparency has several dimensions:</w:t>
      </w:r>
    </w:p>
    <w:p>
      <w:r>
        <w:t>• Procedural transparency – explaining how decisions are made.</w:t>
      </w:r>
    </w:p>
    <w:p>
      <w:r>
        <w:t>• Analytical transparency – explaining the models, scenarios, and evidence.</w:t>
      </w:r>
    </w:p>
    <w:p>
      <w:r>
        <w:t>• Outcome transparency – presenting policy results clearly.</w:t>
      </w:r>
    </w:p>
    <w:p>
      <w:r>
        <w:t>• Accountability transparency – attributing reasoning and votes.</w:t>
      </w:r>
    </w:p>
    <w:p>
      <w:r>
        <w:t>These dimensions ensure that the public understands not just the decision, but the framework</w:t>
      </w:r>
    </w:p>
    <w:p>
      <w:r>
        <w:t>and reasoning behind it.</w:t>
      </w:r>
    </w:p>
    <w:p>
      <w:pPr>
        <w:pStyle w:val="Heading3"/>
      </w:pPr>
      <w:r>
        <w:t>3. Transparency Tools in FPAS Mark II</w:t>
      </w:r>
    </w:p>
    <w:p>
      <w:r>
        <w:t>The Central Bank of Armenia uses multiple transparency tools:</w:t>
      </w:r>
    </w:p>
    <w:p>
      <w:r>
        <w:t>• Attributed minutes</w:t>
      </w:r>
    </w:p>
    <w:p>
      <w:r>
        <w:t>• Individual votes and justifications</w:t>
      </w:r>
    </w:p>
    <w:p>
      <w:r>
        <w:t>• Executive Statement</w:t>
      </w:r>
    </w:p>
    <w:p>
      <w:r>
        <w:t>• Monetary Policy Report</w:t>
      </w:r>
    </w:p>
    <w:p>
      <w:r>
        <w:t>• Scenario-based communication</w:t>
      </w:r>
    </w:p>
    <w:p>
      <w:r>
        <w:t>• Press conferences and analyst briefings</w:t>
      </w:r>
    </w:p>
    <w:p>
      <w:r>
        <w:t>These tools help clarify the Board’s reasoning under uncertainty.</w:t>
      </w:r>
    </w:p>
    <w:p>
      <w:pPr>
        <w:pStyle w:val="Heading3"/>
      </w:pPr>
      <w:r>
        <w:t>4. Scenario‑Based Transparency</w:t>
      </w:r>
    </w:p>
    <w:p>
      <w:r>
        <w:t>Scenario‑based communication enhances transparency by showing alternative paths, risks,</w:t>
      </w:r>
    </w:p>
    <w:p>
      <w:r>
        <w:t>and trade‑offs. It shifts expectations away from single deterministic forecasts and toward a</w:t>
      </w:r>
    </w:p>
    <w:p>
      <w:r>
        <w:t>balanced understanding of the distribution of risks. This strengthens public trust and policy</w:t>
      </w:r>
    </w:p>
    <w:p>
      <w:r>
        <w:t>credibility.</w:t>
      </w:r>
    </w:p>
    <w:p>
      <w:pPr>
        <w:pStyle w:val="Heading3"/>
      </w:pPr>
      <w:r>
        <w:t>Conclusion</w:t>
      </w:r>
    </w:p>
    <w:p>
      <w:r>
        <w:t>Transparency is not cosmetic— it is foundational. FPAS Mark II embeds transparency into</w:t>
      </w:r>
    </w:p>
    <w:p>
      <w:r>
        <w:t>its analytical processes, communication strategy, and institutional culture, ensuring that</w:t>
      </w:r>
    </w:p>
    <w:p>
      <w:r>
        <w:t>credibility is earned through openness, clarity, and disciplined reasoning.</w:t>
      </w:r>
    </w:p>
    <w:p>
      <w:pPr>
        <w:pStyle w:val="Heading2"/>
      </w:pPr>
      <w:r>
        <w:t>References</w:t>
      </w:r>
    </w:p>
    <w:p>
      <w:r>
        <w:t>Laxton, D., Galstyan, M., &amp; Avagyan, V. (eds.) (2023). Forecasting and Policy Analysis System Mark II. Better Policy Project.</w:t>
      </w:r>
    </w:p>
    <w:p>
      <w:r>
        <w:t>Freedman, C., &amp; Laxton, D. (2009). Why Inflation Targeting? IMF Working Paper 09/86.</w:t>
      </w:r>
    </w:p>
    <w:p>
      <w:pPr>
        <w:pStyle w:val="Heading2"/>
      </w:pPr>
      <w:r>
        <w:t>Video Script</w:t>
      </w:r>
    </w:p>
    <w:p>
      <w:r>
        <w:t>Hello, my name is Susik. I’m a Level One student at the Global Forecasting School and an economist at the Central Bank of Armenia.</w:t>
      </w:r>
    </w:p>
    <w:p>
      <w:r>
        <w:t>In this video, we explore how FPAS Mark II strengthens transparency as a core element of credible monetary policy.</w:t>
      </w:r>
    </w:p>
    <w:p>
      <w:r>
        <w:t>Transparency under FPAS Mark II helps anchor expectations, reduce uncertainty, and support clearer policy transmission.</w:t>
      </w:r>
    </w:p>
    <w:p>
      <w:r>
        <w:t>We communicate risks using scenario‑based frameworks, attributed minutes, the Executive Statement, and the Monetary Policy Report.</w:t>
      </w:r>
    </w:p>
    <w:p>
      <w:r>
        <w:t>By explaining what we know, what we do not know, and how uncertainty affects decisions, we strengthen long‑term credibility.</w:t>
      </w:r>
    </w:p>
    <w:p>
      <w:r>
        <w:t>Transparency ensures the public understands the reasoning behind decisions and the risks shaping them.</w:t>
      </w:r>
    </w:p>
    <w:p>
      <w:r>
        <w:t>I would like to thank Douglas Laxton, Jared Laxton, Asya Kostanyan, and Sophio for their guidance and support in helping me prepare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