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24DC" w14:textId="77777777" w:rsidR="00BB4BCB" w:rsidRDefault="00000000">
      <w:pPr>
        <w:pStyle w:val="Heading1"/>
      </w:pPr>
      <w:r>
        <w:t>Video 14 – Analytical Toolkit and Modeling Innovations</w:t>
      </w:r>
    </w:p>
    <w:p w14:paraId="4AADDEA4" w14:textId="77777777" w:rsidR="00BB4BCB" w:rsidRDefault="00000000">
      <w:pPr>
        <w:pStyle w:val="Heading2"/>
      </w:pPr>
      <w:r>
        <w:t>Economist Note – Video 14: Analytical Toolkit and Modeling Innovations</w:t>
      </w:r>
    </w:p>
    <w:p w14:paraId="0B4327CD" w14:textId="77777777" w:rsidR="00BB4BCB" w:rsidRDefault="00000000">
      <w:pPr>
        <w:pStyle w:val="Heading3"/>
      </w:pPr>
      <w:r>
        <w:t>Introduction</w:t>
      </w:r>
    </w:p>
    <w:p w14:paraId="2A5A9E5E" w14:textId="77777777" w:rsidR="00BB4BCB" w:rsidRDefault="00000000">
      <w:r>
        <w:t>FPAS Mark II—internally referred to as Bark II—represents a major evolution in the</w:t>
      </w:r>
    </w:p>
    <w:p w14:paraId="717A4D25" w14:textId="77777777" w:rsidR="00BB4BCB" w:rsidRDefault="00000000">
      <w:r>
        <w:t>monetary policy framework of the Central Bank of Armenia. The transition from FPAS Mark I</w:t>
      </w:r>
    </w:p>
    <w:p w14:paraId="7BEE6BD7" w14:textId="77777777" w:rsidR="00BB4BCB" w:rsidRDefault="00000000">
      <w:r>
        <w:t>to Mark II reflects a recognition that modern monetary policy cannot treat the world as</w:t>
      </w:r>
    </w:p>
    <w:p w14:paraId="04AC0A6D" w14:textId="77777777" w:rsidR="00BB4BCB" w:rsidRDefault="00000000">
      <w:r>
        <w:t>linear, predictable, or expectation–invariant. Instead, effective policy requires an analytical</w:t>
      </w:r>
    </w:p>
    <w:p w14:paraId="571899B0" w14:textId="77777777" w:rsidR="00BB4BCB" w:rsidRDefault="00000000">
      <w:r>
        <w:t>architecture capable of mapping nonlinear behavior, endogenous credibility, state-dependence,</w:t>
      </w:r>
    </w:p>
    <w:p w14:paraId="65CCE793" w14:textId="77777777" w:rsidR="00BB4BCB" w:rsidRDefault="00000000">
      <w:r>
        <w:t>and uncertainty. The Analytical Toolkit introduced in Bark II addresses these gaps directly and</w:t>
      </w:r>
    </w:p>
    <w:p w14:paraId="00DCEF2A" w14:textId="77777777" w:rsidR="00BB4BCB" w:rsidRDefault="00000000">
      <w:r>
        <w:t>forms the basis for disciplined, risk-aware decision making under uncertainty.</w:t>
      </w:r>
    </w:p>
    <w:p w14:paraId="36CFBBEE" w14:textId="77777777" w:rsidR="00BB4BCB" w:rsidRDefault="00000000">
      <w:pPr>
        <w:pStyle w:val="Heading3"/>
      </w:pPr>
      <w:r>
        <w:t>1. Limitations of FPAS Mark I</w:t>
      </w:r>
    </w:p>
    <w:p w14:paraId="5A69709A" w14:textId="77777777" w:rsidR="00BB4BCB" w:rsidRDefault="00000000">
      <w:r>
        <w:t>FPAS Mark I relied heavily on a deterministic baseline constructed from a linear</w:t>
      </w:r>
    </w:p>
    <w:p w14:paraId="1A11B2C4" w14:textId="77777777" w:rsidR="00BB4BCB" w:rsidRDefault="00000000">
      <w:r>
        <w:t>Quarterly Projection Model (QPM). While this approach provided structure and transparency,</w:t>
      </w:r>
    </w:p>
    <w:p w14:paraId="3403D57B" w14:textId="77777777" w:rsidR="00BB4BCB" w:rsidRDefault="00000000">
      <w:r>
        <w:t>it created several limitations: (1) the framework could not capture nonlinearities in inflation</w:t>
      </w:r>
    </w:p>
    <w:p w14:paraId="1221A614" w14:textId="77777777" w:rsidR="00BB4BCB" w:rsidRDefault="00000000">
      <w:r>
        <w:t>dynamics; (2) credibility was assumed constant rather than modeled as a policy outcome; (3)</w:t>
      </w:r>
    </w:p>
    <w:p w14:paraId="2FED114D" w14:textId="77777777" w:rsidR="00BB4BCB" w:rsidRDefault="00000000">
      <w:r>
        <w:t>the system provided only a single ‘central path’ that obscured important asymmetries in risks;</w:t>
      </w:r>
    </w:p>
    <w:p w14:paraId="34BD8E1E" w14:textId="77777777" w:rsidR="00BB4BCB" w:rsidRDefault="00000000">
      <w:r>
        <w:t>and (4) the analytical infrastructure made it difficult to integrate high-frequency indicators,</w:t>
      </w:r>
    </w:p>
    <w:p w14:paraId="6701D1E3" w14:textId="77777777" w:rsidR="00BB4BCB" w:rsidRDefault="00000000">
      <w:r>
        <w:t>financial conditions, and scenario-based thinking. Bark II was developed to overcome these</w:t>
      </w:r>
    </w:p>
    <w:p w14:paraId="4BDDEC1F" w14:textId="77777777" w:rsidR="00BB4BCB" w:rsidRDefault="00000000">
      <w:r>
        <w:t>limitations, building robustness directly into the analytical foundations of policy work.</w:t>
      </w:r>
    </w:p>
    <w:p w14:paraId="1BB8485E" w14:textId="77777777" w:rsidR="00BB4BCB" w:rsidRDefault="00000000">
      <w:pPr>
        <w:pStyle w:val="Heading3"/>
      </w:pPr>
      <w:r>
        <w:t>2. Nonlinearities and State-Dependent Dynamics</w:t>
      </w:r>
    </w:p>
    <w:p w14:paraId="07BCEF3B" w14:textId="77777777" w:rsidR="00BB4BCB" w:rsidRDefault="00000000">
      <w:r>
        <w:t>One of the core enhancements of Bark II is the introduction of nonlinear structures into</w:t>
      </w:r>
    </w:p>
    <w:p w14:paraId="76325CEF" w14:textId="77777777" w:rsidR="00BB4BCB" w:rsidRDefault="00000000">
      <w:r>
        <w:t>models of inflation, output, and transmission. The Phillips Curve is modeled as convex,</w:t>
      </w:r>
    </w:p>
    <w:p w14:paraId="05242700" w14:textId="77777777" w:rsidR="00BB4BCB" w:rsidRDefault="00000000">
      <w:r>
        <w:lastRenderedPageBreak/>
        <w:t>consistent with empirical evidence that inflation responds more strongly when the economy</w:t>
      </w:r>
    </w:p>
    <w:p w14:paraId="56F8ED4F" w14:textId="77777777" w:rsidR="00BB4BCB" w:rsidRDefault="00000000">
      <w:r>
        <w:t>is overheating than when it is below potential. This has major implications for monetary</w:t>
      </w:r>
    </w:p>
    <w:p w14:paraId="26B4E663" w14:textId="77777777" w:rsidR="00BB4BCB" w:rsidRDefault="00000000">
      <w:r>
        <w:t>policy: tightening too late can lead to disproportionately large inflation costs, while early</w:t>
      </w:r>
    </w:p>
    <w:p w14:paraId="04F73305" w14:textId="77777777" w:rsidR="00BB4BCB" w:rsidRDefault="00000000">
      <w:r>
        <w:t>and measured action delivers smoother outcomes. These nonlinearities also allow policymakers</w:t>
      </w:r>
    </w:p>
    <w:p w14:paraId="1A6CEC22" w14:textId="77777777" w:rsidR="00BB4BCB" w:rsidRDefault="00000000">
      <w:r>
        <w:t>to analyze how shocks differ depending on the state of the economy—an essential requirement</w:t>
      </w:r>
    </w:p>
    <w:p w14:paraId="5FAB995C" w14:textId="77777777" w:rsidR="00BB4BCB" w:rsidRDefault="00000000">
      <w:r>
        <w:t>for small open economies facing volatile external conditions.</w:t>
      </w:r>
    </w:p>
    <w:p w14:paraId="5527436D" w14:textId="77777777" w:rsidR="00BB4BCB" w:rsidRDefault="00000000">
      <w:pPr>
        <w:pStyle w:val="Heading3"/>
      </w:pPr>
      <w:r>
        <w:t>3. Endogenous Credibility</w:t>
      </w:r>
    </w:p>
    <w:p w14:paraId="5E5280BE" w14:textId="77777777" w:rsidR="00BB4BCB" w:rsidRDefault="00000000">
      <w:r>
        <w:t>A defining feature of FPAS Mark II is its treatment of credibility not as an input, but</w:t>
      </w:r>
    </w:p>
    <w:p w14:paraId="1E21D231" w14:textId="77777777" w:rsidR="00BB4BCB" w:rsidRDefault="00000000">
      <w:r>
        <w:t>as an evolving stock. Credibility is shaped by past policy decisions, communication, and the</w:t>
      </w:r>
    </w:p>
    <w:p w14:paraId="12895B20" w14:textId="77777777" w:rsidR="00BB4BCB" w:rsidRDefault="00000000">
      <w:r>
        <w:t>institution’s ability to manage uncertainty. The Bark II manual emphasizes that expectations</w:t>
      </w:r>
    </w:p>
    <w:p w14:paraId="3A798C61" w14:textId="77777777" w:rsidR="00BB4BCB" w:rsidRDefault="00000000">
      <w:r>
        <w:t>adjust in response to the perceived competence and consistency of the central bank. Modeling</w:t>
      </w:r>
    </w:p>
    <w:p w14:paraId="640B3017" w14:textId="77777777" w:rsidR="00BB4BCB" w:rsidRDefault="00000000">
      <w:r>
        <w:t>credibility as a dynamic variable allows policymakers to understand how policy mistakes can</w:t>
      </w:r>
    </w:p>
    <w:p w14:paraId="1C40CDCE" w14:textId="77777777" w:rsidR="00BB4BCB" w:rsidRDefault="00000000">
      <w:r>
        <w:t>widen inflation expectations and how consistent behavior can anchor them. This deepens the</w:t>
      </w:r>
    </w:p>
    <w:p w14:paraId="7D241D71" w14:textId="77777777" w:rsidR="00BB4BCB" w:rsidRDefault="00000000">
      <w:r>
        <w:t>link between policy decisions and long-term macroeconomic stability.</w:t>
      </w:r>
    </w:p>
    <w:p w14:paraId="6D8A6E6F" w14:textId="77777777" w:rsidR="00BB4BCB" w:rsidRDefault="00000000">
      <w:pPr>
        <w:pStyle w:val="Heading3"/>
      </w:pPr>
      <w:r>
        <w:t>4. The Suite of Models in Bark II</w:t>
      </w:r>
    </w:p>
    <w:p w14:paraId="72BB9839" w14:textId="77777777" w:rsidR="00BB4BCB" w:rsidRDefault="00000000">
      <w:r>
        <w:t>FPAS Mark II introduces a family of models designed to complement one another:</w:t>
      </w:r>
    </w:p>
    <w:p w14:paraId="21CBC54F" w14:textId="77777777" w:rsidR="00BB4BCB" w:rsidRDefault="00BB4BCB"/>
    <w:p w14:paraId="215D3241" w14:textId="77777777" w:rsidR="00BB4BCB" w:rsidRDefault="00000000">
      <w:r>
        <w:t>• EndoCred Model — captures endogenous credibility, asymmetric loss functions, nonlinear</w:t>
      </w:r>
    </w:p>
    <w:p w14:paraId="0F5DB731" w14:textId="77777777" w:rsidR="00BB4BCB" w:rsidRDefault="00000000">
      <w:r>
        <w:t>Phillips Curve dynamics, and state-dependent responses.</w:t>
      </w:r>
    </w:p>
    <w:p w14:paraId="19498288" w14:textId="77777777" w:rsidR="00BB4BCB" w:rsidRDefault="00000000">
      <w:r>
        <w:t>• MPmod — a tractable semi-structural model for real-time policy simulations.</w:t>
      </w:r>
    </w:p>
    <w:p w14:paraId="342169EF" w14:textId="77777777" w:rsidR="00BB4BCB" w:rsidRDefault="00000000">
      <w:r>
        <w:t>• FCmod — designed to analyze financial cycle behavior, balance sheets, and credit risks.</w:t>
      </w:r>
    </w:p>
    <w:p w14:paraId="00E9B717" w14:textId="77777777" w:rsidR="00BB4BCB" w:rsidRDefault="00000000">
      <w:r>
        <w:t>• Linear-QPM — maintained for continuity and decomposition work where linear structures</w:t>
      </w:r>
    </w:p>
    <w:p w14:paraId="2121A8DA" w14:textId="77777777" w:rsidR="00BB4BCB" w:rsidRDefault="00000000">
      <w:r>
        <w:lastRenderedPageBreak/>
        <w:t>remain useful.</w:t>
      </w:r>
    </w:p>
    <w:p w14:paraId="23576F37" w14:textId="77777777" w:rsidR="00BB4BCB" w:rsidRDefault="00BB4BCB"/>
    <w:p w14:paraId="6C5262EA" w14:textId="77777777" w:rsidR="00BB4BCB" w:rsidRDefault="00000000">
      <w:r>
        <w:t>By using a suite of models rather than a single workhorse, the system avoids over-reliance on</w:t>
      </w:r>
    </w:p>
    <w:p w14:paraId="2FA9899B" w14:textId="77777777" w:rsidR="00BB4BCB" w:rsidRDefault="00000000">
      <w:r>
        <w:t>the limitations of any one specification. Each model answers different questions, and together</w:t>
      </w:r>
    </w:p>
    <w:p w14:paraId="1610D268" w14:textId="77777777" w:rsidR="00BB4BCB" w:rsidRDefault="00000000">
      <w:r>
        <w:t>they provide a multidimensional view of the economy.</w:t>
      </w:r>
    </w:p>
    <w:p w14:paraId="1E64A41E" w14:textId="77777777" w:rsidR="00BB4BCB" w:rsidRDefault="00000000">
      <w:pPr>
        <w:pStyle w:val="Heading3"/>
      </w:pPr>
      <w:r>
        <w:t>5. Analytical Dashboards</w:t>
      </w:r>
    </w:p>
    <w:p w14:paraId="15F8DF8E" w14:textId="77777777" w:rsidR="00BB4BCB" w:rsidRDefault="00000000">
      <w:r>
        <w:t>Bark II introduces analytical dashboards that integrate information from models, markets,</w:t>
      </w:r>
    </w:p>
    <w:p w14:paraId="07A4F719" w14:textId="77777777" w:rsidR="00BB4BCB" w:rsidRDefault="00000000">
      <w:r>
        <w:t>and short-term indicators. Dashboards allow policymakers to visualize how risks evolve within</w:t>
      </w:r>
    </w:p>
    <w:p w14:paraId="5EA82983" w14:textId="77777777" w:rsidR="00BB4BCB" w:rsidRDefault="00000000">
      <w:r>
        <w:t>and across policy rounds. They include heat maps of inflation pressures, scenario probability</w:t>
      </w:r>
    </w:p>
    <w:p w14:paraId="744D5F9A" w14:textId="77777777" w:rsidR="00BB4BCB" w:rsidRDefault="00000000">
      <w:r>
        <w:t>trees, financial condition indexes, and high-frequency tracking of demand, supply, labor</w:t>
      </w:r>
    </w:p>
    <w:p w14:paraId="57598F0E" w14:textId="77777777" w:rsidR="00BB4BCB" w:rsidRDefault="00000000">
      <w:r>
        <w:t>markets, credit, and external indicators. Dashboards reinforce the shift from point forecasts</w:t>
      </w:r>
    </w:p>
    <w:p w14:paraId="21D1EC85" w14:textId="77777777" w:rsidR="00BB4BCB" w:rsidRDefault="00000000">
      <w:r>
        <w:t>to risk distributions, enabling the Board to observe how uncertainty shifts in real time.</w:t>
      </w:r>
    </w:p>
    <w:p w14:paraId="0D6B7B64" w14:textId="77777777" w:rsidR="00BB4BCB" w:rsidRDefault="00000000">
      <w:pPr>
        <w:pStyle w:val="Heading3"/>
      </w:pPr>
      <w:r>
        <w:t>6. Measuring Underlying Inflation: NTSPI</w:t>
      </w:r>
    </w:p>
    <w:p w14:paraId="6F697355" w14:textId="77777777" w:rsidR="00BB4BCB" w:rsidRDefault="00000000">
      <w:r>
        <w:t>One major innovation in Bark II is the adoption of improved measures of underlying</w:t>
      </w:r>
    </w:p>
    <w:p w14:paraId="3B7A7313" w14:textId="77777777" w:rsidR="00BB4BCB" w:rsidRDefault="00000000">
      <w:r>
        <w:t>inflation. The Near-Term Sticky Price Index (NTSPI) isolates the slow-moving component of</w:t>
      </w:r>
    </w:p>
    <w:p w14:paraId="639D68A8" w14:textId="77777777" w:rsidR="00BB4BCB" w:rsidRDefault="00000000">
      <w:r>
        <w:t>inflation that responds to persistent economic forces rather than volatile items. NTSPI gives</w:t>
      </w:r>
    </w:p>
    <w:p w14:paraId="28C4DD2F" w14:textId="77777777" w:rsidR="00BB4BCB" w:rsidRDefault="00000000">
      <w:r>
        <w:t>a clearer signal about medium-term price pressures and helps distinguish between temporary</w:t>
      </w:r>
    </w:p>
    <w:p w14:paraId="236619FC" w14:textId="77777777" w:rsidR="00BB4BCB" w:rsidRDefault="00000000">
      <w:r>
        <w:t>shocks and genuine changes in inflation trends. This measure strengthens the link between</w:t>
      </w:r>
    </w:p>
    <w:p w14:paraId="1EFF9E15" w14:textId="77777777" w:rsidR="00BB4BCB" w:rsidRDefault="00000000">
      <w:r>
        <w:t>data interpretation and policy judgment.</w:t>
      </w:r>
    </w:p>
    <w:p w14:paraId="4F6054AF" w14:textId="77777777" w:rsidR="00BB4BCB" w:rsidRDefault="00000000">
      <w:pPr>
        <w:pStyle w:val="Heading3"/>
      </w:pPr>
      <w:r>
        <w:t>7. Integrating Judgment with Models</w:t>
      </w:r>
    </w:p>
    <w:p w14:paraId="3D9D9B3C" w14:textId="77777777" w:rsidR="00BB4BCB" w:rsidRDefault="00000000">
      <w:r>
        <w:t>FPAS Mark II does not treat judgment as an alternative to modeling. Instead, it places</w:t>
      </w:r>
    </w:p>
    <w:p w14:paraId="62592895" w14:textId="77777777" w:rsidR="00BB4BCB" w:rsidRDefault="00000000">
      <w:r>
        <w:t>structured judgment at the center of the analytical workflow. Judgment is expressed through</w:t>
      </w:r>
    </w:p>
    <w:p w14:paraId="1176C987" w14:textId="77777777" w:rsidR="00BB4BCB" w:rsidRDefault="00000000">
      <w:r>
        <w:t>scenario design, shock interpretation, credibility assessments, and the weighting of model</w:t>
      </w:r>
    </w:p>
    <w:p w14:paraId="151DFB04" w14:textId="77777777" w:rsidR="00BB4BCB" w:rsidRDefault="00000000">
      <w:r>
        <w:t>results. The system encourages staff to articulate how and why judgment modifies model</w:t>
      </w:r>
    </w:p>
    <w:p w14:paraId="3A337A0E" w14:textId="77777777" w:rsidR="00BB4BCB" w:rsidRDefault="00000000">
      <w:r>
        <w:lastRenderedPageBreak/>
        <w:t>results, ensuring transparency while preserving expert insight. This elevates the quality of</w:t>
      </w:r>
    </w:p>
    <w:p w14:paraId="63DE4E5D" w14:textId="77777777" w:rsidR="00BB4BCB" w:rsidRDefault="00000000">
      <w:r>
        <w:t>policy briefings and helps Board members understand the rationale behind decisions.</w:t>
      </w:r>
    </w:p>
    <w:p w14:paraId="62713979" w14:textId="77777777" w:rsidR="00BB4BCB" w:rsidRDefault="00000000">
      <w:pPr>
        <w:pStyle w:val="Heading3"/>
      </w:pPr>
      <w:r>
        <w:t>8. Implications for Small Open Economies</w:t>
      </w:r>
    </w:p>
    <w:p w14:paraId="2CB6C22E" w14:textId="77777777" w:rsidR="00BB4BCB" w:rsidRDefault="00000000">
      <w:r>
        <w:t>The analytical toolkit is particularly valuable for small open economies like Armenia,</w:t>
      </w:r>
    </w:p>
    <w:p w14:paraId="7A4435C6" w14:textId="77777777" w:rsidR="00BB4BCB" w:rsidRDefault="00000000">
      <w:r>
        <w:t>where shocks originate from global markets, geopolitical events, commodity prices, and</w:t>
      </w:r>
    </w:p>
    <w:p w14:paraId="25CFEFAE" w14:textId="77777777" w:rsidR="00BB4BCB" w:rsidRDefault="00000000">
      <w:r>
        <w:t>external financial conditions. Nonlinearity, endogenous credibility, and dashboard-based</w:t>
      </w:r>
    </w:p>
    <w:p w14:paraId="352ABEB4" w14:textId="77777777" w:rsidR="00BB4BCB" w:rsidRDefault="00000000">
      <w:r>
        <w:t>monitoring allow policymakers to avoid mistakes that arise from relying solely on linear</w:t>
      </w:r>
    </w:p>
    <w:p w14:paraId="43E2C6B9" w14:textId="77777777" w:rsidR="00BB4BCB" w:rsidRDefault="00000000">
      <w:r>
        <w:t>projections or deterministic scenarios. FPAS Mark II equips the institution to navigate a world</w:t>
      </w:r>
    </w:p>
    <w:p w14:paraId="6DEE7E0C" w14:textId="77777777" w:rsidR="00BB4BCB" w:rsidRDefault="00000000">
      <w:r>
        <w:t>defined by uncertainty, asymmetry, and persistent external shocks.</w:t>
      </w:r>
    </w:p>
    <w:p w14:paraId="71668034" w14:textId="77777777" w:rsidR="00BB4BCB" w:rsidRDefault="00000000">
      <w:pPr>
        <w:pStyle w:val="Heading3"/>
      </w:pPr>
      <w:r>
        <w:t>Conclusion</w:t>
      </w:r>
    </w:p>
    <w:p w14:paraId="04512FD3" w14:textId="77777777" w:rsidR="00BB4BCB" w:rsidRDefault="00000000">
      <w:r>
        <w:t>The Analytical Toolkit and Modeling Innovations of FPAS Mark II transform the</w:t>
      </w:r>
    </w:p>
    <w:p w14:paraId="39A4588A" w14:textId="77777777" w:rsidR="00BB4BCB" w:rsidRDefault="00000000">
      <w:r>
        <w:t>central bank into a modern, risk-aware, forward-looking institution. By integrating nonlinear</w:t>
      </w:r>
    </w:p>
    <w:p w14:paraId="70E58A62" w14:textId="77777777" w:rsidR="00BB4BCB" w:rsidRDefault="00000000">
      <w:r>
        <w:t>dynamics, endogenous credibility, scenario analysis, and improved measurement tools, the</w:t>
      </w:r>
    </w:p>
    <w:p w14:paraId="30FAD327" w14:textId="77777777" w:rsidR="00BB4BCB" w:rsidRDefault="00000000">
      <w:r>
        <w:t>framework provides policymakers with the structure and flexibility needed to make disciplined,</w:t>
      </w:r>
    </w:p>
    <w:p w14:paraId="21835B42" w14:textId="77777777" w:rsidR="00BB4BCB" w:rsidRDefault="00000000">
      <w:r>
        <w:t>least-regrets decisions. Bark II is not merely an updated model—it is a comprehensive</w:t>
      </w:r>
    </w:p>
    <w:p w14:paraId="4750AF85" w14:textId="77777777" w:rsidR="00BB4BCB" w:rsidRDefault="00000000">
      <w:r>
        <w:t>analytical ecosystem designed to support policy judgment under uncertainty.</w:t>
      </w:r>
    </w:p>
    <w:p w14:paraId="7D6A5229" w14:textId="77777777" w:rsidR="00BB4BCB" w:rsidRDefault="00000000">
      <w:pPr>
        <w:pStyle w:val="Heading2"/>
      </w:pPr>
      <w:r>
        <w:t>References</w:t>
      </w:r>
    </w:p>
    <w:p w14:paraId="72DEEEB8" w14:textId="77777777" w:rsidR="00BB4BCB" w:rsidRDefault="00000000">
      <w:r>
        <w:t>Laxton, D., Galstyan, M., &amp; Avagyan, V. (eds.) (2023). *Forecasting and Policy Analysis System Mark II.* Better Policy Project (Unpublished mimeograph).</w:t>
      </w:r>
    </w:p>
    <w:p w14:paraId="6D79048C" w14:textId="77777777" w:rsidR="00BB4BCB" w:rsidRDefault="00000000">
      <w:r>
        <w:t>Freedman, C., &amp; Laxton, D. (2009). *Why Inflation Targeting?* IMF Working Paper 09/86.</w:t>
      </w:r>
    </w:p>
    <w:p w14:paraId="56B06ADD" w14:textId="77777777" w:rsidR="00BB4BCB" w:rsidRDefault="00000000">
      <w:r>
        <w:t>Debelle, G., &amp; Laxton, D. (1996). *Is the Phillips Curve Really a Curve? Some Evidence for Australia.* IMF Working Paper 96/37.</w:t>
      </w:r>
    </w:p>
    <w:p w14:paraId="490091CD" w14:textId="77777777" w:rsidR="00BB4BCB" w:rsidRDefault="00000000">
      <w:r>
        <w:t>Haworth, C., Kostanyan, A., &amp; Laxton, D. (2019). *Transparent Monetary Policy: A History of Inflation Targeting in New Zealand.* Institute of Global Affairs.</w:t>
      </w:r>
    </w:p>
    <w:p w14:paraId="35E6466E" w14:textId="77777777" w:rsidR="00BB4BCB" w:rsidRDefault="00000000">
      <w:pPr>
        <w:pStyle w:val="Heading2"/>
      </w:pPr>
      <w:r>
        <w:t>Video Script</w:t>
      </w:r>
    </w:p>
    <w:p w14:paraId="5E28C572" w14:textId="77777777" w:rsidR="00BB4BCB" w:rsidRDefault="00000000">
      <w:r>
        <w:t>Hello, my name is Susik. I’m a Level One student at the Global Forecasting School and an economist at the Central Bank of Armenia.</w:t>
      </w:r>
    </w:p>
    <w:p w14:paraId="5D2B9E4C" w14:textId="77777777" w:rsidR="00BB4BCB" w:rsidRDefault="00000000">
      <w:r>
        <w:lastRenderedPageBreak/>
        <w:t>In this video, we explore the analytical toolkit that forms the foundation of FPAS Mark II.</w:t>
      </w:r>
    </w:p>
    <w:p w14:paraId="6D64BB6C" w14:textId="77777777" w:rsidR="00BB4BCB" w:rsidRDefault="00000000">
      <w:r>
        <w:t>Under FPAS Mark II, models incorporate nonlinearities, credibility dynamics, and state-dependent responses. This reflects how the real economy behaves, especially during periods of uncertainty.</w:t>
      </w:r>
    </w:p>
    <w:p w14:paraId="4C771B11" w14:textId="77777777" w:rsidR="00BB4BCB" w:rsidRDefault="00000000">
      <w:r>
        <w:t>The analytical dashboards allow policymakers to visualize how risks shift across scenarios, helping the institution monitor inflation pressures, financial conditions, and external developments.</w:t>
      </w:r>
    </w:p>
    <w:p w14:paraId="10562655" w14:textId="77777777" w:rsidR="00BB4BCB" w:rsidRDefault="00000000">
      <w:r>
        <w:t>Improved measures of underlying inflation, such as the NTSPI, help separate noise from persistent signals—strengthening the link between data interpretation and decision-making.</w:t>
      </w:r>
    </w:p>
    <w:p w14:paraId="54094579" w14:textId="77777777" w:rsidR="00BB4BCB" w:rsidRDefault="00000000">
      <w:r>
        <w:t>The suite of models, including EndoCred, MPmod, and FCmod, allows us to explore different dimensions of the economy. Judgment is layered on top of these results through structured scenario analysis.</w:t>
      </w:r>
    </w:p>
    <w:p w14:paraId="02BB0E73" w14:textId="77777777" w:rsidR="00BB4BCB" w:rsidRDefault="00000000">
      <w:r>
        <w:t>In small open economies like Armenia, these tools are essential for navigating uncertainty and supporting least-regrets policymaking.</w:t>
      </w:r>
    </w:p>
    <w:p w14:paraId="5D25FCEF" w14:textId="77777777" w:rsidR="00BB4BCB" w:rsidRDefault="00000000">
      <w:r>
        <w:t>I would like to thank Douglas Laxton, Jared Laxton, Asya Kostanyan, and Sophio for their guidance and support in helping me prepare this video.</w:t>
      </w:r>
    </w:p>
    <w:sectPr w:rsidR="00BB4B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697509">
    <w:abstractNumId w:val="8"/>
  </w:num>
  <w:num w:numId="2" w16cid:durableId="1789857371">
    <w:abstractNumId w:val="6"/>
  </w:num>
  <w:num w:numId="3" w16cid:durableId="982975928">
    <w:abstractNumId w:val="5"/>
  </w:num>
  <w:num w:numId="4" w16cid:durableId="1389648557">
    <w:abstractNumId w:val="4"/>
  </w:num>
  <w:num w:numId="5" w16cid:durableId="1740783533">
    <w:abstractNumId w:val="7"/>
  </w:num>
  <w:num w:numId="6" w16cid:durableId="1676299476">
    <w:abstractNumId w:val="3"/>
  </w:num>
  <w:num w:numId="7" w16cid:durableId="958608809">
    <w:abstractNumId w:val="2"/>
  </w:num>
  <w:num w:numId="8" w16cid:durableId="144859809">
    <w:abstractNumId w:val="1"/>
  </w:num>
  <w:num w:numId="9" w16cid:durableId="89308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B40"/>
    <w:rsid w:val="0029639D"/>
    <w:rsid w:val="00326F90"/>
    <w:rsid w:val="0054797F"/>
    <w:rsid w:val="00AA1D8D"/>
    <w:rsid w:val="00B47730"/>
    <w:rsid w:val="00BB4B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F5A3D"/>
  <w14:defaultImageDpi w14:val="300"/>
  <w15:docId w15:val="{CA49FAE2-A420-477F-83CC-8200C4E7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1103</Words>
  <Characters>7163</Characters>
  <Application>Microsoft Office Word</Application>
  <DocSecurity>0</DocSecurity>
  <Lines>115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Asya Kostanyan</cp:lastModifiedBy>
  <cp:revision>3</cp:revision>
  <dcterms:created xsi:type="dcterms:W3CDTF">2013-12-23T23:15:00Z</dcterms:created>
  <dcterms:modified xsi:type="dcterms:W3CDTF">2025-11-16T14:29:00Z</dcterms:modified>
  <cp:category/>
</cp:coreProperties>
</file>