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13 – The Policy-Making Cycle and Policy-Relevant Analysis</w:t>
      </w:r>
    </w:p>
    <w:p>
      <w:r>
        <w:t>Narrator: Susik</w:t>
      </w:r>
    </w:p>
    <w:p>
      <w:pPr>
        <w:pStyle w:val="Heading2"/>
      </w:pPr>
      <w:r>
        <w:t>Economist Note – Video 13: The Policy-Making Cycle and Policy-Relevant Analysis</w:t>
      </w:r>
    </w:p>
    <w:p>
      <w:r>
        <w:t xml:space="preserve">The Prudent Risk Management Approach to Price Stability (PRMAPS) — also referred to as FPAS Mark II — represents a paradigm shift in how the Central Bank of Armenia (CBA) conducts monetary policy. </w:t>
        <w:br/>
        <w:t xml:space="preserve">This approach recognizes that uncertainty is not an inconvenience to be minimized but the natural state of the world that policymaking must internalize. </w:t>
        <w:br/>
        <w:t xml:space="preserve">As the manual puts it, “we are no longer in a world where forecasting is an act of prediction; it is an act of disciplined learning under uncertainty.” (Prudent Risk Management Approach, p. 8). </w:t>
        <w:br/>
        <w:t>This principle forms the foundation for both the 29-day policy cycle and the concept of policy-relevant analysis.</w:t>
        <w:br/>
        <w:br/>
        <w:t>---</w:t>
        <w:br/>
        <w:br/>
        <w:t>1. The 29-Day Policy Cycle: From Event-Based to Continuous Learning</w:t>
        <w:br/>
        <w:t>---------------------------------------------------------------</w:t>
        <w:br/>
        <w:br/>
        <w:t xml:space="preserve">FPAS Mark II replaces the event-driven style of policymaking with a structured **29-day cycle** designed to embed discipline, coordination, and continuous reflection into the decision-making process. </w:t>
        <w:br/>
        <w:t>Each stage of the cycle links analytical work directly to policy judgment. According to the CBA Academy’s onboarding framework, “the 29-day policy cycle defines the rhythm of decision-making, assigning clear responsibilities to each stage of preparation” (Content.pdf, Video 13).</w:t>
        <w:br/>
        <w:br/>
        <w:t>| Stage | Days | Core Activities | Output |</w:t>
        <w:br/>
        <w:t>|-------|------|-----------------|---------|</w:t>
        <w:br/>
        <w:t>| **1. Diagnostics and Data Updates** | 1–10 | Review new data, update short-term projections, assess financial and external conditions | Diagnostic Note |</w:t>
        <w:br/>
        <w:t>| **2. Scenario Development and Testing** | 11–20 | Refine alternative scenarios under the 3R principle (Related, Relevant, Realistic) | Internal Workshop Summary |</w:t>
        <w:br/>
        <w:t>| **3. Policy Preparation and Decision** | 21–29 | Draft Executive Briefing, hold Board seminar, finalize policy decision and communication | Decision &amp; Press Release |</w:t>
        <w:br/>
        <w:br/>
        <w:t xml:space="preserve">As emphasized in the PRMAPS manual:  </w:t>
        <w:br/>
        <w:t>&gt; “The rhythm of the policy cycle must be predictable, but the conversation within each round must remain dynamic. Regularity builds credibility; dynamism sustains learning.” (Prudent Risk Management Approach, p. 22).</w:t>
        <w:br/>
        <w:br/>
        <w:t>This design ensures that analytical and decision-making processes operate as one continuous loop. Learning is not postponed to post-mortems; it happens within the cycle itself.</w:t>
        <w:br/>
        <w:br/>
        <w:t>---</w:t>
        <w:br/>
        <w:br/>
        <w:t>2. Avoiding the “Folly in Baselines”</w:t>
        <w:br/>
        <w:t>------------------------------------</w:t>
        <w:br/>
        <w:br/>
        <w:t xml:space="preserve">Traditional FPAS Mark I systems centered on deterministic baselines. </w:t>
        <w:br/>
        <w:t xml:space="preserve">While this provided structure, it fostered what Douglas Laxton calls “the folly in baselines” — the illusion that there exists a single, correct forecast path. </w:t>
        <w:br/>
        <w:t>The PRMAPS manual warns that “overconfidence in a single baseline can institutionalize error” (p. 19).</w:t>
        <w:br/>
        <w:br/>
        <w:t xml:space="preserve">FPAS Mark II dismantles this mindset. It embeds uncertainty directly into the analytical workflow by requiring staff to present multiple scenarios — not to confuse decision-makers, but to clarify risks. </w:t>
        <w:br/>
        <w:t xml:space="preserve">Each scenario represents a *different version of reality* conditioned on alternative assumptions about shocks, transmission, and expectations formation. </w:t>
        <w:br/>
        <w:t xml:space="preserve">As the manual explains:  </w:t>
        <w:br/>
        <w:t>&gt; “Policy must be judged not by how well the baseline turns out, but by how prudently the institution managed the distribution of risks around it.” (p. 20)</w:t>
        <w:br/>
        <w:br/>
        <w:t>This statement captures the essence of the **least-regrets mindset**: policy is not an optimization exercise but a risk management act designed to avoid costly mistakes when the world behaves differently than expected.</w:t>
        <w:br/>
        <w:br/>
        <w:t>---</w:t>
        <w:br/>
        <w:br/>
        <w:t>3. Policy-Relevant Analysis: Bridging Models and Judgment</w:t>
        <w:br/>
        <w:t>----------------------------------------------------------</w:t>
        <w:br/>
        <w:br/>
        <w:t xml:space="preserve">Under FPAS Mark II, staff are instructed to focus their effort on producing **policy-relevant analysis**, not perfect forecasts. </w:t>
        <w:br/>
        <w:t xml:space="preserve">This approach bridges the gap between quantitative modeling and qualitative judgment. </w:t>
        <w:br/>
        <w:t xml:space="preserve">It is defined in the manual as:  </w:t>
        <w:br/>
        <w:t>&gt; “The translation of analytical results into information that alters the Board’s understanding of risks and informs their choice under uncertainty.” (p. 25)</w:t>
        <w:br/>
        <w:br/>
        <w:t>This implies that good analysis does three things:</w:t>
        <w:br/>
        <w:t>1. It integrates model outputs and expert judgment into coherent risk narratives.</w:t>
        <w:br/>
        <w:t>2. It quantifies uncertainty explicitly, often through fan charts, density forecasts, or scenario trees.</w:t>
        <w:br/>
        <w:t>3. It prepares communication materials that help the Board and public understand not what the Bank *expects*, but what it *fears* and *hopes for*.</w:t>
        <w:br/>
        <w:br/>
        <w:t>In the onboarding materials, the CBA highlights that “policy-relevant analysis informs risk-based decisions by designing analysis around questions of credibility, trade-offs, and uncertainty.” (Content.pdf, Video 13).</w:t>
        <w:br/>
        <w:br/>
        <w:t>---</w:t>
        <w:br/>
        <w:br/>
        <w:t>4. The Role of Staff–Board Interaction</w:t>
        <w:br/>
        <w:t>--------------------------------------</w:t>
        <w:br/>
        <w:br/>
        <w:t xml:space="preserve">The 29-day cycle strengthens the **collaboration between staff and Board**. </w:t>
        <w:br/>
        <w:t xml:space="preserve">The staff’s role is not to defend a single baseline but to act as facilitators of structured dialogue. </w:t>
        <w:br/>
        <w:t xml:space="preserve">Board members, meanwhile, become decision-makers under uncertainty — guided by least-regrets reasoning. </w:t>
        <w:br/>
        <w:t xml:space="preserve">The manual articulates this cultural shift clearly:  </w:t>
        <w:br/>
        <w:t>&gt; “Staff exist not to convince the Board but to prepare the Board for disciplined disagreement.” (p. 27)</w:t>
        <w:br/>
        <w:br/>
        <w:t xml:space="preserve">Each meeting within the cycle — from internal workshops to Board seminars — functions as a platform for this constructive tension. </w:t>
        <w:br/>
        <w:t>Disagreement is expected and valued when it sharpens collective understanding of risks.</w:t>
        <w:br/>
        <w:br/>
        <w:t xml:space="preserve">The final output of each round — the **Executive Briefing** — reflects this duality: clarity of evidence and humility of judgment. </w:t>
        <w:br/>
        <w:t xml:space="preserve">As the manual notes:  </w:t>
        <w:br/>
        <w:t>&gt; “The briefing document is not a forecast; it is a framework for decision-making under uncertainty.” (p. 28)</w:t>
        <w:br/>
        <w:br/>
        <w:t>---</w:t>
        <w:br/>
        <w:br/>
        <w:t>5. Continuous Learning and Institutional Credibility</w:t>
        <w:br/>
        <w:t>----------------------------------------------------</w:t>
        <w:br/>
        <w:br/>
        <w:t xml:space="preserve">FPAS Mark II transforms the central bank into a learning institution. </w:t>
        <w:br/>
        <w:t xml:space="preserve">Each policy cycle ends with reflection: teams review forecast performance, evaluate communication effectiveness, and identify lessons for the next round. </w:t>
        <w:br/>
        <w:t xml:space="preserve">This feedback loop operationalizes what the manual calls *institutional learning under uncertainty* (p. 30).  </w:t>
        <w:br/>
        <w:t>&gt; “Credibility is not achieved by avoiding mistakes, but by demonstrating the capacity to learn from them faster than others.” (p. 31)</w:t>
        <w:br/>
        <w:br/>
        <w:t xml:space="preserve">The CBA’s internal structure — with its rotation of staff, training routines, and post-round reviews — institutionalizes this process. </w:t>
        <w:br/>
        <w:t>Learning becomes a permanent feature of policymaking rather than an afterthought.</w:t>
        <w:br/>
        <w:br/>
        <w:t>---</w:t>
        <w:br/>
        <w:br/>
        <w:t>6. Policy Implications and Concluding Reflections</w:t>
        <w:br/>
        <w:t>-------------------------------------------------</w:t>
        <w:br/>
        <w:br/>
        <w:t>The shift to the 29-day policy cycle and the emphasis on policy-relevant analysis have profound implications for monetary policy at the CBA:</w:t>
        <w:br/>
        <w:br/>
        <w:t xml:space="preserve">- **Predictability and Rhythm:** The structured cycle ensures timely preparation and continuous engagement between staff and Board, enhancing credibility.  </w:t>
        <w:br/>
        <w:t xml:space="preserve">- **Transparency and Accountability:** By distinguishing analysis from judgment, the institution clarifies responsibility and strengthens its communication with the public.  </w:t>
        <w:br/>
        <w:t xml:space="preserve">- **Resilience and Adaptation:** Continuous learning enables the institution to respond flexibly to shocks without losing its anchor.  </w:t>
        <w:br/>
        <w:t xml:space="preserve">- **Human Capital Development:** The FPAS Mark II framework treats staff training and skill rotation as part of the policy process itself, not as an HR function.  </w:t>
        <w:br/>
        <w:t>- **Prudent Risk Management:** Decision-making becomes less about precision and more about balance — weighing risks across possible futures.</w:t>
        <w:br/>
        <w:br/>
        <w:t xml:space="preserve">As summarized in the manual:  </w:t>
        <w:br/>
        <w:t>&gt; “The future cannot be forecast, but it can be managed. The discipline of the policy cycle and the humility of least-regrets thinking together make credibility sustainable.” (p. 33)</w:t>
        <w:br/>
        <w:br/>
        <w:t>---</w:t>
        <w:br/>
        <w:br/>
        <w:t>References</w:t>
        <w:br/>
        <w:t>-----------</w:t>
        <w:br/>
        <w:t xml:space="preserve">- Central Bank of Armenia (2025). *CBA Academy: Onboarding Platform for New Board Members – Monetary Policy.* October 2025 edition【38†Content.pdf†L7-L8】.  </w:t>
        <w:br/>
        <w:t xml:space="preserve">- Laxton, D., M. Galstyan, and V. Avagyan (eds.) (2023). *The Prudent Risk Management Approach to Price Stability.* Better Policy Project (Unpublished mimeograph).  </w:t>
        <w:br/>
        <w:t xml:space="preserve">- Freedman, C., and D. Laxton (2009). “Why Inflation Targeting?” *IMF Working Paper 09/86.*  </w:t>
        <w:br/>
        <w:t>- Debelle, G., and D. Laxton (1996). “Is the Phillips Curve Really a Curve? Some Evidence for Australia.” *IMF Working Paper 96/37.*</w:t>
      </w:r>
    </w:p>
    <w:p>
      <w:pPr>
        <w:pStyle w:val="Heading2"/>
      </w:pPr>
      <w:r>
        <w:t>Script – Video 13: The Policy-Making Cycle and Policy-Relevant Analysis</w:t>
      </w:r>
    </w:p>
    <w:p>
      <w:r>
        <w:t>[Opening Visual – CBA calendar flipping through days of the month]</w:t>
        <w:br/>
        <w:t>Welcome back to the CBA Learning Hub.</w:t>
        <w:br/>
        <w:t>In this session, we explore how FPAS Mark II reshaped the policy-making cycle and the meaning of policy-relevant analysis.</w:t>
        <w:br/>
        <w:br/>
        <w:t>[Animated timeline – “29-Day Policy Cycle”]</w:t>
        <w:br/>
        <w:t>Under FPAS Mark II, the entire decision process follows a 29-day cycle that starts the day after each policy meeting and ends with the next.</w:t>
        <w:br/>
        <w:t>This rhythm creates discipline and ensures continuous communication between staff and Board.</w:t>
        <w:br/>
        <w:t>Each stage has a purpose — from data collection to scenario building and final briefing.</w:t>
        <w:br/>
        <w:t>Policy is no longer a series of events; it’s a living process.</w:t>
        <w:br/>
        <w:br/>
        <w:t>[Visual – staff working at analytical dashboards]</w:t>
        <w:br/>
        <w:t>Days 1 to 10 focus on data and diagnostics.</w:t>
        <w:br/>
        <w:t>Teams update short-term forecasts, review financial conditions, and scan for emerging risks.</w:t>
        <w:br/>
        <w:t>By Day 10, staff hold an internal workshop to map how new information changes the risk profile.</w:t>
        <w:br/>
        <w:br/>
        <w:t>[Cut to scene – joint staff–Board seminar]</w:t>
        <w:br/>
        <w:t>Between Days 11 and 20, scenarios are refined through structured dialogue.</w:t>
        <w:br/>
        <w:t>The goal is not to defend a baseline but to test how different assumptions affect policy trade-offs.</w:t>
        <w:br/>
        <w:br/>
        <w:t>[Whiteboard diagram – “Folly in Baselines” appears]</w:t>
        <w:br/>
        <w:t>FPAS Mark II teaches us to avoid the folly in baselines.</w:t>
        <w:br/>
        <w:t>A single forecast cannot capture uncertainty.</w:t>
        <w:br/>
        <w:t>Instead, we analyze ranges, asymmetries, and alternative narratives to support risk-aware decisions.</w:t>
        <w:br/>
        <w:br/>
        <w:t>[Policy meeting simulation – Board reviewing scenario heat maps]</w:t>
        <w:br/>
        <w:t>As the meeting approaches, staff synthesize evidence from models, judgment, and markets into policy-relevant analysis.</w:t>
        <w:br/>
        <w:t>This is not about predicting the future but about understanding how policy choices shift risks around the target.</w:t>
        <w:br/>
        <w:br/>
        <w:t>[Closing scene – Board room discussion with charts fading out]</w:t>
        <w:br/>
        <w:t>In FPAS Mark II, each 29-day cycle is a feedback loop for learning.</w:t>
        <w:br/>
        <w:t>Every decision is both a policy action and an experiment that makes the institution smarter and more credible.</w:t>
        <w:br/>
        <w:br/>
        <w:t>[Fade out – “Central Bank of Armenia | Learning Hub”]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