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3261" w14:textId="23F1ED49" w:rsidR="00D43124" w:rsidRDefault="00351D2E" w:rsidP="00D43124">
      <w:pPr>
        <w:jc w:val="center"/>
        <w:rPr>
          <w:b/>
          <w:bCs/>
          <w:color w:val="156082" w:themeColor="accent1"/>
          <w:sz w:val="28"/>
          <w:szCs w:val="28"/>
        </w:rPr>
      </w:pPr>
      <w:r w:rsidRPr="00351D2E">
        <w:rPr>
          <w:b/>
          <w:bCs/>
          <w:color w:val="156082" w:themeColor="accent1"/>
          <w:sz w:val="28"/>
          <w:szCs w:val="28"/>
        </w:rPr>
        <w:t>FPAS Mark II: The Least-Regrets Mindset</w:t>
      </w:r>
    </w:p>
    <w:p w14:paraId="1F401948" w14:textId="77777777" w:rsidR="00351D2E" w:rsidRDefault="00351D2E" w:rsidP="00D43124">
      <w:pPr>
        <w:jc w:val="center"/>
        <w:rPr>
          <w:b/>
          <w:bCs/>
        </w:rPr>
      </w:pPr>
    </w:p>
    <w:p w14:paraId="11101329" w14:textId="77777777" w:rsidR="00C73A24" w:rsidRPr="00247DED" w:rsidRDefault="00C73A24" w:rsidP="00C73A24">
      <w:pPr>
        <w:rPr>
          <w:b/>
          <w:bCs/>
          <w:color w:val="000000" w:themeColor="text1"/>
        </w:rPr>
      </w:pPr>
      <w:r w:rsidRPr="00247DED">
        <w:rPr>
          <w:b/>
          <w:bCs/>
          <w:color w:val="000000" w:themeColor="text1"/>
        </w:rPr>
        <w:t>Note</w:t>
      </w:r>
    </w:p>
    <w:p w14:paraId="30BBCC2F" w14:textId="77777777" w:rsidR="00C73A24" w:rsidRPr="00247DED" w:rsidRDefault="00C73A24" w:rsidP="00C73A24">
      <w:pPr>
        <w:jc w:val="both"/>
        <w:rPr>
          <w:b/>
          <w:bCs/>
          <w:color w:val="000000" w:themeColor="text1"/>
        </w:rPr>
      </w:pPr>
      <w:r w:rsidRPr="00247DED">
        <w:rPr>
          <w:b/>
          <w:bCs/>
          <w:color w:val="000000" w:themeColor="text1"/>
        </w:rPr>
        <w:t>1. Historical Lineage</w:t>
      </w:r>
    </w:p>
    <w:p w14:paraId="2F94FB12" w14:textId="77777777" w:rsidR="00C73A24" w:rsidRPr="00247DED" w:rsidRDefault="00C73A24" w:rsidP="00C73A24">
      <w:pPr>
        <w:jc w:val="both"/>
        <w:rPr>
          <w:color w:val="000000" w:themeColor="text1"/>
        </w:rPr>
      </w:pPr>
      <w:r w:rsidRPr="00247DED">
        <w:rPr>
          <w:color w:val="000000" w:themeColor="text1"/>
        </w:rP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0170ACC5" w14:textId="77777777" w:rsidR="00C73A24" w:rsidRPr="00247DED" w:rsidRDefault="00C73A24" w:rsidP="00C73A24">
      <w:pPr>
        <w:jc w:val="both"/>
        <w:rPr>
          <w:color w:val="000000" w:themeColor="text1"/>
        </w:rPr>
      </w:pPr>
      <w:r w:rsidRPr="00247DED">
        <w:rPr>
          <w:color w:val="000000" w:themeColor="text1"/>
        </w:rPr>
        <w:t>But over time, several large, advanced-economy institutions - notably the Federal Reserve, the Bank of England, the European Central Bank, the Bank of Japan, and the Bank of Korea failed to develop comparable systems. They remained reliant on fragmented forecasting methods and judgmental processes without a coherent analytical framework linking models, scenarios, and policy decisions.</w:t>
      </w:r>
    </w:p>
    <w:p w14:paraId="5AA0C321" w14:textId="77777777" w:rsidR="00C73A24" w:rsidRPr="00247DED" w:rsidRDefault="00C73A24" w:rsidP="00C73A24">
      <w:pPr>
        <w:jc w:val="both"/>
        <w:rPr>
          <w:color w:val="000000" w:themeColor="text1"/>
        </w:rPr>
      </w:pPr>
      <w:r w:rsidRPr="00247DED">
        <w:rPr>
          <w:color w:val="000000" w:themeColor="text1"/>
        </w:rPr>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 managed and formally integrated into the decision process.</w:t>
      </w:r>
    </w:p>
    <w:p w14:paraId="646AA05B" w14:textId="77777777" w:rsidR="00C73A24" w:rsidRPr="00247DED" w:rsidRDefault="00C73A24" w:rsidP="00C73A24">
      <w:pPr>
        <w:jc w:val="both"/>
        <w:rPr>
          <w:b/>
          <w:bCs/>
          <w:color w:val="000000" w:themeColor="text1"/>
        </w:rPr>
      </w:pPr>
      <w:r w:rsidRPr="00247DED">
        <w:rPr>
          <w:b/>
          <w:bCs/>
          <w:color w:val="000000" w:themeColor="text1"/>
        </w:rPr>
        <w:t>2. The Analytical Leap</w:t>
      </w:r>
    </w:p>
    <w:p w14:paraId="6996A06B" w14:textId="77777777" w:rsidR="00C73A24" w:rsidRPr="00247DED" w:rsidRDefault="00C73A24" w:rsidP="00C73A24">
      <w:pPr>
        <w:jc w:val="both"/>
        <w:rPr>
          <w:color w:val="000000" w:themeColor="text1"/>
        </w:rPr>
      </w:pPr>
      <w:r w:rsidRPr="00247DED">
        <w:rPr>
          <w:color w:val="000000" w:themeColor="text1"/>
        </w:rPr>
        <w:t>The Central Bank of Armenia’s innovation was to take the “least regrets” concept and operationalize it through FPAS Mark II. Mark II is designed for a world characterized by deep uncertainty - where the nature, persistence, and interaction of shocks are impossible to model into one optimal baseline projection.</w:t>
      </w:r>
    </w:p>
    <w:p w14:paraId="52950F26" w14:textId="77777777" w:rsidR="00C73A24" w:rsidRPr="00247DED" w:rsidRDefault="00C73A24" w:rsidP="00C73A24">
      <w:pPr>
        <w:jc w:val="both"/>
        <w:rPr>
          <w:color w:val="000000" w:themeColor="text1"/>
        </w:rPr>
      </w:pPr>
      <w:r w:rsidRPr="00247DED">
        <w:rPr>
          <w:color w:val="000000" w:themeColor="text1"/>
        </w:rPr>
        <w:t>Instead of optimizing policy around a single baseline scenario, Mark II embeds risk analysis into every stage of the policy process. Uncertainty is not treated as noise but as the core feature of the environment in which policy must operate.</w:t>
      </w:r>
    </w:p>
    <w:p w14:paraId="3B72FC52" w14:textId="77777777" w:rsidR="00C73A24" w:rsidRPr="00247DED" w:rsidRDefault="00C73A24" w:rsidP="00C73A24">
      <w:pPr>
        <w:jc w:val="both"/>
        <w:rPr>
          <w:color w:val="000000" w:themeColor="text1"/>
        </w:rPr>
      </w:pPr>
      <w:r w:rsidRPr="00247DED">
        <w:rPr>
          <w:color w:val="000000" w:themeColor="text1"/>
        </w:rPr>
        <w:t>Mark II combines several key elements:</w:t>
      </w:r>
    </w:p>
    <w:p w14:paraId="4546B59F" w14:textId="77777777" w:rsidR="00C73A24" w:rsidRPr="00247DED" w:rsidRDefault="00C73A24" w:rsidP="00C73A24">
      <w:pPr>
        <w:pStyle w:val="ListParagraph"/>
        <w:numPr>
          <w:ilvl w:val="0"/>
          <w:numId w:val="4"/>
        </w:numPr>
        <w:jc w:val="both"/>
        <w:rPr>
          <w:color w:val="000000" w:themeColor="text1"/>
        </w:rPr>
      </w:pPr>
      <w:r w:rsidRPr="00247DED">
        <w:rPr>
          <w:color w:val="000000" w:themeColor="text1"/>
        </w:rPr>
        <w:t>Modelling framework capable of handling nonlinearities in the economy and endogenous policy credibility.</w:t>
      </w:r>
    </w:p>
    <w:p w14:paraId="44B27AD0" w14:textId="77777777" w:rsidR="00C73A24" w:rsidRPr="00247DED" w:rsidRDefault="00C73A24" w:rsidP="00C73A24">
      <w:pPr>
        <w:pStyle w:val="ListParagraph"/>
        <w:numPr>
          <w:ilvl w:val="0"/>
          <w:numId w:val="4"/>
        </w:numPr>
        <w:jc w:val="both"/>
        <w:rPr>
          <w:color w:val="000000" w:themeColor="text1"/>
        </w:rPr>
      </w:pPr>
      <w:r w:rsidRPr="00247DED">
        <w:rPr>
          <w:color w:val="000000" w:themeColor="text1"/>
        </w:rPr>
        <w:t>A decision framework based on management and least-regrets analysis.</w:t>
      </w:r>
    </w:p>
    <w:p w14:paraId="0E1E668A" w14:textId="77777777" w:rsidR="00C73A24" w:rsidRPr="00247DED" w:rsidRDefault="00C73A24" w:rsidP="00C73A24">
      <w:pPr>
        <w:pStyle w:val="ListParagraph"/>
        <w:numPr>
          <w:ilvl w:val="0"/>
          <w:numId w:val="4"/>
        </w:numPr>
        <w:jc w:val="both"/>
        <w:rPr>
          <w:color w:val="000000" w:themeColor="text1"/>
        </w:rPr>
      </w:pPr>
      <w:r w:rsidRPr="00247DED">
        <w:rPr>
          <w:color w:val="000000" w:themeColor="text1"/>
        </w:rPr>
        <w:lastRenderedPageBreak/>
        <w:t>A communication strategy emphasizing transparency about possible policy responses under uncertainty rather than false precision.</w:t>
      </w:r>
    </w:p>
    <w:p w14:paraId="3F5081F7" w14:textId="77777777" w:rsidR="00C73A24" w:rsidRPr="00247DED" w:rsidRDefault="00C73A24" w:rsidP="00C73A24">
      <w:pPr>
        <w:pStyle w:val="ListParagraph"/>
        <w:numPr>
          <w:ilvl w:val="0"/>
          <w:numId w:val="4"/>
        </w:numPr>
        <w:jc w:val="both"/>
        <w:rPr>
          <w:color w:val="000000" w:themeColor="text1"/>
        </w:rPr>
      </w:pPr>
      <w:r w:rsidRPr="00247DED">
        <w:rPr>
          <w:color w:val="000000" w:themeColor="text1"/>
        </w:rPr>
        <w:t>Continuous development of human capital in a dynamic learning environment.</w:t>
      </w:r>
    </w:p>
    <w:p w14:paraId="0E96C5AA" w14:textId="77777777" w:rsidR="00C73A24" w:rsidRPr="00247DED" w:rsidRDefault="00C73A24" w:rsidP="00C73A24">
      <w:pPr>
        <w:jc w:val="both"/>
        <w:rPr>
          <w:color w:val="000000" w:themeColor="text1"/>
        </w:rPr>
      </w:pPr>
      <w:r w:rsidRPr="00247DED">
        <w:rPr>
          <w:color w:val="000000" w:themeColor="text1"/>
        </w:rPr>
        <w:t>This integration transforms monetary policy from a static optimization problem into a dynamic process of risk management and learning.</w:t>
      </w:r>
    </w:p>
    <w:p w14:paraId="4929B192" w14:textId="77777777" w:rsidR="00C73A24" w:rsidRPr="00247DED" w:rsidRDefault="00C73A24" w:rsidP="00C73A24">
      <w:pPr>
        <w:jc w:val="both"/>
        <w:rPr>
          <w:b/>
          <w:bCs/>
          <w:color w:val="000000" w:themeColor="text1"/>
        </w:rPr>
      </w:pPr>
      <w:r w:rsidRPr="00247DED">
        <w:rPr>
          <w:b/>
          <w:bCs/>
          <w:color w:val="000000" w:themeColor="text1"/>
        </w:rPr>
        <w:t>3. Institutional Comparisons</w:t>
      </w:r>
    </w:p>
    <w:p w14:paraId="5F8E0B53" w14:textId="77777777" w:rsidR="00C73A24" w:rsidRPr="00247DED" w:rsidRDefault="00C73A24" w:rsidP="00C73A24">
      <w:pPr>
        <w:jc w:val="both"/>
        <w:rPr>
          <w:color w:val="000000" w:themeColor="text1"/>
        </w:rPr>
      </w:pPr>
      <w:r w:rsidRPr="00247DED">
        <w:rPr>
          <w:color w:val="000000" w:themeColor="text1"/>
        </w:rPr>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67554E76" w14:textId="77777777" w:rsidR="00C73A24" w:rsidRPr="00247DED" w:rsidRDefault="00C73A24" w:rsidP="00C73A24">
      <w:pPr>
        <w:jc w:val="both"/>
        <w:rPr>
          <w:color w:val="000000" w:themeColor="text1"/>
        </w:rPr>
      </w:pPr>
      <w:r w:rsidRPr="00247DED">
        <w:rPr>
          <w:color w:val="000000" w:themeColor="text1"/>
        </w:rPr>
        <w:t>In contrast, Armenia developed the second generation - FPAS Mark II - by combining structured projection and policy analisys with the flexibility of prudent risk management. This was a leap forward in institutional design, not an incremental upgrade.</w:t>
      </w:r>
    </w:p>
    <w:p w14:paraId="4EAFE081" w14:textId="77777777" w:rsidR="00C73A24" w:rsidRPr="00247DED" w:rsidRDefault="00C73A24" w:rsidP="00C73A24">
      <w:pPr>
        <w:jc w:val="both"/>
        <w:rPr>
          <w:color w:val="000000" w:themeColor="text1"/>
        </w:rPr>
      </w:pPr>
      <w:r w:rsidRPr="00247DED">
        <w:rPr>
          <w:color w:val="000000" w:themeColor="text1"/>
        </w:rPr>
        <w:t>Waller’s observation that “Armenia has become the new New Zealand” reflects the growing recognition that innovation in monetary frameworks increasingly comes from smaller, agile institutions.</w:t>
      </w:r>
    </w:p>
    <w:p w14:paraId="4C449452" w14:textId="77777777" w:rsidR="00C73A24" w:rsidRPr="00247DED" w:rsidRDefault="00C73A24" w:rsidP="00C73A24">
      <w:pPr>
        <w:jc w:val="both"/>
        <w:rPr>
          <w:b/>
          <w:bCs/>
          <w:color w:val="000000" w:themeColor="text1"/>
        </w:rPr>
      </w:pPr>
      <w:r w:rsidRPr="00247DED">
        <w:rPr>
          <w:b/>
          <w:bCs/>
          <w:color w:val="000000" w:themeColor="text1"/>
        </w:rPr>
        <w:t>4. The Least-Regrets Principle in Practice</w:t>
      </w:r>
    </w:p>
    <w:p w14:paraId="7DFAF75C" w14:textId="77777777" w:rsidR="00C73A24" w:rsidRPr="00247DED" w:rsidRDefault="00C73A24" w:rsidP="00C73A24">
      <w:pPr>
        <w:jc w:val="both"/>
        <w:rPr>
          <w:color w:val="000000" w:themeColor="text1"/>
        </w:rPr>
      </w:pPr>
      <w:r w:rsidRPr="00247DED">
        <w:rPr>
          <w:color w:val="000000" w:themeColor="text1"/>
        </w:rPr>
        <w:t xml:space="preserve">In FPAS Mark II, every policy round begins with a structured scenario matrix. Staff 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FF08201" w14:textId="77777777" w:rsidR="00C73A24" w:rsidRPr="00247DED" w:rsidRDefault="00C73A24" w:rsidP="00C73A24">
      <w:pPr>
        <w:jc w:val="both"/>
        <w:rPr>
          <w:color w:val="000000" w:themeColor="text1"/>
        </w:rPr>
      </w:pPr>
      <w:r w:rsidRPr="00247DED">
        <w:rPr>
          <w:color w:val="000000" w:themeColor="text1"/>
        </w:rPr>
        <w:t>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68B82452" w14:textId="77777777" w:rsidR="00C73A24" w:rsidRPr="00247DED" w:rsidRDefault="00C73A24" w:rsidP="00C73A24">
      <w:pPr>
        <w:jc w:val="both"/>
        <w:rPr>
          <w:color w:val="000000" w:themeColor="text1"/>
        </w:rPr>
      </w:pPr>
      <w:r w:rsidRPr="00247DED">
        <w:rPr>
          <w:color w:val="000000" w:themeColor="text1"/>
        </w:rPr>
        <w:lastRenderedPageBreak/>
        <w:t>For each scenario, the analysis evaluates the costs of acting too soon versus too late. The objective is to choose the policy stance that minimizes potential regret across all possible futures.</w:t>
      </w:r>
    </w:p>
    <w:p w14:paraId="7B565453" w14:textId="77777777" w:rsidR="00C73A24" w:rsidRPr="00247DED" w:rsidRDefault="00C73A24" w:rsidP="00C73A24">
      <w:pPr>
        <w:jc w:val="both"/>
        <w:rPr>
          <w:color w:val="000000" w:themeColor="text1"/>
        </w:rPr>
      </w:pPr>
      <w:r w:rsidRPr="00247DED">
        <w:rPr>
          <w:color w:val="000000" w:themeColor="text1"/>
        </w:rPr>
        <w:t>Mistakes are asymmetric:</w:t>
      </w:r>
    </w:p>
    <w:p w14:paraId="39EDDBA1" w14:textId="77777777" w:rsidR="00C73A24" w:rsidRPr="00247DED" w:rsidRDefault="00C73A24" w:rsidP="00C73A24">
      <w:pPr>
        <w:pStyle w:val="ListParagraph"/>
        <w:numPr>
          <w:ilvl w:val="0"/>
          <w:numId w:val="5"/>
        </w:numPr>
        <w:jc w:val="both"/>
        <w:rPr>
          <w:color w:val="000000" w:themeColor="text1"/>
        </w:rPr>
      </w:pPr>
      <w:r w:rsidRPr="00247DED">
        <w:rPr>
          <w:color w:val="000000" w:themeColor="text1"/>
        </w:rPr>
        <w:t>Tightening too early may unnecessarily suppress demand and employment.</w:t>
      </w:r>
    </w:p>
    <w:p w14:paraId="750F837B" w14:textId="77777777" w:rsidR="00C73A24" w:rsidRPr="00247DED" w:rsidRDefault="00C73A24" w:rsidP="00C73A24">
      <w:pPr>
        <w:pStyle w:val="ListParagraph"/>
        <w:numPr>
          <w:ilvl w:val="0"/>
          <w:numId w:val="5"/>
        </w:numPr>
        <w:jc w:val="both"/>
        <w:rPr>
          <w:color w:val="000000" w:themeColor="text1"/>
        </w:rPr>
      </w:pPr>
      <w:r w:rsidRPr="00247DED">
        <w:rPr>
          <w:color w:val="000000" w:themeColor="text1"/>
        </w:rPr>
        <w:t>Tightening too late may allow inflation expectations to de-anchor.</w:t>
      </w:r>
    </w:p>
    <w:p w14:paraId="6F33F746" w14:textId="77777777" w:rsidR="00C73A24" w:rsidRPr="00247DED" w:rsidRDefault="00C73A24" w:rsidP="00C73A24">
      <w:pPr>
        <w:jc w:val="both"/>
        <w:rPr>
          <w:color w:val="000000" w:themeColor="text1"/>
        </w:rPr>
      </w:pPr>
      <w:r w:rsidRPr="00247DED">
        <w:rPr>
          <w:color w:val="000000" w:themeColor="text1"/>
        </w:rPr>
        <w:t>The art of policymaking under FPAS Mark II is selecting the stance that minimises policy error across all plausible outcomes - not optimizing for a single point forecast.</w:t>
      </w:r>
    </w:p>
    <w:p w14:paraId="37A2205B" w14:textId="77777777" w:rsidR="00C73A24" w:rsidRPr="00247DED" w:rsidRDefault="00C73A24" w:rsidP="00C73A24">
      <w:pPr>
        <w:jc w:val="both"/>
        <w:rPr>
          <w:b/>
          <w:bCs/>
          <w:color w:val="000000" w:themeColor="text1"/>
        </w:rPr>
      </w:pPr>
      <w:r w:rsidRPr="00247DED">
        <w:rPr>
          <w:b/>
          <w:bCs/>
          <w:color w:val="000000" w:themeColor="text1"/>
        </w:rPr>
        <w:t>5. Implications for Credibility and Communication</w:t>
      </w:r>
    </w:p>
    <w:p w14:paraId="61C01A80" w14:textId="77777777" w:rsidR="00C73A24" w:rsidRPr="00247DED" w:rsidRDefault="00C73A24" w:rsidP="00C73A24">
      <w:pPr>
        <w:jc w:val="both"/>
        <w:rPr>
          <w:color w:val="000000" w:themeColor="text1"/>
        </w:rPr>
      </w:pPr>
      <w:r w:rsidRPr="00247DED">
        <w:rPr>
          <w:color w:val="000000" w:themeColor="text1"/>
        </w:rPr>
        <w:t>The least-regrets framework transforms communication. Instead of presenting a single baseline projection, the central bank explains:</w:t>
      </w:r>
    </w:p>
    <w:p w14:paraId="21C5795E" w14:textId="77777777" w:rsidR="00C73A24" w:rsidRPr="00247DED" w:rsidRDefault="00C73A24" w:rsidP="00C73A24">
      <w:pPr>
        <w:pStyle w:val="ListParagraph"/>
        <w:numPr>
          <w:ilvl w:val="0"/>
          <w:numId w:val="6"/>
        </w:numPr>
        <w:jc w:val="both"/>
        <w:rPr>
          <w:color w:val="000000" w:themeColor="text1"/>
        </w:rPr>
      </w:pPr>
      <w:r w:rsidRPr="00247DED">
        <w:rPr>
          <w:color w:val="000000" w:themeColor="text1"/>
        </w:rPr>
        <w:t>how it manages uncertainty,</w:t>
      </w:r>
    </w:p>
    <w:p w14:paraId="2FCDCEF6" w14:textId="77777777" w:rsidR="00C73A24" w:rsidRPr="00247DED" w:rsidRDefault="00C73A24" w:rsidP="00C73A24">
      <w:pPr>
        <w:pStyle w:val="ListParagraph"/>
        <w:numPr>
          <w:ilvl w:val="0"/>
          <w:numId w:val="6"/>
        </w:numPr>
        <w:jc w:val="both"/>
        <w:rPr>
          <w:color w:val="000000" w:themeColor="text1"/>
        </w:rPr>
      </w:pPr>
      <w:r w:rsidRPr="00247DED">
        <w:rPr>
          <w:color w:val="000000" w:themeColor="text1"/>
        </w:rPr>
        <w:t>how it evaluates risks,</w:t>
      </w:r>
    </w:p>
    <w:p w14:paraId="0589759C" w14:textId="77777777" w:rsidR="00C73A24" w:rsidRPr="00247DED" w:rsidRDefault="00C73A24" w:rsidP="00C73A24">
      <w:pPr>
        <w:pStyle w:val="ListParagraph"/>
        <w:numPr>
          <w:ilvl w:val="0"/>
          <w:numId w:val="6"/>
        </w:numPr>
        <w:jc w:val="both"/>
        <w:rPr>
          <w:color w:val="000000" w:themeColor="text1"/>
        </w:rPr>
      </w:pPr>
      <w:r w:rsidRPr="00247DED">
        <w:rPr>
          <w:color w:val="000000" w:themeColor="text1"/>
        </w:rPr>
        <w:t>how it would respond if conditions differed from expectations.</w:t>
      </w:r>
    </w:p>
    <w:p w14:paraId="057184AB" w14:textId="77777777" w:rsidR="00C73A24" w:rsidRPr="00247DED" w:rsidRDefault="00C73A24" w:rsidP="00C73A24">
      <w:pPr>
        <w:jc w:val="both"/>
        <w:rPr>
          <w:color w:val="000000" w:themeColor="text1"/>
        </w:rPr>
      </w:pPr>
      <w:r w:rsidRPr="00247DED">
        <w:rPr>
          <w:color w:val="000000" w:themeColor="text1"/>
        </w:rPr>
        <w:t>This shift makes transparency meaningful: the public understands both what the central bank expects and how it plans to act across different environments e.g. if certain risks materialize or economic conditions change.</w:t>
      </w:r>
    </w:p>
    <w:p w14:paraId="6EFB40ED" w14:textId="77777777" w:rsidR="00C73A24" w:rsidRPr="00247DED" w:rsidRDefault="00C73A24" w:rsidP="00C73A24">
      <w:pPr>
        <w:jc w:val="both"/>
        <w:rPr>
          <w:color w:val="000000" w:themeColor="text1"/>
        </w:rPr>
      </w:pPr>
      <w:r w:rsidRPr="00247DED">
        <w:rPr>
          <w:color w:val="000000" w:themeColor="text1"/>
        </w:rPr>
        <w:t xml:space="preserve">FPAS Mark II completes the intellectual journey that began in New Zealand after the global financial crisis. For the first time, the least-regrets idea has moved from language to institutional reality. Christopher Waller, while at a conference in June 2025 at the Bank of Korea, recognized this achievement when he remarked that once he understood what had been built in Armenia, he realized that Armenia had “become the new New Zealand.” This statement captured a generational shift — from New Zealand as the pioneer of the first FPAS in 1990 to Armenia as the pioneer of the second generation, FPAS Mark II. </w:t>
      </w:r>
    </w:p>
    <w:p w14:paraId="37F6B5C4" w14:textId="77777777" w:rsidR="00C73A24" w:rsidRPr="00247DED" w:rsidRDefault="00C73A24" w:rsidP="00C73A24">
      <w:pPr>
        <w:jc w:val="both"/>
        <w:rPr>
          <w:color w:val="000000" w:themeColor="text1"/>
        </w:rPr>
      </w:pPr>
    </w:p>
    <w:p w14:paraId="0EA7E8D0" w14:textId="77777777" w:rsidR="00C73A24" w:rsidRPr="00247DED" w:rsidRDefault="00C73A24" w:rsidP="00C73A24">
      <w:pPr>
        <w:rPr>
          <w:b/>
          <w:bCs/>
          <w:color w:val="000000" w:themeColor="text1"/>
        </w:rPr>
      </w:pPr>
      <w:r w:rsidRPr="00247DED">
        <w:rPr>
          <w:b/>
          <w:bCs/>
          <w:color w:val="000000" w:themeColor="text1"/>
        </w:rPr>
        <w:t>Literature &amp; Further Reading</w:t>
      </w:r>
    </w:p>
    <w:p w14:paraId="5A9B2769"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7"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0D43DBA9"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8"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7F4EA72D" w14:textId="77777777" w:rsidR="00C73A24" w:rsidRPr="00247DED" w:rsidRDefault="00C73A24" w:rsidP="00C73A24">
      <w:pPr>
        <w:pStyle w:val="ListParagraph"/>
        <w:numPr>
          <w:ilvl w:val="0"/>
          <w:numId w:val="3"/>
        </w:numPr>
        <w:tabs>
          <w:tab w:val="clear" w:pos="720"/>
          <w:tab w:val="num" w:pos="360"/>
        </w:tabs>
        <w:spacing w:before="227" w:line="312" w:lineRule="auto"/>
        <w:ind w:left="360" w:right="524"/>
        <w:jc w:val="both"/>
        <w:rPr>
          <w:color w:val="000000" w:themeColor="text1"/>
        </w:rPr>
      </w:pPr>
      <w:r w:rsidRPr="00247DED">
        <w:rPr>
          <w:color w:val="000000" w:themeColor="text1"/>
        </w:rPr>
        <w:lastRenderedPageBreak/>
        <w:t>Laxton, D., Galstyan, M., and Avagyan, V. January 2025.</w:t>
      </w:r>
      <w:r w:rsidRPr="00247DED">
        <w:rPr>
          <w:color w:val="000000" w:themeColor="text1"/>
          <w:spacing w:val="80"/>
        </w:rPr>
        <w:t xml:space="preserve"> </w:t>
      </w:r>
      <w:hyperlink r:id="rId9" w:history="1">
        <w:r w:rsidRPr="00247DED">
          <w:rPr>
            <w:rStyle w:val="Hyperlink"/>
            <w:iCs/>
            <w:color w:val="000000" w:themeColor="text1"/>
          </w:rPr>
          <w:t>Prudent Risk Management Approach to Price Stability: Theory and Practice  at the Central Bank of Armenia</w:t>
        </w:r>
      </w:hyperlink>
      <w:r w:rsidRPr="00247DED">
        <w:rPr>
          <w:iCs/>
          <w:color w:val="000000" w:themeColor="text1"/>
        </w:rPr>
        <w:t>.</w:t>
      </w:r>
    </w:p>
    <w:p w14:paraId="07705FD0"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10" w:tgtFrame="_blank" w:history="1">
        <w:r w:rsidRPr="00247DED">
          <w:rPr>
            <w:rStyle w:val="Hyperlink"/>
            <w:color w:val="000000" w:themeColor="text1"/>
          </w:rPr>
          <w:t>Friedman, M. (1968). “The Role of Monetary Policy.” </w:t>
        </w:r>
        <w:r w:rsidRPr="00247DED">
          <w:rPr>
            <w:rStyle w:val="Hyperlink"/>
            <w:i/>
            <w:iCs/>
            <w:color w:val="000000" w:themeColor="text1"/>
          </w:rPr>
          <w:t>American Economic Review</w:t>
        </w:r>
        <w:r w:rsidRPr="00247DED">
          <w:rPr>
            <w:rStyle w:val="Hyperlink"/>
            <w:color w:val="000000" w:themeColor="text1"/>
          </w:rPr>
          <w:t>, 58(1), 1–17.</w:t>
        </w:r>
      </w:hyperlink>
    </w:p>
    <w:p w14:paraId="7D1868C7"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11" w:tgtFrame="_blank" w:history="1">
        <w:r w:rsidRPr="00247DED">
          <w:rPr>
            <w:rStyle w:val="Hyperlink"/>
            <w:color w:val="000000" w:themeColor="text1"/>
          </w:rPr>
          <w:t>Phelps, E. (1968). “Money-Wage Dynamics and Labor Market Equilibrium.” </w:t>
        </w:r>
        <w:r w:rsidRPr="00247DED">
          <w:rPr>
            <w:rStyle w:val="Hyperlink"/>
            <w:i/>
            <w:iCs/>
            <w:color w:val="000000" w:themeColor="text1"/>
          </w:rPr>
          <w:t>Journal of Political Economy</w:t>
        </w:r>
        <w:r w:rsidRPr="00247DED">
          <w:rPr>
            <w:rStyle w:val="Hyperlink"/>
            <w:color w:val="000000" w:themeColor="text1"/>
          </w:rPr>
          <w:t>, 76(4), 678–711.</w:t>
        </w:r>
      </w:hyperlink>
    </w:p>
    <w:p w14:paraId="2C789FAB"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12" w:tgtFrame="_blank" w:history="1">
        <w:r w:rsidRPr="00247DED">
          <w:rPr>
            <w:rStyle w:val="Hyperlink"/>
            <w:color w:val="000000" w:themeColor="text1"/>
          </w:rPr>
          <w:t>Debelle, G., &amp; Laxton, D. (1996). </w:t>
        </w:r>
        <w:r w:rsidRPr="00247DED">
          <w:rPr>
            <w:rStyle w:val="Hyperlink"/>
            <w:i/>
            <w:iCs/>
            <w:color w:val="000000" w:themeColor="text1"/>
          </w:rPr>
          <w:t>Is the Phillips Curve Really a Curve? Some Evidence for Australia.</w:t>
        </w:r>
        <w:r w:rsidRPr="00247DED">
          <w:rPr>
            <w:rStyle w:val="Hyperlink"/>
            <w:color w:val="000000" w:themeColor="text1"/>
          </w:rPr>
          <w:t> IMF Working Paper 96/37.</w:t>
        </w:r>
      </w:hyperlink>
    </w:p>
    <w:p w14:paraId="2A9222E3"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13" w:tgtFrame="_blank" w:history="1">
        <w:r w:rsidRPr="00247DED">
          <w:rPr>
            <w:rStyle w:val="Hyperlink"/>
            <w:color w:val="000000" w:themeColor="text1"/>
          </w:rPr>
          <w:t>Debelle, G., &amp; Laxton, D. (1997). “Is the Phillips Curve Really Convex?” </w:t>
        </w:r>
        <w:r w:rsidRPr="00247DED">
          <w:rPr>
            <w:rStyle w:val="Hyperlink"/>
            <w:i/>
            <w:iCs/>
            <w:color w:val="000000" w:themeColor="text1"/>
          </w:rPr>
          <w:t>IMF Staff Papers</w:t>
        </w:r>
        <w:r w:rsidRPr="00247DED">
          <w:rPr>
            <w:rStyle w:val="Hyperlink"/>
            <w:color w:val="000000" w:themeColor="text1"/>
          </w:rPr>
          <w:t>, 44(2), 249–282.</w:t>
        </w:r>
      </w:hyperlink>
    </w:p>
    <w:p w14:paraId="4351280B"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14" w:tgtFrame="_blank" w:history="1">
        <w:r w:rsidRPr="00247DED">
          <w:rPr>
            <w:rStyle w:val="Hyperlink"/>
            <w:color w:val="000000" w:themeColor="text1"/>
          </w:rPr>
          <w:t>Debelle, G., &amp; Fischer, S. (1994). “How Independent Should a Central Bank Be?” In </w:t>
        </w:r>
        <w:r w:rsidRPr="00247DED">
          <w:rPr>
            <w:rStyle w:val="Hyperlink"/>
            <w:i/>
            <w:iCs/>
            <w:color w:val="000000" w:themeColor="text1"/>
          </w:rPr>
          <w:t>Goals, Guidelines, and Constraints Facing Monetary Policymakers.</w:t>
        </w:r>
      </w:hyperlink>
    </w:p>
    <w:p w14:paraId="1B7A1613"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15" w:tgtFrame="_blank" w:history="1">
        <w:r w:rsidRPr="00247DED">
          <w:rPr>
            <w:rStyle w:val="Hyperlink"/>
            <w:color w:val="000000" w:themeColor="text1"/>
          </w:rPr>
          <w:t>Freedman, C., &amp; Laxton, D. (2009). “Why Inflation Targeting?” IMF Working Paper 09/86.</w:t>
        </w:r>
      </w:hyperlink>
    </w:p>
    <w:p w14:paraId="35AD95D8" w14:textId="77777777" w:rsidR="00C73A24" w:rsidRPr="00247DED" w:rsidRDefault="00C73A24" w:rsidP="00C73A24">
      <w:pPr>
        <w:numPr>
          <w:ilvl w:val="0"/>
          <w:numId w:val="3"/>
        </w:numPr>
        <w:tabs>
          <w:tab w:val="clear" w:pos="720"/>
          <w:tab w:val="num" w:pos="360"/>
        </w:tabs>
        <w:ind w:left="360"/>
        <w:jc w:val="both"/>
        <w:rPr>
          <w:color w:val="000000" w:themeColor="text1"/>
        </w:rPr>
      </w:pPr>
      <w:hyperlink r:id="rId16" w:tgtFrame="_blank" w:history="1">
        <w:r w:rsidRPr="00247DED">
          <w:rPr>
            <w:rStyle w:val="Hyperlink"/>
            <w:color w:val="000000" w:themeColor="text1"/>
          </w:rPr>
          <w:t>Haworth, C., Kostanyan, A., &amp; Laxton, D. (2019). “Transparent Monetary Policy: A History of Inflation Targeting in New Zealand.” LSE Institute of Global Affairs.</w:t>
        </w:r>
      </w:hyperlink>
    </w:p>
    <w:p w14:paraId="5F5A491F" w14:textId="77777777" w:rsidR="00C73A24" w:rsidRPr="00247DED" w:rsidRDefault="00C73A24" w:rsidP="00C73A24">
      <w:pPr>
        <w:numPr>
          <w:ilvl w:val="0"/>
          <w:numId w:val="3"/>
        </w:numPr>
        <w:tabs>
          <w:tab w:val="clear" w:pos="720"/>
          <w:tab w:val="num" w:pos="360"/>
        </w:tabs>
        <w:ind w:left="360"/>
        <w:jc w:val="both"/>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25B4194F" w14:textId="77777777" w:rsidR="00C73A24" w:rsidRPr="00115233" w:rsidRDefault="00C73A24" w:rsidP="00C73A24">
      <w:pPr>
        <w:pStyle w:val="ListParagraph"/>
        <w:numPr>
          <w:ilvl w:val="0"/>
          <w:numId w:val="3"/>
        </w:numPr>
        <w:tabs>
          <w:tab w:val="clear" w:pos="720"/>
          <w:tab w:val="num" w:pos="360"/>
        </w:tabs>
        <w:spacing w:before="227" w:line="312" w:lineRule="auto"/>
        <w:ind w:left="360" w:right="-46"/>
        <w:jc w:val="both"/>
        <w:rPr>
          <w:color w:val="000000" w:themeColor="text1"/>
        </w:rPr>
      </w:pPr>
      <w:r w:rsidRPr="00247DED">
        <w:rPr>
          <w:color w:val="000000" w:themeColor="text1"/>
        </w:rPr>
        <w:t>Laxton, D., Avetisyan, H. and Avagyan, V..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093BA686" w14:textId="77777777" w:rsidR="00C73A24" w:rsidRPr="00115233" w:rsidRDefault="00C73A24" w:rsidP="00C73A24">
      <w:pPr>
        <w:numPr>
          <w:ilvl w:val="0"/>
          <w:numId w:val="3"/>
        </w:numPr>
        <w:tabs>
          <w:tab w:val="clear" w:pos="720"/>
          <w:tab w:val="num" w:pos="360"/>
        </w:tabs>
        <w:ind w:left="360"/>
        <w:jc w:val="both"/>
        <w:rPr>
          <w:color w:val="000000" w:themeColor="text1"/>
        </w:rPr>
      </w:pPr>
      <w:r w:rsidRPr="00247DED">
        <w:rPr>
          <w:color w:val="000000" w:themeColor="text1"/>
        </w:rPr>
        <w:t>CBA Academy. 2025. </w:t>
      </w:r>
      <w:hyperlink r:id="rId17"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50700658" w14:textId="77777777" w:rsidR="00C73A24" w:rsidRPr="00247DED" w:rsidRDefault="00C73A24" w:rsidP="00C73A24">
      <w:pPr>
        <w:jc w:val="both"/>
        <w:rPr>
          <w:color w:val="000000" w:themeColor="text1"/>
        </w:rPr>
      </w:pPr>
      <w:r>
        <w:rPr>
          <w:color w:val="000000" w:themeColor="text1"/>
        </w:rPr>
        <w:pict w14:anchorId="52A14CE7">
          <v:rect id="_x0000_i1025" style="width:0;height:1.5pt" o:hralign="center" o:hrstd="t" o:hr="t" fillcolor="#a0a0a0" stroked="f"/>
        </w:pict>
      </w:r>
    </w:p>
    <w:p w14:paraId="74B0497D" w14:textId="77777777" w:rsidR="00C73A24" w:rsidRPr="00247DED" w:rsidRDefault="00C73A24" w:rsidP="00C73A24">
      <w:pPr>
        <w:rPr>
          <w:b/>
          <w:bCs/>
          <w:color w:val="000000" w:themeColor="text1"/>
        </w:rPr>
      </w:pPr>
    </w:p>
    <w:p w14:paraId="2A00335A" w14:textId="77777777" w:rsidR="00C73A24" w:rsidRPr="00247DED" w:rsidRDefault="00C73A24" w:rsidP="00C73A24">
      <w:pPr>
        <w:rPr>
          <w:b/>
          <w:bCs/>
          <w:color w:val="000000" w:themeColor="text1"/>
        </w:rPr>
      </w:pPr>
      <w:r w:rsidRPr="00247DED">
        <w:rPr>
          <w:b/>
          <w:bCs/>
          <w:color w:val="000000" w:themeColor="text1"/>
        </w:rPr>
        <w:t>Script</w:t>
      </w:r>
    </w:p>
    <w:p w14:paraId="64BECFBF" w14:textId="77777777" w:rsidR="00C73A24" w:rsidRPr="00247DED" w:rsidRDefault="00C73A24" w:rsidP="00C73A24">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0734BA3E" w14:textId="77777777" w:rsidR="00C73A24" w:rsidRPr="00247DED" w:rsidRDefault="00C73A24" w:rsidP="00C73A24">
      <w:pPr>
        <w:jc w:val="both"/>
        <w:rPr>
          <w:color w:val="000000" w:themeColor="text1"/>
        </w:rPr>
      </w:pPr>
      <w:r w:rsidRPr="00247DED">
        <w:rPr>
          <w:color w:val="000000" w:themeColor="text1"/>
        </w:rPr>
        <w:lastRenderedPageBreak/>
        <w:t>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New Zealand.” This statement captured a generational shift — from New Zealand as the pioneer of the first FPAS in 1990 to Armenia as the pioneer of the second generation, FPAS Mark II.</w:t>
      </w:r>
    </w:p>
    <w:p w14:paraId="0CD98690" w14:textId="77777777" w:rsidR="00C73A24" w:rsidRPr="00247DED" w:rsidRDefault="00C73A24" w:rsidP="00C73A24">
      <w:pPr>
        <w:jc w:val="both"/>
        <w:rPr>
          <w:color w:val="000000" w:themeColor="text1"/>
        </w:rPr>
      </w:pPr>
      <w:r w:rsidRPr="00247DED">
        <w:rPr>
          <w:color w:val="000000" w:themeColor="text1"/>
        </w:rPr>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100BF1F8" w14:textId="77777777" w:rsidR="00C73A24" w:rsidRPr="00247DED" w:rsidRDefault="00C73A24" w:rsidP="00C73A24">
      <w:pPr>
        <w:jc w:val="both"/>
        <w:rPr>
          <w:color w:val="000000" w:themeColor="text1"/>
        </w:rPr>
      </w:pPr>
      <w:r w:rsidRPr="00247DED">
        <w:rPr>
          <w:color w:val="000000" w:themeColor="text1"/>
        </w:rP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354E7EA7" w14:textId="77777777" w:rsidR="00C73A24" w:rsidRPr="00247DED" w:rsidRDefault="00C73A24" w:rsidP="00C73A24">
      <w:pPr>
        <w:jc w:val="both"/>
        <w:rPr>
          <w:color w:val="000000" w:themeColor="text1"/>
        </w:rPr>
      </w:pPr>
      <w:r w:rsidRPr="00247DED">
        <w:rPr>
          <w:color w:val="000000" w:themeColor="text1"/>
        </w:rPr>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 Instead of optimizing policy around a single baseline scenario, Mark II embeds risk analysis into every stage of the policy process. This means that uncertainty is not treated as noise but as the core feature of the environment in which policy must operate.</w:t>
      </w:r>
    </w:p>
    <w:p w14:paraId="1F5D920E" w14:textId="77777777" w:rsidR="00C73A24" w:rsidRPr="00247DED" w:rsidRDefault="00C73A24" w:rsidP="00C73A24">
      <w:pPr>
        <w:jc w:val="both"/>
        <w:rPr>
          <w:color w:val="000000" w:themeColor="text1"/>
        </w:rPr>
      </w:pPr>
      <w:r w:rsidRPr="00247DED">
        <w:rPr>
          <w:color w:val="000000" w:themeColor="text1"/>
        </w:rPr>
        <w:t xml:space="preserve">The analytical foundation of Mark II combines several key elements. First, a modelling framework capable of handling nonlinearities in the economy and endogenous policy credibility. Second, a decision framework based on risk management and least-regrets analysis. Third, a communication strategy that emphasizes transparency about </w:t>
      </w:r>
      <w:r w:rsidRPr="00247DED">
        <w:rPr>
          <w:color w:val="000000" w:themeColor="text1"/>
        </w:rPr>
        <w:lastRenderedPageBreak/>
        <w:t>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63B8DE34" w14:textId="77777777" w:rsidR="00C73A24" w:rsidRPr="00247DED" w:rsidRDefault="00C73A24" w:rsidP="00C73A24">
      <w:pPr>
        <w:jc w:val="both"/>
        <w:rPr>
          <w:color w:val="000000" w:themeColor="text1"/>
        </w:rPr>
      </w:pPr>
      <w:r w:rsidRPr="00247DED">
        <w:rPr>
          <w:color w:val="000000" w:themeColor="text1"/>
        </w:rPr>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463156CB" w14:textId="77777777" w:rsidR="00C73A24" w:rsidRPr="00247DED" w:rsidRDefault="00C73A24" w:rsidP="00C73A24">
      <w:pPr>
        <w:jc w:val="both"/>
        <w:rPr>
          <w:color w:val="000000" w:themeColor="text1"/>
        </w:rPr>
      </w:pPr>
      <w:r w:rsidRPr="00247DED">
        <w:rPr>
          <w:color w:val="000000" w:themeColor="text1"/>
        </w:rPr>
        <w:t xml:space="preserve">Waller’s observation that “Armenia has become the new New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6DDB84C8" w14:textId="77777777" w:rsidR="00C73A24" w:rsidRPr="00247DED" w:rsidRDefault="00C73A24" w:rsidP="00C73A24">
      <w:pPr>
        <w:jc w:val="both"/>
        <w:rPr>
          <w:color w:val="000000" w:themeColor="text1"/>
        </w:rPr>
      </w:pPr>
      <w:r w:rsidRPr="00247DED">
        <w:rPr>
          <w:color w:val="000000" w:themeColor="text1"/>
        </w:rPr>
        <w:t xml:space="preserve">In FPAS Mark II, every policy round begins with a structured scenario matrix. Staff 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981E119" w14:textId="77777777" w:rsidR="00C73A24" w:rsidRPr="00247DED" w:rsidRDefault="00C73A24" w:rsidP="00C73A24">
      <w:pPr>
        <w:jc w:val="both"/>
        <w:rPr>
          <w:color w:val="000000" w:themeColor="text1"/>
        </w:rPr>
      </w:pPr>
      <w:r w:rsidRPr="00247DED">
        <w:rPr>
          <w:color w:val="000000" w:themeColor="text1"/>
        </w:rPr>
        <w:t>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26A53A0D" w14:textId="77777777" w:rsidR="00C73A24" w:rsidRPr="00247DED" w:rsidRDefault="00C73A24" w:rsidP="00C73A24">
      <w:pPr>
        <w:jc w:val="both"/>
        <w:rPr>
          <w:color w:val="000000" w:themeColor="text1"/>
        </w:rPr>
      </w:pPr>
      <w:r w:rsidRPr="00247DED">
        <w:rPr>
          <w:color w:val="000000" w:themeColor="text1"/>
        </w:rPr>
        <w:t xml:space="preserve">The least-regrets mindset recognizes that policy mistakes are asymmetric. For example, tightening too early could unnecessarily suppress demand and employment, while </w:t>
      </w:r>
      <w:r w:rsidRPr="00247DED">
        <w:rPr>
          <w:color w:val="000000" w:themeColor="text1"/>
        </w:rPr>
        <w:lastRenderedPageBreak/>
        <w:t>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2BB0C084" w14:textId="77777777" w:rsidR="00C73A24" w:rsidRPr="00247DED" w:rsidRDefault="00C73A24" w:rsidP="00C73A24">
      <w:pPr>
        <w:jc w:val="both"/>
        <w:rPr>
          <w:color w:val="000000" w:themeColor="text1"/>
        </w:rPr>
      </w:pPr>
      <w:r w:rsidRPr="00247DED">
        <w:rPr>
          <w:color w:val="000000" w:themeColor="text1"/>
        </w:rP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evolves differently. In a world where credibility depends on humility and adaptability, this approach represents a major advance in communication strategy. </w:t>
      </w:r>
    </w:p>
    <w:p w14:paraId="36D65FD8" w14:textId="77777777" w:rsidR="00C73A24" w:rsidRPr="00247DED" w:rsidRDefault="00C73A24" w:rsidP="00C73A24">
      <w:pPr>
        <w:jc w:val="both"/>
        <w:rPr>
          <w:color w:val="000000" w:themeColor="text1"/>
        </w:rPr>
      </w:pPr>
      <w:r w:rsidRPr="00247DED">
        <w:rPr>
          <w:color w:val="000000" w:themeColor="text1"/>
        </w:rPr>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5927BDC7" w14:textId="77777777" w:rsidR="00C73A24" w:rsidRPr="00247DED" w:rsidRDefault="00C73A24" w:rsidP="00C73A24">
      <w:pPr>
        <w:jc w:val="both"/>
        <w:rPr>
          <w:color w:val="000000" w:themeColor="text1"/>
        </w:rPr>
      </w:pPr>
      <w:r w:rsidRPr="00247DED">
        <w:rPr>
          <w:color w:val="000000" w:themeColor="text1"/>
        </w:rPr>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64A8731A" w14:textId="77777777" w:rsidR="00C73A24" w:rsidRPr="00247DED" w:rsidRDefault="00C73A24" w:rsidP="00C73A24">
      <w:pPr>
        <w:jc w:val="both"/>
        <w:rPr>
          <w:color w:val="000000" w:themeColor="text1"/>
        </w:rPr>
      </w:pPr>
      <w:r w:rsidRPr="00247DED">
        <w:rPr>
          <w:color w:val="000000" w:themeColor="text1"/>
        </w:rPr>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2D54974B" w14:textId="77777777" w:rsidR="00C73A24" w:rsidRPr="00247DED" w:rsidRDefault="00C73A24" w:rsidP="00C73A24">
      <w:pPr>
        <w:jc w:val="both"/>
        <w:rPr>
          <w:color w:val="000000" w:themeColor="text1"/>
        </w:rPr>
      </w:pPr>
      <w:r w:rsidRPr="00247DED">
        <w:rPr>
          <w:color w:val="000000" w:themeColor="text1"/>
        </w:rPr>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213CF2D6" w14:textId="77777777" w:rsidR="00C73A24" w:rsidRPr="00247DED" w:rsidRDefault="00C73A24" w:rsidP="00C73A24">
      <w:pPr>
        <w:jc w:val="both"/>
        <w:rPr>
          <w:color w:val="000000" w:themeColor="text1"/>
        </w:rPr>
      </w:pPr>
      <w:r w:rsidRPr="00247DED">
        <w:rPr>
          <w:color w:val="000000" w:themeColor="text1"/>
        </w:rPr>
        <w:lastRenderedPageBreak/>
        <w:t>This least-regrets mindset changes everything. It means we build our forecasts, our policy discussions, and our communication around uncertainty — not around false precision.</w:t>
      </w:r>
    </w:p>
    <w:p w14:paraId="3A3CC65F" w14:textId="77777777" w:rsidR="00C73A24" w:rsidRPr="00247DED" w:rsidRDefault="00C73A24" w:rsidP="00C73A24">
      <w:pPr>
        <w:jc w:val="both"/>
        <w:rPr>
          <w:color w:val="000000" w:themeColor="text1"/>
        </w:rPr>
      </w:pPr>
      <w:r w:rsidRPr="00247DED">
        <w:rPr>
          <w:color w:val="000000" w:themeColor="text1"/>
        </w:rPr>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4893010E" w14:textId="77777777" w:rsidR="00C73A24" w:rsidRPr="00247DED" w:rsidRDefault="00C73A24" w:rsidP="00C73A24">
      <w:pPr>
        <w:jc w:val="both"/>
        <w:rPr>
          <w:color w:val="000000" w:themeColor="text1"/>
        </w:rPr>
      </w:pPr>
      <w:r w:rsidRPr="00247DED">
        <w:rPr>
          <w:color w:val="000000" w:themeColor="text1"/>
        </w:rPr>
        <w:t>So, when people say Armenia has become the new New Zealand, it’s not just a compliment — it’s a recognition that the frontier of central banking has moved. Independence gives us the authority to act. Prudence and transparency give us the legitimacy to lead.</w:t>
      </w:r>
    </w:p>
    <w:p w14:paraId="4A9C480F" w14:textId="77777777" w:rsidR="00C73A24" w:rsidRDefault="00C73A24" w:rsidP="00C73A24">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68853659" w14:textId="77777777" w:rsidR="00C73A24" w:rsidRPr="006C55E7" w:rsidRDefault="00C73A24" w:rsidP="00C73A24">
      <w:pPr>
        <w:jc w:val="both"/>
        <w:rPr>
          <w:b/>
          <w:bCs/>
          <w:color w:val="000000" w:themeColor="text1"/>
        </w:rPr>
      </w:pPr>
      <w:r w:rsidRPr="006C55E7">
        <w:rPr>
          <w:b/>
          <w:bCs/>
          <w:color w:val="000000" w:themeColor="text1"/>
        </w:rPr>
        <w:t>See you in the next video!</w:t>
      </w:r>
    </w:p>
    <w:p w14:paraId="744CF77B" w14:textId="77777777" w:rsidR="0072308F" w:rsidRDefault="0072308F"/>
    <w:sectPr w:rsidR="0072308F" w:rsidSect="0072308F">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1A2C" w14:textId="77777777" w:rsidR="00CD10EE" w:rsidRDefault="00CD10EE" w:rsidP="0072308F">
      <w:pPr>
        <w:spacing w:after="0" w:line="240" w:lineRule="auto"/>
      </w:pPr>
      <w:r>
        <w:separator/>
      </w:r>
    </w:p>
  </w:endnote>
  <w:endnote w:type="continuationSeparator" w:id="0">
    <w:p w14:paraId="688B680C" w14:textId="77777777" w:rsidR="00CD10EE" w:rsidRDefault="00CD10EE"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F0108" w14:textId="77777777" w:rsidR="00CD10EE" w:rsidRDefault="00CD10EE" w:rsidP="0072308F">
      <w:pPr>
        <w:spacing w:after="0" w:line="240" w:lineRule="auto"/>
      </w:pPr>
      <w:r>
        <w:separator/>
      </w:r>
    </w:p>
  </w:footnote>
  <w:footnote w:type="continuationSeparator" w:id="0">
    <w:p w14:paraId="275DC6BE" w14:textId="77777777" w:rsidR="00CD10EE" w:rsidRDefault="00CD10EE"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E9D"/>
    <w:multiLevelType w:val="multilevel"/>
    <w:tmpl w:val="491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2"/>
  </w:num>
  <w:num w:numId="2" w16cid:durableId="1105033860">
    <w:abstractNumId w:val="5"/>
  </w:num>
  <w:num w:numId="3" w16cid:durableId="1425108873">
    <w:abstractNumId w:val="0"/>
  </w:num>
  <w:num w:numId="4" w16cid:durableId="633020558">
    <w:abstractNumId w:val="3"/>
  </w:num>
  <w:num w:numId="5" w16cid:durableId="1779257839">
    <w:abstractNumId w:val="1"/>
  </w:num>
  <w:num w:numId="6" w16cid:durableId="78404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7444"/>
    <w:rsid w:val="000B4C75"/>
    <w:rsid w:val="002F0FAD"/>
    <w:rsid w:val="00340E12"/>
    <w:rsid w:val="00351D2E"/>
    <w:rsid w:val="00376C67"/>
    <w:rsid w:val="003E0332"/>
    <w:rsid w:val="00456F43"/>
    <w:rsid w:val="004B4DD7"/>
    <w:rsid w:val="004F58F3"/>
    <w:rsid w:val="0056772D"/>
    <w:rsid w:val="006A369D"/>
    <w:rsid w:val="00721C29"/>
    <w:rsid w:val="0072308F"/>
    <w:rsid w:val="00727AEB"/>
    <w:rsid w:val="007F690D"/>
    <w:rsid w:val="009659F4"/>
    <w:rsid w:val="00B07A92"/>
    <w:rsid w:val="00B47208"/>
    <w:rsid w:val="00BC2A6B"/>
    <w:rsid w:val="00C73A24"/>
    <w:rsid w:val="00CB466F"/>
    <w:rsid w:val="00CD10EE"/>
    <w:rsid w:val="00CD5F35"/>
    <w:rsid w:val="00D43124"/>
    <w:rsid w:val="00D6171C"/>
    <w:rsid w:val="00F2438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etterpolicyproject.org/_files/ugd/bf672a_6ae27711ba7b4e0e9bd2a0c1b3557289.pdf" TargetMode="External"/><Relationship Id="rId13" Type="http://schemas.openxmlformats.org/officeDocument/2006/relationships/hyperlink" Target="https://www.elibrary.imf.org/view/journals/024/1997/002/article-A005-en.xml"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bankofengland.co.uk/-/media/boe/files/independent-evaluation-office/2024/forecasting-for-monetary-policy-making-and-communication-at-the-bank-of-england-a-review.pdf" TargetMode="External"/><Relationship Id="rId12" Type="http://schemas.openxmlformats.org/officeDocument/2006/relationships/hyperlink" Target="https://www.imf.org/en/Publications/WP/Issues/2016/12/30/Is-the-Phillips-Curve-Really-a-Curve-Some-Evidence-for-Canada-the-United-Kingdom-and-the-2079" TargetMode="External"/><Relationship Id="rId17" Type="http://schemas.openxmlformats.org/officeDocument/2006/relationships/hyperlink" Target="https://www.cba.am/e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lse.ac.uk/iga/assets/documents/reports/Transparent-Monetary-Policy-A-History-of-Inflation-Targeting-in-New-Zealand.pd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stor.org/stable/183107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imf.org/external/pubs/ft/wp/2009/wp0986.pdf" TargetMode="External"/><Relationship Id="rId23" Type="http://schemas.openxmlformats.org/officeDocument/2006/relationships/footer" Target="footer3.xml"/><Relationship Id="rId10" Type="http://schemas.openxmlformats.org/officeDocument/2006/relationships/hyperlink" Target="https://www.aeaweb.org/aer/top20/58.1.1-17.pdf"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thebetterpolicyproject.org/_files/ugd/bf672a_44316592afd24e26add8648beeb507a2.pdf" TargetMode="External"/><Relationship Id="rId14" Type="http://schemas.openxmlformats.org/officeDocument/2006/relationships/hyperlink" Target="https://www.nber.org/system/files/working_papers/w4646/w4646.pdf"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2855</Words>
  <Characters>16276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9</cp:revision>
  <cp:lastPrinted>2025-11-14T16:47:00Z</cp:lastPrinted>
  <dcterms:created xsi:type="dcterms:W3CDTF">2025-11-07T14:25:00Z</dcterms:created>
  <dcterms:modified xsi:type="dcterms:W3CDTF">2025-11-28T17:30:00Z</dcterms:modified>
</cp:coreProperties>
</file>