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9A9CB" w14:textId="15C64A35" w:rsidR="0072308F" w:rsidRDefault="00D43124" w:rsidP="00D43124">
      <w:pPr>
        <w:jc w:val="center"/>
        <w:rPr>
          <w:b/>
          <w:bCs/>
          <w:color w:val="156082" w:themeColor="accent1"/>
          <w:sz w:val="28"/>
          <w:szCs w:val="28"/>
        </w:rPr>
      </w:pPr>
      <w:r w:rsidRPr="00D43124">
        <w:rPr>
          <w:b/>
          <w:bCs/>
          <w:color w:val="156082" w:themeColor="accent1"/>
          <w:sz w:val="28"/>
          <w:szCs w:val="28"/>
        </w:rPr>
        <w:t>Lessons from the 1970s: The “Great Inflation”</w:t>
      </w:r>
    </w:p>
    <w:p w14:paraId="3FA63261" w14:textId="77777777" w:rsidR="00D43124" w:rsidRDefault="00D43124" w:rsidP="00D43124">
      <w:pPr>
        <w:jc w:val="center"/>
        <w:rPr>
          <w:b/>
          <w:bCs/>
        </w:rPr>
      </w:pPr>
    </w:p>
    <w:p w14:paraId="39CE8870" w14:textId="77777777" w:rsidR="00F1399B" w:rsidRPr="00247DED" w:rsidRDefault="00F1399B" w:rsidP="00F1399B">
      <w:pPr>
        <w:rPr>
          <w:b/>
          <w:bCs/>
          <w:color w:val="000000" w:themeColor="text1"/>
        </w:rPr>
      </w:pPr>
      <w:r w:rsidRPr="00247DED">
        <w:rPr>
          <w:b/>
          <w:bCs/>
          <w:color w:val="000000" w:themeColor="text1"/>
        </w:rPr>
        <w:t>Susanna Grigoryan</w:t>
      </w:r>
    </w:p>
    <w:p w14:paraId="435503B5" w14:textId="77777777" w:rsidR="00F1399B" w:rsidRPr="00247DED" w:rsidRDefault="00F1399B" w:rsidP="00F1399B">
      <w:pPr>
        <w:rPr>
          <w:b/>
          <w:bCs/>
          <w:color w:val="000000" w:themeColor="text1"/>
        </w:rPr>
      </w:pPr>
      <w:r w:rsidRPr="00247DED">
        <w:rPr>
          <w:b/>
          <w:bCs/>
          <w:color w:val="000000" w:themeColor="text1"/>
        </w:rPr>
        <w:t>Recent Staff Member, Monetary Policy Department, Central Bank of Armenia</w:t>
      </w:r>
    </w:p>
    <w:p w14:paraId="2F7C1A7C" w14:textId="77777777" w:rsidR="00F1399B" w:rsidRPr="00247DED" w:rsidRDefault="00F1399B" w:rsidP="00F1399B">
      <w:pPr>
        <w:rPr>
          <w:b/>
          <w:bCs/>
          <w:color w:val="000000" w:themeColor="text1"/>
        </w:rPr>
      </w:pPr>
      <w:r w:rsidRPr="00247DED">
        <w:rPr>
          <w:b/>
          <w:bCs/>
          <w:color w:val="000000" w:themeColor="text1"/>
        </w:rPr>
        <w:t>Student, Global Forecasting School</w:t>
      </w:r>
    </w:p>
    <w:p w14:paraId="4710D7D2" w14:textId="77777777" w:rsidR="00F1399B" w:rsidRPr="00247DED" w:rsidRDefault="00F1399B" w:rsidP="00F1399B">
      <w:pPr>
        <w:rPr>
          <w:b/>
          <w:bCs/>
          <w:color w:val="000000" w:themeColor="text1"/>
        </w:rPr>
      </w:pPr>
      <w:r w:rsidRPr="00247DED">
        <w:rPr>
          <w:b/>
          <w:bCs/>
          <w:color w:val="000000" w:themeColor="text1"/>
        </w:rPr>
        <w:t>November 2025</w:t>
      </w:r>
    </w:p>
    <w:p w14:paraId="6C3465C8" w14:textId="77777777" w:rsidR="00F1399B" w:rsidRPr="00247DED" w:rsidRDefault="00F1399B" w:rsidP="00F1399B">
      <w:pPr>
        <w:rPr>
          <w:b/>
          <w:bCs/>
          <w:color w:val="000000" w:themeColor="text1"/>
        </w:rPr>
      </w:pPr>
    </w:p>
    <w:p w14:paraId="3131A956" w14:textId="77777777" w:rsidR="00F1399B" w:rsidRPr="00247DED" w:rsidRDefault="00F1399B" w:rsidP="00F1399B">
      <w:pPr>
        <w:rPr>
          <w:b/>
          <w:bCs/>
          <w:color w:val="000000" w:themeColor="text1"/>
        </w:rPr>
      </w:pPr>
      <w:r w:rsidRPr="00247DED">
        <w:rPr>
          <w:b/>
          <w:bCs/>
          <w:color w:val="000000" w:themeColor="text1"/>
        </w:rPr>
        <w:t>Note</w:t>
      </w:r>
    </w:p>
    <w:p w14:paraId="593A0F7F" w14:textId="77777777" w:rsidR="00F1399B" w:rsidRPr="00247DED" w:rsidRDefault="00F1399B" w:rsidP="00F1399B">
      <w:pPr>
        <w:jc w:val="both"/>
        <w:rPr>
          <w:b/>
          <w:bCs/>
          <w:color w:val="000000" w:themeColor="text1"/>
        </w:rPr>
      </w:pPr>
      <w:r w:rsidRPr="00247DED">
        <w:rPr>
          <w:b/>
          <w:bCs/>
          <w:color w:val="000000" w:themeColor="text1"/>
        </w:rPr>
        <w:t>1. Overview and Historical Context</w:t>
      </w:r>
    </w:p>
    <w:p w14:paraId="23717160" w14:textId="77777777" w:rsidR="00F1399B" w:rsidRPr="00247DED" w:rsidRDefault="00F1399B" w:rsidP="00F1399B">
      <w:pPr>
        <w:jc w:val="both"/>
        <w:rPr>
          <w:color w:val="000000" w:themeColor="text1"/>
        </w:rPr>
      </w:pPr>
      <w:r w:rsidRPr="00247DED">
        <w:rPr>
          <w:color w:val="000000" w:themeColor="text1"/>
        </w:rP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52173B7A" w14:textId="77777777" w:rsidR="00F1399B" w:rsidRPr="00247DED" w:rsidRDefault="00F1399B" w:rsidP="00F1399B">
      <w:pPr>
        <w:jc w:val="both"/>
        <w:rPr>
          <w:color w:val="000000" w:themeColor="text1"/>
        </w:rPr>
      </w:pPr>
      <w:r w:rsidRPr="00247DED">
        <w:rPr>
          <w:color w:val="000000" w:themeColor="text1"/>
        </w:rP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60519BB9" w14:textId="77777777" w:rsidR="00F1399B" w:rsidRPr="00247DED" w:rsidRDefault="00F1399B" w:rsidP="00F1399B">
      <w:pPr>
        <w:jc w:val="both"/>
        <w:rPr>
          <w:b/>
          <w:bCs/>
          <w:color w:val="000000" w:themeColor="text1"/>
        </w:rPr>
      </w:pPr>
      <w:r w:rsidRPr="00247DED">
        <w:rPr>
          <w:b/>
          <w:bCs/>
          <w:color w:val="000000" w:themeColor="text1"/>
        </w:rPr>
        <w:t>2. The Phillips Curve Debate and the Natural Rate Hypothesis</w:t>
      </w:r>
    </w:p>
    <w:p w14:paraId="35CFF155" w14:textId="77777777" w:rsidR="00F1399B" w:rsidRPr="00247DED" w:rsidRDefault="00F1399B" w:rsidP="00F1399B">
      <w:pPr>
        <w:jc w:val="both"/>
        <w:rPr>
          <w:color w:val="000000" w:themeColor="text1"/>
        </w:rPr>
      </w:pPr>
      <w:r w:rsidRPr="00247DED">
        <w:rPr>
          <w:color w:val="000000" w:themeColor="text1"/>
        </w:rP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056A1DA7" w14:textId="77777777" w:rsidR="00F1399B" w:rsidRPr="00247DED" w:rsidRDefault="00F1399B" w:rsidP="00F1399B">
      <w:pPr>
        <w:jc w:val="both"/>
        <w:rPr>
          <w:b/>
          <w:bCs/>
          <w:color w:val="000000" w:themeColor="text1"/>
        </w:rPr>
      </w:pPr>
      <w:r w:rsidRPr="00247DED">
        <w:rPr>
          <w:color w:val="000000" w:themeColor="text1"/>
        </w:rPr>
        <w:lastRenderedPageBreak/>
        <w:t>Friedman and Phelps introduced the idea that expectations play a central role in determining inflation outcomes. Once workers and firms anticipate higher prices, they adjust wages and contracts, accordingly, embedding inflation into the system. The result is an upward drift in inflation without any sustained employment gains. This insight marked the birth of the expectations-augmented Phillips Curve, the foundation of modern monetary policymaking.</w:t>
      </w:r>
      <w:r w:rsidRPr="00247DED">
        <w:rPr>
          <w:b/>
          <w:bCs/>
          <w:color w:val="000000" w:themeColor="text1"/>
        </w:rPr>
        <w:t>3. Policy Failures and the Great Inflation</w:t>
      </w:r>
    </w:p>
    <w:p w14:paraId="530045FD" w14:textId="77777777" w:rsidR="00F1399B" w:rsidRPr="00247DED" w:rsidRDefault="00F1399B" w:rsidP="00F1399B">
      <w:pPr>
        <w:jc w:val="both"/>
        <w:rPr>
          <w:color w:val="000000" w:themeColor="text1"/>
        </w:rPr>
      </w:pPr>
      <w:r w:rsidRPr="00247DED">
        <w:rPr>
          <w:color w:val="000000" w:themeColor="text1"/>
        </w:rP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4C89EF33" w14:textId="77777777" w:rsidR="00F1399B" w:rsidRPr="00247DED" w:rsidRDefault="00F1399B" w:rsidP="00F1399B">
      <w:pPr>
        <w:jc w:val="both"/>
        <w:rPr>
          <w:color w:val="000000" w:themeColor="text1"/>
          <w:lang w:val="en-US"/>
        </w:rPr>
      </w:pPr>
      <w:r w:rsidRPr="00247DED">
        <w:rPr>
          <w:color w:val="000000" w:themeColor="text1"/>
        </w:rPr>
        <w:t xml:space="preserve">Policymakers initially viewed these developments as temporary and believed inflation could be reduced gradually without recession. However, this misconception allowed the periodic oil price shocks of the 1970’s to feed into higher inflation expectations, and the economy entered a vicious circle of wage-price dynamics. Attempts to restrain inflation through price and wage controls failed, and the credibility of central banks declined sharply. By the late 1970s, inflation had become deeply </w:t>
      </w:r>
      <w:r w:rsidRPr="00247DED">
        <w:rPr>
          <w:color w:val="000000" w:themeColor="text1"/>
          <w:lang w:val="en-US"/>
        </w:rPr>
        <w:t>entrenched, with long-term expectations rising well above levels consistent with price stability</w:t>
      </w:r>
      <w:r w:rsidRPr="00247DED">
        <w:rPr>
          <w:color w:val="000000" w:themeColor="text1"/>
        </w:rPr>
        <w:t>.</w:t>
      </w:r>
    </w:p>
    <w:p w14:paraId="62AA4DC5" w14:textId="77777777" w:rsidR="00F1399B" w:rsidRPr="00247DED" w:rsidRDefault="00F1399B" w:rsidP="00F1399B">
      <w:pPr>
        <w:jc w:val="both"/>
        <w:rPr>
          <w:b/>
          <w:bCs/>
          <w:color w:val="000000" w:themeColor="text1"/>
        </w:rPr>
      </w:pPr>
      <w:r w:rsidRPr="00247DED">
        <w:rPr>
          <w:b/>
          <w:bCs/>
          <w:color w:val="000000" w:themeColor="text1"/>
        </w:rPr>
        <w:t>4. The Volcker Disinflation and the Return to Credibility</w:t>
      </w:r>
    </w:p>
    <w:p w14:paraId="3A765B07" w14:textId="77777777" w:rsidR="00F1399B" w:rsidRPr="00247DED" w:rsidRDefault="00F1399B" w:rsidP="00F1399B">
      <w:pPr>
        <w:jc w:val="both"/>
        <w:rPr>
          <w:color w:val="000000" w:themeColor="text1"/>
        </w:rPr>
      </w:pPr>
      <w:r w:rsidRPr="00247DED">
        <w:rPr>
          <w:color w:val="000000" w:themeColor="text1"/>
        </w:rPr>
        <w:t>It was only after a dramatic policy shift under Paul Volcker at the U.S. Federal Reserve that inflation began to fall. Volcker’s approach emphasized monetary restraint and a willingness to tolerate short-term output losses to restore price stability. The resulting disinflation was painful but transformative: it demonstrated that credible policy actions could realign expectations and bring inflation under control.</w:t>
      </w:r>
    </w:p>
    <w:p w14:paraId="698EFAED" w14:textId="77777777" w:rsidR="00F1399B" w:rsidRPr="00247DED" w:rsidRDefault="00F1399B" w:rsidP="00F1399B">
      <w:pPr>
        <w:jc w:val="both"/>
        <w:rPr>
          <w:color w:val="000000" w:themeColor="text1"/>
        </w:rPr>
      </w:pPr>
      <w:r w:rsidRPr="00247DED">
        <w:rPr>
          <w:color w:val="000000" w:themeColor="text1"/>
        </w:rPr>
        <w:t>Debelle and Laxton (1996) build on the Phillips curve analysis by introducing convexity and show that when inflation expectations drift higher, the costs of bringing inflation back down increase disproportionately. This explains why the disinflation in the early 1980s required such forceful action by Volcker.</w:t>
      </w:r>
    </w:p>
    <w:p w14:paraId="2D3D38B4" w14:textId="77777777" w:rsidR="00F1399B" w:rsidRPr="00247DED" w:rsidRDefault="00F1399B" w:rsidP="00F1399B">
      <w:pPr>
        <w:jc w:val="both"/>
        <w:rPr>
          <w:color w:val="000000" w:themeColor="text1"/>
        </w:rPr>
      </w:pPr>
      <w:r w:rsidRPr="00247DED">
        <w:rPr>
          <w:color w:val="000000" w:themeColor="text1"/>
        </w:rP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20B52CBB" w14:textId="77777777" w:rsidR="00F1399B" w:rsidRPr="00247DED" w:rsidRDefault="00F1399B" w:rsidP="00F1399B">
      <w:pPr>
        <w:jc w:val="both"/>
        <w:rPr>
          <w:b/>
          <w:bCs/>
          <w:color w:val="000000" w:themeColor="text1"/>
        </w:rPr>
      </w:pPr>
      <w:r w:rsidRPr="00247DED">
        <w:rPr>
          <w:b/>
          <w:bCs/>
          <w:color w:val="000000" w:themeColor="text1"/>
        </w:rPr>
        <w:t>5. Legacy for Modern Frameworks</w:t>
      </w:r>
    </w:p>
    <w:p w14:paraId="6181C584" w14:textId="77777777" w:rsidR="00F1399B" w:rsidRPr="00247DED" w:rsidRDefault="00F1399B" w:rsidP="00F1399B">
      <w:pPr>
        <w:jc w:val="both"/>
        <w:rPr>
          <w:color w:val="000000" w:themeColor="text1"/>
        </w:rPr>
      </w:pPr>
      <w:r w:rsidRPr="00247DED">
        <w:rPr>
          <w:color w:val="000000" w:themeColor="text1"/>
        </w:rPr>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4A835303" w14:textId="77777777" w:rsidR="00F1399B" w:rsidRPr="00247DED" w:rsidRDefault="00F1399B" w:rsidP="00F1399B">
      <w:pPr>
        <w:jc w:val="both"/>
        <w:rPr>
          <w:color w:val="000000" w:themeColor="text1"/>
        </w:rPr>
      </w:pPr>
      <w:r w:rsidRPr="00247DED">
        <w:rPr>
          <w:color w:val="000000" w:themeColor="text1"/>
        </w:rPr>
        <w:t>Freedman and Laxton, “Why Inflation Targeting?”, explains that modern inflation targeting rests on two crucial ideas: first, there is no long-run trade-off between inflation and unemployment; and second, policymakers face a time-inconsistency problem that encourages surprise inflation without long-run benefits as initially proposed by Kydland and Prescott (1977).</w:t>
      </w:r>
    </w:p>
    <w:p w14:paraId="2B146FCF" w14:textId="77777777" w:rsidR="00F1399B" w:rsidRPr="00247DED" w:rsidRDefault="00F1399B" w:rsidP="00F1399B">
      <w:pPr>
        <w:jc w:val="both"/>
        <w:rPr>
          <w:color w:val="000000" w:themeColor="text1"/>
        </w:rPr>
      </w:pPr>
      <w:r w:rsidRPr="00247DED">
        <w:rPr>
          <w:color w:val="000000" w:themeColor="text1"/>
        </w:rPr>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4A122A3F" w14:textId="77777777" w:rsidR="00F1399B" w:rsidRPr="00247DED" w:rsidRDefault="00F1399B" w:rsidP="00F1399B">
      <w:pPr>
        <w:jc w:val="both"/>
        <w:rPr>
          <w:b/>
          <w:bCs/>
          <w:color w:val="000000" w:themeColor="text1"/>
        </w:rPr>
      </w:pPr>
      <w:r w:rsidRPr="00247DED">
        <w:rPr>
          <w:b/>
          <w:bCs/>
          <w:color w:val="000000" w:themeColor="text1"/>
        </w:rPr>
        <w:t>6. Armenia’s Application: The Prudent Risk Management Approach</w:t>
      </w:r>
    </w:p>
    <w:p w14:paraId="35EB88C1" w14:textId="77777777" w:rsidR="00F1399B" w:rsidRPr="00247DED" w:rsidRDefault="00F1399B" w:rsidP="00F1399B">
      <w:pPr>
        <w:jc w:val="both"/>
        <w:rPr>
          <w:color w:val="000000" w:themeColor="text1"/>
        </w:rPr>
      </w:pPr>
      <w:r w:rsidRPr="00247DED">
        <w:rPr>
          <w:color w:val="000000" w:themeColor="text1"/>
        </w:rP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7EA3419" w14:textId="77777777" w:rsidR="00F1399B" w:rsidRPr="00247DED" w:rsidRDefault="00F1399B" w:rsidP="00F1399B">
      <w:pPr>
        <w:jc w:val="both"/>
        <w:rPr>
          <w:color w:val="000000" w:themeColor="text1"/>
        </w:rPr>
      </w:pPr>
      <w:r w:rsidRPr="00247DED">
        <w:rPr>
          <w:color w:val="000000" w:themeColor="text1"/>
        </w:rPr>
        <w:t>The benefits of the new framework could already be seen prior to the official adoption of FPAS Mark II in 2025. While the new framework was being developed, the CBA was already approaching the COVID-19 pandemic era economy with risk management in mind. Prominent competing narratives in 2021 was whether inflation would be temporary or persistent. This led to the focus of using sticky and flexible price inflation as a relevant framework for analysing the economy during that time. During both the 1970s and the 2021–22 inflation surge, sticky-price components moved sharply upward, signalling persistent inflation pressures earlier than many policymakers recognized. Unfortunately, many central banks relied too heavily on mechanical nowcasting models, unreliable survey expectations, and output gap estimates that did not account for pandemic-driven supply disruptions. These errors delayed policy tightening and allowed inflationary pressures to build. Meanwhile, the CBA was one of the first central banks in the world to start tightening monetary policy to prevent inflation from getting entrenched.</w:t>
      </w:r>
    </w:p>
    <w:p w14:paraId="5EDD70B5" w14:textId="77777777" w:rsidR="00F1399B" w:rsidRDefault="00F1399B" w:rsidP="00F1399B">
      <w:pPr>
        <w:jc w:val="both"/>
        <w:rPr>
          <w:color w:val="000000" w:themeColor="text1"/>
        </w:rPr>
      </w:pPr>
      <w:r w:rsidRPr="00247DED">
        <w:rPr>
          <w:color w:val="000000" w:themeColor="text1"/>
        </w:rPr>
        <w:t xml:space="preserve">FPAS Mark II moves beyond deterministic analysis toward a system that explicitly weighs risks and alternative scenarios. It builds credibility not by claiming precision, but by </w:t>
      </w:r>
      <w:r w:rsidRPr="00247DED">
        <w:rPr>
          <w:color w:val="000000" w:themeColor="text1"/>
        </w:rPr>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7039B07C" w14:textId="77777777" w:rsidR="00F1399B" w:rsidRPr="00247DED" w:rsidRDefault="00F1399B" w:rsidP="00F1399B">
      <w:pPr>
        <w:jc w:val="both"/>
        <w:rPr>
          <w:color w:val="000000" w:themeColor="text1"/>
        </w:rPr>
      </w:pPr>
    </w:p>
    <w:p w14:paraId="703471FD" w14:textId="77777777" w:rsidR="00F1399B" w:rsidRPr="00247DED" w:rsidRDefault="00F1399B" w:rsidP="00F1399B">
      <w:pPr>
        <w:rPr>
          <w:b/>
          <w:bCs/>
          <w:color w:val="000000" w:themeColor="text1"/>
        </w:rPr>
      </w:pPr>
      <w:r w:rsidRPr="00247DED">
        <w:rPr>
          <w:b/>
          <w:bCs/>
          <w:color w:val="000000" w:themeColor="text1"/>
        </w:rPr>
        <w:t>Literature &amp; Further Reading</w:t>
      </w:r>
    </w:p>
    <w:p w14:paraId="2705FB4F" w14:textId="77777777" w:rsidR="00F1399B" w:rsidRPr="00247DED" w:rsidRDefault="00F1399B" w:rsidP="00F1399B">
      <w:pPr>
        <w:numPr>
          <w:ilvl w:val="0"/>
          <w:numId w:val="2"/>
        </w:numPr>
        <w:jc w:val="both"/>
        <w:rPr>
          <w:color w:val="000000" w:themeColor="text1"/>
        </w:rPr>
      </w:pPr>
      <w:r w:rsidRPr="00247DED">
        <w:rPr>
          <w:color w:val="000000" w:themeColor="text1"/>
        </w:rPr>
        <w:t>CBA Academy. 2025. </w:t>
      </w:r>
      <w:hyperlink r:id="rId7"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2B86DE0B" w14:textId="77777777" w:rsidR="00F1399B" w:rsidRPr="00247DED" w:rsidRDefault="00F1399B" w:rsidP="00F1399B">
      <w:pPr>
        <w:numPr>
          <w:ilvl w:val="0"/>
          <w:numId w:val="2"/>
        </w:numPr>
        <w:jc w:val="both"/>
        <w:rPr>
          <w:color w:val="000000" w:themeColor="text1"/>
        </w:rPr>
      </w:pPr>
      <w:r w:rsidRPr="00247DED">
        <w:rPr>
          <w:color w:val="000000" w:themeColor="text1"/>
        </w:rPr>
        <w:t>Friedman, M. 1968. </w:t>
      </w:r>
      <w:hyperlink r:id="rId8" w:tgtFrame="_blank" w:history="1">
        <w:r w:rsidRPr="00247DED">
          <w:rPr>
            <w:rStyle w:val="Hyperlink"/>
            <w:color w:val="000000" w:themeColor="text1"/>
          </w:rPr>
          <w:t>“The Role of Monetary Policy.” </w:t>
        </w:r>
        <w:r w:rsidRPr="00247DED">
          <w:rPr>
            <w:rStyle w:val="Hyperlink"/>
            <w:i/>
            <w:iCs/>
            <w:color w:val="000000" w:themeColor="text1"/>
          </w:rPr>
          <w:t>American Economic Review</w:t>
        </w:r>
        <w:r w:rsidRPr="00247DED">
          <w:rPr>
            <w:rStyle w:val="Hyperlink"/>
            <w:color w:val="000000" w:themeColor="text1"/>
          </w:rPr>
          <w:t> 58 (1): 1–17.</w:t>
        </w:r>
      </w:hyperlink>
    </w:p>
    <w:p w14:paraId="70010563" w14:textId="77777777" w:rsidR="00F1399B" w:rsidRPr="00247DED" w:rsidRDefault="00F1399B" w:rsidP="00F1399B">
      <w:pPr>
        <w:numPr>
          <w:ilvl w:val="0"/>
          <w:numId w:val="2"/>
        </w:numPr>
        <w:jc w:val="both"/>
        <w:rPr>
          <w:color w:val="000000" w:themeColor="text1"/>
        </w:rPr>
      </w:pPr>
      <w:r w:rsidRPr="00247DED">
        <w:rPr>
          <w:color w:val="000000" w:themeColor="text1"/>
        </w:rPr>
        <w:t>Phelps, E. 1968. </w:t>
      </w:r>
      <w:hyperlink r:id="rId9" w:tgtFrame="_blank" w:history="1">
        <w:r w:rsidRPr="00247DED">
          <w:rPr>
            <w:rStyle w:val="Hyperlink"/>
            <w:color w:val="000000" w:themeColor="text1"/>
          </w:rPr>
          <w:t>“Money-Wage Dynamics and Labor Market Equilibrium.” </w:t>
        </w:r>
        <w:r w:rsidRPr="00247DED">
          <w:rPr>
            <w:rStyle w:val="Hyperlink"/>
            <w:i/>
            <w:iCs/>
            <w:color w:val="000000" w:themeColor="text1"/>
          </w:rPr>
          <w:t>Journal of Political Economy</w:t>
        </w:r>
        <w:r w:rsidRPr="00247DED">
          <w:rPr>
            <w:rStyle w:val="Hyperlink"/>
            <w:color w:val="000000" w:themeColor="text1"/>
          </w:rPr>
          <w:t> 76 (4): 678–711.</w:t>
        </w:r>
      </w:hyperlink>
    </w:p>
    <w:p w14:paraId="7238AC69" w14:textId="77777777" w:rsidR="00F1399B" w:rsidRPr="00247DED" w:rsidRDefault="00F1399B" w:rsidP="00F1399B">
      <w:pPr>
        <w:numPr>
          <w:ilvl w:val="0"/>
          <w:numId w:val="2"/>
        </w:numPr>
        <w:jc w:val="both"/>
        <w:rPr>
          <w:color w:val="000000" w:themeColor="text1"/>
        </w:rPr>
      </w:pPr>
      <w:r w:rsidRPr="00247DED">
        <w:rPr>
          <w:color w:val="000000" w:themeColor="text1"/>
        </w:rPr>
        <w:t>Debelle, G., and D. Laxton. 1996. </w:t>
      </w:r>
      <w:hyperlink r:id="rId10" w:tgtFrame="_blank" w:history="1">
        <w:r w:rsidRPr="00247DED">
          <w:rPr>
            <w:rStyle w:val="Hyperlink"/>
            <w:i/>
            <w:iCs/>
            <w:color w:val="000000" w:themeColor="text1"/>
          </w:rPr>
          <w:t>Is the Phillips Curve Really Convex?</w:t>
        </w:r>
      </w:hyperlink>
    </w:p>
    <w:p w14:paraId="033B2552" w14:textId="77777777" w:rsidR="00F1399B" w:rsidRPr="00247DED" w:rsidRDefault="00F1399B" w:rsidP="00F1399B">
      <w:pPr>
        <w:numPr>
          <w:ilvl w:val="0"/>
          <w:numId w:val="2"/>
        </w:numPr>
        <w:jc w:val="both"/>
        <w:rPr>
          <w:color w:val="000000" w:themeColor="text1"/>
        </w:rPr>
      </w:pPr>
      <w:r w:rsidRPr="00247DED">
        <w:rPr>
          <w:color w:val="000000" w:themeColor="text1"/>
        </w:rPr>
        <w:t>Debelle, G., and D. Laxton. 1997. </w:t>
      </w:r>
      <w:hyperlink r:id="rId11" w:tgtFrame="_blank" w:history="1">
        <w:r w:rsidRPr="00247DED">
          <w:rPr>
            <w:rStyle w:val="Hyperlink"/>
            <w:color w:val="000000" w:themeColor="text1"/>
          </w:rPr>
          <w:t>“Is the Phillips Curve Really Convex?” </w:t>
        </w:r>
        <w:r w:rsidRPr="00247DED">
          <w:rPr>
            <w:rStyle w:val="Hyperlink"/>
            <w:i/>
            <w:iCs/>
            <w:color w:val="000000" w:themeColor="text1"/>
          </w:rPr>
          <w:t>IMF Staff Papers</w:t>
        </w:r>
        <w:r w:rsidRPr="00247DED">
          <w:rPr>
            <w:rStyle w:val="Hyperlink"/>
            <w:color w:val="000000" w:themeColor="text1"/>
          </w:rPr>
          <w:t> 44 (2): 249–282.</w:t>
        </w:r>
      </w:hyperlink>
    </w:p>
    <w:p w14:paraId="0F1360EE" w14:textId="77777777" w:rsidR="00F1399B" w:rsidRPr="00247DED" w:rsidRDefault="00F1399B" w:rsidP="00F1399B">
      <w:pPr>
        <w:numPr>
          <w:ilvl w:val="0"/>
          <w:numId w:val="2"/>
        </w:numPr>
        <w:jc w:val="both"/>
        <w:rPr>
          <w:color w:val="000000" w:themeColor="text1"/>
        </w:rPr>
      </w:pPr>
      <w:r w:rsidRPr="00247DED">
        <w:rPr>
          <w:color w:val="000000" w:themeColor="text1"/>
        </w:rPr>
        <w:t>Freedman, C., and D. Laxton. 2009. </w:t>
      </w:r>
      <w:hyperlink r:id="rId12" w:tgtFrame="_blank" w:history="1">
        <w:r w:rsidRPr="00247DED">
          <w:rPr>
            <w:rStyle w:val="Hyperlink"/>
            <w:i/>
            <w:iCs/>
            <w:color w:val="000000" w:themeColor="text1"/>
          </w:rPr>
          <w:t>Why Inflation Targeting?</w:t>
        </w:r>
        <w:r w:rsidRPr="00247DED">
          <w:rPr>
            <w:rStyle w:val="Hyperlink"/>
            <w:color w:val="000000" w:themeColor="text1"/>
          </w:rPr>
          <w:t> IMF Working Paper No. 09/86. Washington, DC: International Monetary Fund.</w:t>
        </w:r>
      </w:hyperlink>
    </w:p>
    <w:p w14:paraId="757A4F65" w14:textId="77777777" w:rsidR="00F1399B" w:rsidRPr="00247DED" w:rsidRDefault="00F1399B" w:rsidP="00F1399B">
      <w:pPr>
        <w:pStyle w:val="ListBullet"/>
        <w:numPr>
          <w:ilvl w:val="0"/>
          <w:numId w:val="2"/>
        </w:numPr>
        <w:jc w:val="both"/>
        <w:rPr>
          <w:color w:val="000000" w:themeColor="text1"/>
          <w:sz w:val="24"/>
          <w:szCs w:val="24"/>
        </w:rPr>
      </w:pPr>
      <w:r w:rsidRPr="00247DED">
        <w:rPr>
          <w:color w:val="000000" w:themeColor="text1"/>
          <w:sz w:val="24"/>
          <w:szCs w:val="24"/>
        </w:rPr>
        <w:t>Kydland, F., &amp; Prescott, E. (1977). </w:t>
      </w:r>
      <w:hyperlink r:id="rId13" w:tgtFrame="_blank" w:history="1">
        <w:r w:rsidRPr="00247DED">
          <w:rPr>
            <w:rStyle w:val="Hyperlink"/>
            <w:color w:val="000000" w:themeColor="text1"/>
            <w:sz w:val="24"/>
            <w:szCs w:val="24"/>
          </w:rPr>
          <w:t>Rules Rather than Discretion: The Inconsistency of Optimal Plans.</w:t>
        </w:r>
      </w:hyperlink>
    </w:p>
    <w:p w14:paraId="7044CABA" w14:textId="1710419E" w:rsidR="00F1399B" w:rsidRPr="00247DED" w:rsidRDefault="00F1399B" w:rsidP="00F1399B">
      <w:pPr>
        <w:pStyle w:val="ListParagraph"/>
        <w:numPr>
          <w:ilvl w:val="0"/>
          <w:numId w:val="2"/>
        </w:numPr>
        <w:spacing w:before="227" w:line="312" w:lineRule="auto"/>
        <w:ind w:right="524"/>
        <w:jc w:val="both"/>
        <w:rPr>
          <w:iCs/>
          <w:color w:val="000000" w:themeColor="text1"/>
        </w:rPr>
      </w:pPr>
      <w:r w:rsidRPr="00247DED">
        <w:rPr>
          <w:color w:val="000000" w:themeColor="text1"/>
        </w:rPr>
        <w:t>Laxton, D., Avetisyan, H. and Avagyan, V.. December 2025.</w:t>
      </w:r>
      <w:r w:rsidRPr="00247DED">
        <w:rPr>
          <w:color w:val="000000" w:themeColor="text1"/>
          <w:spacing w:val="80"/>
        </w:rPr>
        <w:t xml:space="preserve"> </w:t>
      </w:r>
      <w:r w:rsidRPr="00247DED">
        <w:rPr>
          <w:iCs/>
          <w:color w:val="000000" w:themeColor="text1"/>
        </w:rPr>
        <w:t xml:space="preserve">Prudent Risk Management Approach to </w:t>
      </w:r>
      <w:r>
        <w:rPr>
          <w:iCs/>
          <w:color w:val="000000" w:themeColor="text1"/>
        </w:rPr>
        <w:t>Price Stability</w:t>
      </w:r>
      <w:r w:rsidRPr="00247DED">
        <w:rPr>
          <w:iCs/>
          <w:color w:val="000000" w:themeColor="text1"/>
        </w:rPr>
        <w:t>: Theory and Practice of FPAS Mark II at the Central Bank of Armenia. Unpublished Working Draft</w:t>
      </w:r>
      <w:r>
        <w:rPr>
          <w:iCs/>
          <w:color w:val="000000" w:themeColor="text1"/>
        </w:rPr>
        <w:t>.</w:t>
      </w:r>
    </w:p>
    <w:p w14:paraId="1A223749" w14:textId="77777777" w:rsidR="00F1399B" w:rsidRPr="00247DED" w:rsidRDefault="00F1399B" w:rsidP="00F1399B">
      <w:pPr>
        <w:jc w:val="both"/>
        <w:rPr>
          <w:color w:val="000000" w:themeColor="text1"/>
        </w:rPr>
      </w:pPr>
      <w:r>
        <w:rPr>
          <w:color w:val="000000" w:themeColor="text1"/>
        </w:rPr>
        <w:pict w14:anchorId="2B821E3B">
          <v:rect id="_x0000_i1025" style="width:0;height:1.5pt" o:hralign="center" o:hrstd="t" o:hr="t" fillcolor="#a0a0a0" stroked="f"/>
        </w:pict>
      </w:r>
    </w:p>
    <w:p w14:paraId="2DAFACC9" w14:textId="77777777" w:rsidR="00F1399B" w:rsidRDefault="00F1399B" w:rsidP="00F1399B">
      <w:pPr>
        <w:rPr>
          <w:b/>
          <w:bCs/>
          <w:color w:val="000000" w:themeColor="text1"/>
        </w:rPr>
      </w:pPr>
    </w:p>
    <w:p w14:paraId="47845683" w14:textId="77777777" w:rsidR="00F1399B" w:rsidRPr="00247DED" w:rsidRDefault="00F1399B" w:rsidP="00F1399B">
      <w:pPr>
        <w:rPr>
          <w:b/>
          <w:bCs/>
          <w:color w:val="000000" w:themeColor="text1"/>
        </w:rPr>
      </w:pPr>
      <w:r w:rsidRPr="00247DED">
        <w:rPr>
          <w:b/>
          <w:bCs/>
          <w:color w:val="000000" w:themeColor="text1"/>
        </w:rPr>
        <w:t>Script</w:t>
      </w:r>
    </w:p>
    <w:p w14:paraId="3AF7C1F9" w14:textId="77777777" w:rsidR="00F1399B" w:rsidRPr="00247DED" w:rsidRDefault="00F1399B" w:rsidP="00F1399B">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from the Monetary Policy Department at the Central Bank of Armenia. Welcome to this episode of the CBA Academy series.</w:t>
      </w:r>
    </w:p>
    <w:p w14:paraId="4DD933E4" w14:textId="77777777" w:rsidR="00F1399B" w:rsidRPr="00247DED" w:rsidRDefault="00F1399B" w:rsidP="00F1399B">
      <w:pPr>
        <w:rPr>
          <w:b/>
          <w:bCs/>
          <w:color w:val="000000" w:themeColor="text1"/>
        </w:rPr>
      </w:pPr>
      <w:r w:rsidRPr="00247DED">
        <w:rPr>
          <w:color w:val="000000" w:themeColor="text1"/>
        </w:rPr>
        <w:t>In this video, we explore the essential lessons from the Great Inflation and how they remain directly relevant today.</w:t>
      </w:r>
      <w:r w:rsidRPr="00247DED">
        <w:rPr>
          <w:color w:val="000000" w:themeColor="text1"/>
        </w:rPr>
        <w:br/>
      </w:r>
      <w:r w:rsidRPr="00247DED">
        <w:rPr>
          <w:color w:val="000000" w:themeColor="text1"/>
        </w:rPr>
        <w:br/>
      </w:r>
      <w:r w:rsidRPr="00247DED">
        <w:rPr>
          <w:color w:val="000000" w:themeColor="text1"/>
        </w:rPr>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247DED">
        <w:rPr>
          <w:color w:val="000000" w:themeColor="text1"/>
        </w:rPr>
        <w:br/>
      </w:r>
      <w:r w:rsidRPr="00247DED">
        <w:rPr>
          <w:color w:val="000000" w:themeColor="text1"/>
        </w:rPr>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247DED">
        <w:rPr>
          <w:color w:val="000000" w:themeColor="text1"/>
        </w:rPr>
        <w:br/>
      </w:r>
      <w:r w:rsidRPr="00247DED">
        <w:rPr>
          <w:color w:val="000000" w:themeColor="text1"/>
        </w:rPr>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247DED">
        <w:rPr>
          <w:color w:val="000000" w:themeColor="text1"/>
        </w:rPr>
        <w:br/>
      </w:r>
      <w:r w:rsidRPr="00247DED">
        <w:rPr>
          <w:color w:val="000000" w:themeColor="text1"/>
        </w:rPr>
        <w:br/>
        <w:t>During both the 1970s and the 2021–22 inflation surge, sticky-price components moved sharply upward, signalling persistent inflation pressures earlier than many policymakers recognized.</w:t>
      </w:r>
      <w:r w:rsidRPr="00247DED">
        <w:rPr>
          <w:color w:val="000000" w:themeColor="text1"/>
        </w:rPr>
        <w:br/>
      </w:r>
      <w:r w:rsidRPr="00247DED">
        <w:rPr>
          <w:color w:val="000000" w:themeColor="text1"/>
        </w:rPr>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247DED">
        <w:rPr>
          <w:color w:val="000000" w:themeColor="text1"/>
        </w:rPr>
        <w:br/>
      </w:r>
      <w:r w:rsidRPr="00247DED">
        <w:rPr>
          <w:color w:val="000000" w:themeColor="text1"/>
        </w:rPr>
        <w:br/>
        <w:t>FPAS Mark II is designed to avoid such mistakes by focusing on scenario-based analysis and embedding uncertainty directly into the policy process. It encourages economists to examine price-setting behaviour, expectations, and sectoral demand conditions—not just model-generated baselines.</w:t>
      </w:r>
      <w:r w:rsidRPr="00247DED">
        <w:rPr>
          <w:color w:val="000000" w:themeColor="text1"/>
        </w:rPr>
        <w:br/>
      </w:r>
      <w:r w:rsidRPr="00247DED">
        <w:rPr>
          <w:color w:val="000000" w:themeColor="text1"/>
        </w:rPr>
        <w:br/>
        <w:t xml:space="preserve">Thank you for watching. 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in producing this series. See you in the next video.</w:t>
      </w:r>
      <w:r w:rsidRPr="00247DED">
        <w:rPr>
          <w:color w:val="000000" w:themeColor="text1"/>
        </w:rPr>
        <w:br/>
      </w:r>
    </w:p>
    <w:p w14:paraId="20A881C7" w14:textId="77777777" w:rsidR="00F1399B" w:rsidRPr="00247DED" w:rsidRDefault="00F1399B" w:rsidP="00F1399B">
      <w:pPr>
        <w:rPr>
          <w:b/>
          <w:bCs/>
          <w:color w:val="000000" w:themeColor="text1"/>
        </w:rPr>
      </w:pPr>
      <w:r w:rsidRPr="00247DED">
        <w:rPr>
          <w:b/>
          <w:bCs/>
          <w:color w:val="000000" w:themeColor="text1"/>
        </w:rPr>
        <w:t>See you there.</w:t>
      </w:r>
    </w:p>
    <w:p w14:paraId="744CF77B" w14:textId="77777777" w:rsidR="0072308F" w:rsidRDefault="0072308F"/>
    <w:sectPr w:rsidR="0072308F" w:rsidSect="0072308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7FDC" w14:textId="77777777" w:rsidR="00E27F7B" w:rsidRDefault="00E27F7B" w:rsidP="0072308F">
      <w:pPr>
        <w:spacing w:after="0" w:line="240" w:lineRule="auto"/>
      </w:pPr>
      <w:r>
        <w:separator/>
      </w:r>
    </w:p>
  </w:endnote>
  <w:endnote w:type="continuationSeparator" w:id="0">
    <w:p w14:paraId="7F63A532" w14:textId="77777777" w:rsidR="00E27F7B" w:rsidRDefault="00E27F7B"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8C19" w14:textId="77777777" w:rsidR="00E27F7B" w:rsidRDefault="00E27F7B" w:rsidP="0072308F">
      <w:pPr>
        <w:spacing w:after="0" w:line="240" w:lineRule="auto"/>
      </w:pPr>
      <w:r>
        <w:separator/>
      </w:r>
    </w:p>
  </w:footnote>
  <w:footnote w:type="continuationSeparator" w:id="0">
    <w:p w14:paraId="11ED98F4" w14:textId="77777777" w:rsidR="00E27F7B" w:rsidRDefault="00E27F7B"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1"/>
  </w:num>
  <w:num w:numId="2" w16cid:durableId="1105033860">
    <w:abstractNumId w:val="2"/>
  </w:num>
  <w:num w:numId="3" w16cid:durableId="132103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57A59"/>
    <w:rsid w:val="00087444"/>
    <w:rsid w:val="000B4C75"/>
    <w:rsid w:val="002F0FAD"/>
    <w:rsid w:val="00376C67"/>
    <w:rsid w:val="003E0332"/>
    <w:rsid w:val="00456F43"/>
    <w:rsid w:val="004B4DD7"/>
    <w:rsid w:val="004F58F3"/>
    <w:rsid w:val="0056772D"/>
    <w:rsid w:val="00654AF6"/>
    <w:rsid w:val="00721C29"/>
    <w:rsid w:val="0072308F"/>
    <w:rsid w:val="007A156A"/>
    <w:rsid w:val="007F690D"/>
    <w:rsid w:val="009659F4"/>
    <w:rsid w:val="00B07A92"/>
    <w:rsid w:val="00BC2A6B"/>
    <w:rsid w:val="00CB466F"/>
    <w:rsid w:val="00D43124"/>
    <w:rsid w:val="00E27F7B"/>
    <w:rsid w:val="00F1399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 w:type="paragraph" w:styleId="ListBullet">
    <w:name w:val="List Bullet"/>
    <w:basedOn w:val="Normal"/>
    <w:uiPriority w:val="99"/>
    <w:unhideWhenUsed/>
    <w:rsid w:val="00F1399B"/>
    <w:pPr>
      <w:numPr>
        <w:numId w:val="3"/>
      </w:numPr>
      <w:tabs>
        <w:tab w:val="clear" w:pos="360"/>
      </w:tabs>
      <w:spacing w:after="200" w:line="276" w:lineRule="auto"/>
      <w:ind w:left="0" w:firstLine="0"/>
      <w:contextualSpacing/>
    </w:pPr>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aweb.org/aer/top20/58.1.1-17.pdf" TargetMode="External"/><Relationship Id="rId13" Type="http://schemas.openxmlformats.org/officeDocument/2006/relationships/hyperlink" Target="https://www.sfu.ca/~kkasa/prescott_77.pdf"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ba.am/en" TargetMode="External"/><Relationship Id="rId12" Type="http://schemas.openxmlformats.org/officeDocument/2006/relationships/hyperlink" Target="https://www.imf.org/external/pubs/ft/wp/2009/wp0986.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yakostanyan.github.io/onboarding-system/pages/lessons-from-the-1970s-the-great-inflation.html"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imf.org/en/Publications/WP/Issues/2016/12/30/Is-the-Phillips-Curve-Really-a-Curve-Some-Evidence-for-Canada-the-United-Kingdom-and-the-207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researchgate.net/publication/24106857_Money-Wage_Dynamics_and_Labor-Market_Equilibrium"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7</cp:revision>
  <dcterms:created xsi:type="dcterms:W3CDTF">2025-11-07T14:25:00Z</dcterms:created>
  <dcterms:modified xsi:type="dcterms:W3CDTF">2025-11-28T17:03:00Z</dcterms:modified>
</cp:coreProperties>
</file>