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A184" w14:textId="77777777" w:rsidR="002807EC" w:rsidRDefault="002807EC" w:rsidP="002807EC">
      <w:pPr>
        <w:jc w:val="center"/>
        <w:rPr>
          <w:b/>
          <w:bCs/>
          <w:color w:val="156082" w:themeColor="accent1"/>
          <w:sz w:val="28"/>
          <w:szCs w:val="28"/>
        </w:rPr>
      </w:pPr>
      <w:r w:rsidRPr="002807EC">
        <w:rPr>
          <w:b/>
          <w:bCs/>
          <w:color w:val="156082" w:themeColor="accent1"/>
          <w:sz w:val="28"/>
          <w:szCs w:val="28"/>
        </w:rPr>
        <w:t>Principles 3 &amp; 4:</w:t>
      </w:r>
      <w:r>
        <w:rPr>
          <w:b/>
          <w:bCs/>
          <w:color w:val="156082" w:themeColor="accent1"/>
          <w:sz w:val="28"/>
          <w:szCs w:val="28"/>
        </w:rPr>
        <w:t xml:space="preserve"> </w:t>
      </w:r>
    </w:p>
    <w:p w14:paraId="745C59DF" w14:textId="39680668" w:rsidR="000356ED" w:rsidRDefault="002807EC" w:rsidP="002807EC">
      <w:pPr>
        <w:jc w:val="center"/>
        <w:rPr>
          <w:b/>
          <w:bCs/>
          <w:color w:val="156082" w:themeColor="accent1"/>
          <w:sz w:val="28"/>
          <w:szCs w:val="28"/>
        </w:rPr>
      </w:pPr>
      <w:r w:rsidRPr="002807EC">
        <w:rPr>
          <w:b/>
          <w:bCs/>
          <w:color w:val="156082" w:themeColor="accent1"/>
          <w:sz w:val="28"/>
          <w:szCs w:val="28"/>
        </w:rPr>
        <w:t>MP and Other Policies — The Inflation–Output Trade-Off</w:t>
      </w:r>
    </w:p>
    <w:p w14:paraId="0EE6F337" w14:textId="77777777" w:rsidR="002807EC" w:rsidRDefault="002807EC" w:rsidP="002807EC">
      <w:pPr>
        <w:jc w:val="center"/>
        <w:rPr>
          <w:b/>
          <w:bCs/>
        </w:rPr>
      </w:pPr>
    </w:p>
    <w:p w14:paraId="073D3464" w14:textId="77777777" w:rsidR="00616FB9" w:rsidRPr="00247DED" w:rsidRDefault="00616FB9" w:rsidP="00616FB9">
      <w:pPr>
        <w:rPr>
          <w:b/>
          <w:bCs/>
          <w:color w:val="000000" w:themeColor="text1"/>
        </w:rPr>
      </w:pPr>
      <w:r w:rsidRPr="00247DED">
        <w:rPr>
          <w:b/>
          <w:bCs/>
          <w:color w:val="000000" w:themeColor="text1"/>
        </w:rPr>
        <w:t>Susanna Grigoryan</w:t>
      </w:r>
    </w:p>
    <w:p w14:paraId="520F869E" w14:textId="77777777" w:rsidR="00616FB9" w:rsidRPr="00247DED" w:rsidRDefault="00616FB9" w:rsidP="00616FB9">
      <w:pPr>
        <w:rPr>
          <w:b/>
          <w:bCs/>
          <w:color w:val="000000" w:themeColor="text1"/>
        </w:rPr>
      </w:pPr>
      <w:r w:rsidRPr="00247DED">
        <w:rPr>
          <w:b/>
          <w:bCs/>
          <w:color w:val="000000" w:themeColor="text1"/>
        </w:rPr>
        <w:t>Recent Staff Member, Monetary Policy Department, Central Bank of Armenia</w:t>
      </w:r>
    </w:p>
    <w:p w14:paraId="38AC2E45" w14:textId="77777777" w:rsidR="00616FB9" w:rsidRPr="00247DED" w:rsidRDefault="00616FB9" w:rsidP="00616FB9">
      <w:pPr>
        <w:rPr>
          <w:b/>
          <w:bCs/>
          <w:color w:val="000000" w:themeColor="text1"/>
        </w:rPr>
      </w:pPr>
      <w:r w:rsidRPr="00247DED">
        <w:rPr>
          <w:b/>
          <w:bCs/>
          <w:color w:val="000000" w:themeColor="text1"/>
        </w:rPr>
        <w:t>Student, Global Forecasting School</w:t>
      </w:r>
    </w:p>
    <w:p w14:paraId="4077E2DC" w14:textId="77777777" w:rsidR="00616FB9" w:rsidRPr="00247DED" w:rsidRDefault="00616FB9" w:rsidP="00616FB9">
      <w:pPr>
        <w:rPr>
          <w:b/>
          <w:bCs/>
          <w:color w:val="000000" w:themeColor="text1"/>
        </w:rPr>
      </w:pPr>
      <w:r w:rsidRPr="00247DED">
        <w:rPr>
          <w:b/>
          <w:bCs/>
          <w:color w:val="000000" w:themeColor="text1"/>
        </w:rPr>
        <w:t>November 2025</w:t>
      </w:r>
    </w:p>
    <w:p w14:paraId="5246EAF0" w14:textId="77777777" w:rsidR="00616FB9" w:rsidRPr="00247DED" w:rsidRDefault="00616FB9" w:rsidP="00616FB9">
      <w:pPr>
        <w:rPr>
          <w:b/>
          <w:bCs/>
          <w:color w:val="000000" w:themeColor="text1"/>
        </w:rPr>
      </w:pPr>
    </w:p>
    <w:p w14:paraId="05AFCAF0" w14:textId="77777777" w:rsidR="00616FB9" w:rsidRPr="00247DED" w:rsidRDefault="00616FB9" w:rsidP="00616FB9">
      <w:pPr>
        <w:rPr>
          <w:b/>
          <w:bCs/>
          <w:color w:val="000000" w:themeColor="text1"/>
        </w:rPr>
      </w:pPr>
      <w:r w:rsidRPr="00247DED">
        <w:rPr>
          <w:b/>
          <w:bCs/>
          <w:color w:val="000000" w:themeColor="text1"/>
        </w:rPr>
        <w:t>Note</w:t>
      </w:r>
    </w:p>
    <w:p w14:paraId="4409132F" w14:textId="77777777" w:rsidR="00616FB9" w:rsidRPr="00247DED" w:rsidRDefault="00616FB9" w:rsidP="00616FB9">
      <w:pPr>
        <w:jc w:val="both"/>
        <w:rPr>
          <w:b/>
          <w:bCs/>
          <w:color w:val="000000" w:themeColor="text1"/>
          <w:lang w:val="en-US"/>
        </w:rPr>
      </w:pPr>
      <w:r w:rsidRPr="00247DED">
        <w:rPr>
          <w:b/>
          <w:bCs/>
          <w:color w:val="000000" w:themeColor="text1"/>
          <w:lang w:val="en-US"/>
        </w:rPr>
        <w:t>1. Why Policy Coherence Matters</w:t>
      </w:r>
    </w:p>
    <w:p w14:paraId="2B31BC2E" w14:textId="77777777" w:rsidR="00616FB9" w:rsidRPr="00247DED" w:rsidRDefault="00616FB9" w:rsidP="00616FB9">
      <w:pPr>
        <w:jc w:val="both"/>
        <w:rPr>
          <w:color w:val="000000" w:themeColor="text1"/>
          <w:lang w:val="en-US"/>
        </w:rPr>
      </w:pPr>
      <w:r w:rsidRPr="00247DED">
        <w:rPr>
          <w:color w:val="000000" w:themeColor="text1"/>
          <w:lang w:val="en-US"/>
        </w:rPr>
        <w:t>Principles 3 and 4 in Freedman and Laxton (2009) define the structural foundations of modern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2E0CFCD7" w14:textId="77777777" w:rsidR="00616FB9" w:rsidRPr="00247DED" w:rsidRDefault="00616FB9" w:rsidP="00616FB9">
      <w:pPr>
        <w:jc w:val="both"/>
        <w:rPr>
          <w:color w:val="000000" w:themeColor="text1"/>
          <w:lang w:val="en-US"/>
        </w:rPr>
      </w:pPr>
      <w:r w:rsidRPr="00247DED">
        <w:rPr>
          <w:color w:val="000000" w:themeColor="text1"/>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circumstances.</w:t>
      </w:r>
    </w:p>
    <w:p w14:paraId="434C8C90" w14:textId="77777777" w:rsidR="00616FB9" w:rsidRPr="00247DED" w:rsidRDefault="00616FB9" w:rsidP="00616FB9">
      <w:pPr>
        <w:jc w:val="both"/>
        <w:rPr>
          <w:b/>
          <w:bCs/>
          <w:color w:val="000000" w:themeColor="text1"/>
          <w:lang w:val="en-US"/>
        </w:rPr>
      </w:pPr>
      <w:r w:rsidRPr="00247DED">
        <w:rPr>
          <w:b/>
          <w:bCs/>
          <w:color w:val="000000" w:themeColor="text1"/>
          <w:lang w:val="en-US"/>
        </w:rPr>
        <w:t>2. Principle 3: Policy Coherence Across Government</w:t>
      </w:r>
    </w:p>
    <w:p w14:paraId="6AB93C96" w14:textId="77777777" w:rsidR="00616FB9" w:rsidRPr="00247DED" w:rsidRDefault="00616FB9" w:rsidP="00616FB9">
      <w:pPr>
        <w:jc w:val="both"/>
        <w:rPr>
          <w:color w:val="000000" w:themeColor="text1"/>
          <w:lang w:val="en-US"/>
        </w:rPr>
      </w:pPr>
      <w:r w:rsidRPr="00247DED">
        <w:rPr>
          <w:color w:val="000000" w:themeColor="text1"/>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5F56433F" w14:textId="77777777" w:rsidR="00616FB9" w:rsidRPr="00247DED" w:rsidRDefault="00616FB9" w:rsidP="00616FB9">
      <w:pPr>
        <w:jc w:val="both"/>
        <w:rPr>
          <w:color w:val="000000" w:themeColor="text1"/>
          <w:lang w:val="en-US"/>
        </w:rPr>
      </w:pPr>
      <w:r w:rsidRPr="00247DED">
        <w:rPr>
          <w:color w:val="000000" w:themeColor="text1"/>
          <w:lang w:val="en-US"/>
        </w:rPr>
        <w:t xml:space="preserve">In practice, coherence is best achieved through cooperation, not direct coordination. Monetary and fiscal authorities should maintain a shared understanding of the economic outlook and ensure that their policies complement one another. This cooperation allows </w:t>
      </w:r>
      <w:r w:rsidRPr="00247DED">
        <w:rPr>
          <w:color w:val="000000" w:themeColor="text1"/>
          <w:lang w:val="en-US"/>
        </w:rPr>
        <w:lastRenderedPageBreak/>
        <w:t>each policy area to perform well independently while contributing to overall macroeconomic stability.</w:t>
      </w:r>
    </w:p>
    <w:p w14:paraId="0B5EB24A" w14:textId="77777777" w:rsidR="00616FB9" w:rsidRPr="00247DED" w:rsidRDefault="00616FB9" w:rsidP="00616FB9">
      <w:pPr>
        <w:jc w:val="both"/>
        <w:rPr>
          <w:color w:val="000000" w:themeColor="text1"/>
          <w:lang w:val="en-US"/>
        </w:rPr>
      </w:pPr>
      <w:r w:rsidRPr="00247DED">
        <w:rPr>
          <w:color w:val="000000" w:themeColor="text1"/>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sidRPr="00247DED">
        <w:rPr>
          <w:b/>
          <w:bCs/>
          <w:color w:val="000000" w:themeColor="text1"/>
          <w:lang w:val="en-US"/>
        </w:rPr>
        <w:t xml:space="preserve"> </w:t>
      </w:r>
      <w:r w:rsidRPr="00247DED">
        <w:rPr>
          <w:color w:val="000000" w:themeColor="text1"/>
          <w:lang w:val="en-US"/>
        </w:rPr>
        <w:t>minimum, cooperation and mutual awareness of policy stances are essential to achieve the synergies that come from well-performing policies acting together.</w:t>
      </w:r>
    </w:p>
    <w:p w14:paraId="4AEA71A9" w14:textId="77777777" w:rsidR="00616FB9" w:rsidRPr="00247DED" w:rsidRDefault="00616FB9" w:rsidP="00616FB9">
      <w:pPr>
        <w:jc w:val="both"/>
        <w:rPr>
          <w:color w:val="000000" w:themeColor="text1"/>
          <w:lang w:val="en-US"/>
        </w:rPr>
      </w:pPr>
      <w:r w:rsidRPr="00247DED">
        <w:rPr>
          <w:color w:val="000000" w:themeColor="text1"/>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1F1743C0" w14:textId="77777777" w:rsidR="00616FB9" w:rsidRPr="00247DED" w:rsidRDefault="00616FB9" w:rsidP="00616FB9">
      <w:pPr>
        <w:jc w:val="both"/>
        <w:rPr>
          <w:b/>
          <w:bCs/>
          <w:color w:val="000000" w:themeColor="text1"/>
          <w:lang w:val="en-US"/>
        </w:rPr>
      </w:pPr>
      <w:r w:rsidRPr="00247DED">
        <w:rPr>
          <w:b/>
          <w:bCs/>
          <w:color w:val="000000" w:themeColor="text1"/>
          <w:lang w:val="en-US"/>
        </w:rPr>
        <w:t>3. Principle 4: The Forecasting and Policy Analysis System (FPAS)</w:t>
      </w:r>
    </w:p>
    <w:p w14:paraId="5A8EF10B" w14:textId="77777777" w:rsidR="00616FB9" w:rsidRPr="00247DED" w:rsidRDefault="00616FB9" w:rsidP="00616FB9">
      <w:pPr>
        <w:jc w:val="both"/>
        <w:rPr>
          <w:color w:val="000000" w:themeColor="text1"/>
          <w:lang w:val="en-US"/>
        </w:rPr>
      </w:pPr>
      <w:r w:rsidRPr="00247DED">
        <w:rPr>
          <w:color w:val="000000" w:themeColor="text1"/>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38C21A19" w14:textId="77777777" w:rsidR="00616FB9" w:rsidRPr="00247DED" w:rsidRDefault="00616FB9" w:rsidP="00616FB9">
      <w:pPr>
        <w:jc w:val="both"/>
        <w:rPr>
          <w:color w:val="000000" w:themeColor="text1"/>
          <w:lang w:val="en-US"/>
        </w:rPr>
      </w:pPr>
      <w:r w:rsidRPr="00247DED">
        <w:rPr>
          <w:color w:val="000000" w:themeColor="text1"/>
          <w:lang w:val="en-US"/>
        </w:rPr>
        <w:t>FPAS consists of four main elements:</w:t>
      </w:r>
    </w:p>
    <w:p w14:paraId="09700887" w14:textId="77777777" w:rsidR="00616FB9" w:rsidRPr="00247DED" w:rsidRDefault="00616FB9" w:rsidP="00616FB9">
      <w:pPr>
        <w:jc w:val="both"/>
        <w:rPr>
          <w:color w:val="000000" w:themeColor="text1"/>
          <w:lang w:val="en-US"/>
        </w:rPr>
      </w:pPr>
      <w:r w:rsidRPr="00247DED">
        <w:rPr>
          <w:color w:val="000000" w:themeColor="text1"/>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2A03D58C" w14:textId="77777777" w:rsidR="00616FB9" w:rsidRPr="00247DED" w:rsidRDefault="00616FB9" w:rsidP="00616FB9">
      <w:pPr>
        <w:jc w:val="both"/>
        <w:rPr>
          <w:color w:val="000000" w:themeColor="text1"/>
          <w:lang w:val="en-US"/>
        </w:rPr>
      </w:pPr>
      <w:r w:rsidRPr="00247DED">
        <w:rPr>
          <w:color w:val="000000" w:themeColor="text1"/>
          <w:lang w:val="en-US"/>
        </w:rPr>
        <w:t>In this way, FPAS serves as the operational backbone of modern inflation-targeting regimes. It allows central banks to manage uncertainty, update expectations in real time, and coordinate effectively across departments.</w:t>
      </w:r>
    </w:p>
    <w:p w14:paraId="70241FAB" w14:textId="77777777" w:rsidR="00616FB9" w:rsidRPr="00247DED" w:rsidRDefault="00616FB9" w:rsidP="00616FB9">
      <w:pPr>
        <w:jc w:val="both"/>
        <w:rPr>
          <w:b/>
          <w:bCs/>
          <w:color w:val="000000" w:themeColor="text1"/>
          <w:lang w:val="en-US"/>
        </w:rPr>
      </w:pPr>
      <w:r w:rsidRPr="00247DED">
        <w:rPr>
          <w:b/>
          <w:bCs/>
          <w:color w:val="000000" w:themeColor="text1"/>
          <w:lang w:val="en-US"/>
        </w:rPr>
        <w:t>4. Lessons from Early FPAS Systems</w:t>
      </w:r>
    </w:p>
    <w:p w14:paraId="34DFCBB9" w14:textId="77777777" w:rsidR="00616FB9" w:rsidRPr="00247DED" w:rsidRDefault="00616FB9" w:rsidP="00616FB9">
      <w:pPr>
        <w:jc w:val="both"/>
        <w:rPr>
          <w:color w:val="000000" w:themeColor="text1"/>
          <w:lang w:val="en-US"/>
        </w:rPr>
      </w:pPr>
      <w:r w:rsidRPr="00247DED">
        <w:rPr>
          <w:color w:val="000000" w:themeColor="text1"/>
          <w:lang w:val="en-US"/>
        </w:rPr>
        <w:t xml:space="preserve">The first generation of FPAS systems, developed at the Bank of Canada and later adapted internationally, demonstrated how analytical and institutional reforms could reinforce </w:t>
      </w:r>
      <w:r w:rsidRPr="00247DED">
        <w:rPr>
          <w:color w:val="000000" w:themeColor="text1"/>
          <w:lang w:val="en-US"/>
        </w:rPr>
        <w:lastRenderedPageBreak/>
        <w:t>credibility. Adrian, Obstfeld, and Laxton (2018) show that countries adopting FPAS frameworks achieved smoother policy cycles, clearer communication, and better integration of fiscal and monetary analysis.</w:t>
      </w:r>
    </w:p>
    <w:p w14:paraId="08974191" w14:textId="77777777" w:rsidR="00616FB9" w:rsidRPr="00247DED" w:rsidRDefault="00616FB9" w:rsidP="00616FB9">
      <w:pPr>
        <w:jc w:val="both"/>
        <w:rPr>
          <w:color w:val="000000" w:themeColor="text1"/>
          <w:lang w:val="en-US"/>
        </w:rPr>
      </w:pPr>
      <w:r w:rsidRPr="00247DED">
        <w:rPr>
          <w:color w:val="000000" w:themeColor="text1"/>
          <w:lang w:val="en-US"/>
        </w:rPr>
        <w:t>New Zealand’s Forecasting and Policy System (FPS) and the Czech National Bank’s modeling work both extended these principles to small open economies, proving that disciplined processes can enhance credibility even under uncertainty.</w:t>
      </w:r>
    </w:p>
    <w:p w14:paraId="2DBB047C" w14:textId="77777777" w:rsidR="00616FB9" w:rsidRPr="00247DED" w:rsidRDefault="00616FB9" w:rsidP="00616FB9">
      <w:pPr>
        <w:jc w:val="both"/>
        <w:rPr>
          <w:b/>
          <w:bCs/>
          <w:color w:val="000000" w:themeColor="text1"/>
          <w:lang w:val="en-US"/>
        </w:rPr>
      </w:pPr>
      <w:r w:rsidRPr="00247DED">
        <w:rPr>
          <w:b/>
          <w:bCs/>
          <w:color w:val="000000" w:themeColor="text1"/>
          <w:lang w:val="en-US"/>
        </w:rPr>
        <w:t>5. FPAS Mark II and Modern Practice</w:t>
      </w:r>
    </w:p>
    <w:p w14:paraId="7AA7D459" w14:textId="77777777" w:rsidR="00616FB9" w:rsidRPr="00247DED" w:rsidRDefault="00616FB9" w:rsidP="00616FB9">
      <w:pPr>
        <w:jc w:val="both"/>
        <w:rPr>
          <w:color w:val="000000" w:themeColor="text1"/>
          <w:lang w:val="en-US"/>
        </w:rPr>
      </w:pPr>
      <w:r w:rsidRPr="00247DED">
        <w:rPr>
          <w:color w:val="000000" w:themeColor="text1"/>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138A493B" w14:textId="77777777" w:rsidR="00616FB9" w:rsidRDefault="00616FB9" w:rsidP="00616FB9">
      <w:pPr>
        <w:jc w:val="both"/>
        <w:rPr>
          <w:color w:val="000000" w:themeColor="text1"/>
          <w:lang w:val="en-US"/>
        </w:rPr>
      </w:pPr>
      <w:r w:rsidRPr="00247DED">
        <w:rPr>
          <w:color w:val="000000" w:themeColor="text1"/>
          <w:lang w:val="en-US"/>
        </w:rPr>
        <w:t>This evolution has allowed central banks, especially those in emerging markets, to operate with greater confidence and transparency while maintaining flexibility and consistency over time.</w:t>
      </w:r>
    </w:p>
    <w:p w14:paraId="3B280951" w14:textId="77777777" w:rsidR="00616FB9" w:rsidRPr="00247DED" w:rsidRDefault="00616FB9" w:rsidP="00616FB9">
      <w:pPr>
        <w:jc w:val="both"/>
        <w:rPr>
          <w:color w:val="000000" w:themeColor="text1"/>
          <w:lang w:val="en-US"/>
        </w:rPr>
      </w:pPr>
    </w:p>
    <w:p w14:paraId="09FA3AB3" w14:textId="77777777" w:rsidR="00616FB9" w:rsidRPr="00247DED" w:rsidRDefault="00616FB9" w:rsidP="00616FB9">
      <w:pPr>
        <w:rPr>
          <w:b/>
          <w:bCs/>
          <w:color w:val="000000" w:themeColor="text1"/>
        </w:rPr>
      </w:pPr>
      <w:r w:rsidRPr="00247DED">
        <w:rPr>
          <w:b/>
          <w:bCs/>
          <w:color w:val="000000" w:themeColor="text1"/>
        </w:rPr>
        <w:t>Literature &amp; Further Reading</w:t>
      </w:r>
    </w:p>
    <w:p w14:paraId="5FAAA96F" w14:textId="77777777" w:rsidR="00616FB9" w:rsidRPr="00247DED" w:rsidRDefault="00616FB9" w:rsidP="00616FB9">
      <w:pPr>
        <w:numPr>
          <w:ilvl w:val="0"/>
          <w:numId w:val="4"/>
        </w:numPr>
        <w:jc w:val="both"/>
        <w:rPr>
          <w:color w:val="000000" w:themeColor="text1"/>
        </w:rPr>
      </w:pPr>
      <w:hyperlink r:id="rId7" w:tgtFrame="_blank" w:history="1">
        <w:r w:rsidRPr="00247DED">
          <w:rPr>
            <w:rStyle w:val="Hyperlink"/>
            <w:color w:val="000000" w:themeColor="text1"/>
          </w:rPr>
          <w:t>Adrian, T., Obstfeld, M., &amp; Laxton, D. (2018). </w:t>
        </w:r>
        <w:r w:rsidRPr="00247DED">
          <w:rPr>
            <w:rStyle w:val="Hyperlink"/>
            <w:i/>
            <w:iCs/>
            <w:color w:val="000000" w:themeColor="text1"/>
          </w:rPr>
          <w:t>Advancing the Frontiers of Monetary Policy.</w:t>
        </w:r>
        <w:r w:rsidRPr="00247DED">
          <w:rPr>
            <w:rStyle w:val="Hyperlink"/>
            <w:color w:val="000000" w:themeColor="text1"/>
          </w:rPr>
          <w:t> IMF.</w:t>
        </w:r>
      </w:hyperlink>
    </w:p>
    <w:p w14:paraId="3133014F" w14:textId="77777777" w:rsidR="00616FB9" w:rsidRPr="00247DED" w:rsidRDefault="00616FB9" w:rsidP="00616FB9">
      <w:pPr>
        <w:numPr>
          <w:ilvl w:val="0"/>
          <w:numId w:val="4"/>
        </w:numPr>
        <w:jc w:val="both"/>
        <w:rPr>
          <w:color w:val="000000" w:themeColor="text1"/>
        </w:rPr>
      </w:pPr>
      <w:hyperlink r:id="rId8" w:tgtFrame="_blank" w:history="1">
        <w:r w:rsidRPr="00247DED">
          <w:rPr>
            <w:rStyle w:val="Hyperlink"/>
            <w:color w:val="000000" w:themeColor="text1"/>
          </w:rPr>
          <w:t>Freedman, C., &amp; Laxton, D. (2009). “Why Inflation Targeting?” IMF Working Paper 09/86.</w:t>
        </w:r>
      </w:hyperlink>
    </w:p>
    <w:p w14:paraId="0CC60274" w14:textId="77777777" w:rsidR="00616FB9" w:rsidRPr="00247DED" w:rsidRDefault="00616FB9" w:rsidP="00616FB9">
      <w:pPr>
        <w:numPr>
          <w:ilvl w:val="0"/>
          <w:numId w:val="4"/>
        </w:numPr>
        <w:jc w:val="both"/>
        <w:rPr>
          <w:color w:val="000000" w:themeColor="text1"/>
        </w:rPr>
      </w:pPr>
      <w:hyperlink r:id="rId9" w:tgtFrame="_blank" w:history="1">
        <w:r w:rsidRPr="00247DED">
          <w:rPr>
            <w:rStyle w:val="Hyperlink"/>
            <w:color w:val="000000" w:themeColor="text1"/>
          </w:rPr>
          <w:t>Kydland, F., &amp; Prescott, E. (1977). “Rules Rather than Discretion: The Inconsistency of Optimal Plans.” </w:t>
        </w:r>
        <w:r w:rsidRPr="00247DED">
          <w:rPr>
            <w:rStyle w:val="Hyperlink"/>
            <w:i/>
            <w:iCs/>
            <w:color w:val="000000" w:themeColor="text1"/>
          </w:rPr>
          <w:t>Journal of Political Economy</w:t>
        </w:r>
        <w:r w:rsidRPr="00247DED">
          <w:rPr>
            <w:rStyle w:val="Hyperlink"/>
            <w:color w:val="000000" w:themeColor="text1"/>
          </w:rPr>
          <w:t>, 85(3), 473–492.</w:t>
        </w:r>
      </w:hyperlink>
    </w:p>
    <w:p w14:paraId="2358CBF2" w14:textId="77777777" w:rsidR="00616FB9" w:rsidRPr="00247DED" w:rsidRDefault="00616FB9" w:rsidP="00616FB9">
      <w:pPr>
        <w:numPr>
          <w:ilvl w:val="0"/>
          <w:numId w:val="4"/>
        </w:numPr>
        <w:jc w:val="both"/>
        <w:rPr>
          <w:color w:val="000000" w:themeColor="text1"/>
        </w:rPr>
      </w:pPr>
      <w:hyperlink r:id="rId10" w:tgtFrame="_blank" w:history="1">
        <w:r w:rsidRPr="00247DED">
          <w:rPr>
            <w:rStyle w:val="Hyperlink"/>
            <w:color w:val="000000" w:themeColor="text1"/>
          </w:rPr>
          <w:t>Barro, R., &amp; Gordon, D. (1983). “Rules, Discretion, and Reputation in a Model of Monetary Policy.” </w:t>
        </w:r>
        <w:r w:rsidRPr="00247DED">
          <w:rPr>
            <w:rStyle w:val="Hyperlink"/>
            <w:i/>
            <w:iCs/>
            <w:color w:val="000000" w:themeColor="text1"/>
          </w:rPr>
          <w:t>Journal of Monetary Economics</w:t>
        </w:r>
        <w:r w:rsidRPr="00247DED">
          <w:rPr>
            <w:rStyle w:val="Hyperlink"/>
            <w:color w:val="000000" w:themeColor="text1"/>
          </w:rPr>
          <w:t>, 12, 101–121.</w:t>
        </w:r>
      </w:hyperlink>
    </w:p>
    <w:p w14:paraId="2094D869" w14:textId="77777777" w:rsidR="00616FB9" w:rsidRPr="00247DED" w:rsidRDefault="00616FB9" w:rsidP="00616FB9">
      <w:pPr>
        <w:pStyle w:val="ListParagraph"/>
        <w:numPr>
          <w:ilvl w:val="0"/>
          <w:numId w:val="4"/>
        </w:numPr>
        <w:spacing w:before="227" w:line="312" w:lineRule="auto"/>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093EF14A" w14:textId="77777777" w:rsidR="00616FB9" w:rsidRPr="00247DED" w:rsidRDefault="00616FB9" w:rsidP="00616FB9">
      <w:pPr>
        <w:numPr>
          <w:ilvl w:val="0"/>
          <w:numId w:val="4"/>
        </w:numPr>
        <w:jc w:val="both"/>
        <w:rPr>
          <w:color w:val="000000" w:themeColor="text1"/>
        </w:rPr>
      </w:pPr>
      <w:r w:rsidRPr="00247DED">
        <w:rPr>
          <w:color w:val="000000" w:themeColor="text1"/>
        </w:rPr>
        <w:t>CBA Academy. 2025. </w:t>
      </w:r>
      <w:hyperlink r:id="rId11"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4EBB5FC0" w14:textId="77777777" w:rsidR="00616FB9" w:rsidRPr="00247DED" w:rsidRDefault="00616FB9" w:rsidP="00616FB9">
      <w:pPr>
        <w:jc w:val="both"/>
        <w:rPr>
          <w:color w:val="000000" w:themeColor="text1"/>
        </w:rPr>
      </w:pPr>
      <w:r>
        <w:rPr>
          <w:color w:val="000000" w:themeColor="text1"/>
        </w:rPr>
        <w:pict w14:anchorId="0D837571">
          <v:rect id="_x0000_i1025" style="width:0;height:1.5pt" o:hralign="center" o:hrstd="t" o:hr="t" fillcolor="#a0a0a0" stroked="f"/>
        </w:pict>
      </w:r>
    </w:p>
    <w:p w14:paraId="0555279D" w14:textId="77777777" w:rsidR="00616FB9" w:rsidRPr="00247DED" w:rsidRDefault="00616FB9" w:rsidP="00616FB9">
      <w:pPr>
        <w:rPr>
          <w:b/>
          <w:bCs/>
          <w:color w:val="000000" w:themeColor="text1"/>
        </w:rPr>
      </w:pPr>
      <w:r w:rsidRPr="00247DED">
        <w:rPr>
          <w:b/>
          <w:bCs/>
          <w:color w:val="000000" w:themeColor="text1"/>
        </w:rPr>
        <w:lastRenderedPageBreak/>
        <w:t>Script</w:t>
      </w:r>
    </w:p>
    <w:p w14:paraId="2EDD63DD" w14:textId="77777777" w:rsidR="00616FB9" w:rsidRPr="00247DED" w:rsidRDefault="00616FB9" w:rsidP="00616FB9">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xml:space="preserve">. In this video, we’ll continue our exploration of the key principles that define credible and effective monetary policy frameworks. Today, we’ll focus on </w:t>
      </w:r>
      <w:r w:rsidRPr="00247DED">
        <w:rPr>
          <w:b/>
          <w:bCs/>
          <w:color w:val="000000" w:themeColor="text1"/>
        </w:rPr>
        <w:t>Principles Three and Four</w:t>
      </w:r>
      <w:r w:rsidRPr="00247DED">
        <w:rPr>
          <w:color w:val="000000" w:themeColor="text1"/>
        </w:rPr>
        <w:t xml:space="preserve"> from </w:t>
      </w:r>
      <w:r w:rsidRPr="00247DED">
        <w:rPr>
          <w:i/>
          <w:iCs/>
          <w:color w:val="000000" w:themeColor="text1"/>
        </w:rPr>
        <w:t>Freedman and Laxton (2009)</w:t>
      </w:r>
      <w:r w:rsidRPr="00247DED">
        <w:rPr>
          <w:color w:val="000000" w:themeColor="text1"/>
        </w:rPr>
        <w:t xml:space="preserve"> — principles that deal with </w:t>
      </w:r>
      <w:r w:rsidRPr="00247DED">
        <w:rPr>
          <w:b/>
          <w:bCs/>
          <w:color w:val="000000" w:themeColor="text1"/>
        </w:rPr>
        <w:t>policy coherence</w:t>
      </w:r>
      <w:r w:rsidRPr="00247DED">
        <w:rPr>
          <w:color w:val="000000" w:themeColor="text1"/>
        </w:rPr>
        <w:t xml:space="preserve"> and the </w:t>
      </w:r>
      <w:r w:rsidRPr="00247DED">
        <w:rPr>
          <w:b/>
          <w:bCs/>
          <w:color w:val="000000" w:themeColor="text1"/>
        </w:rPr>
        <w:t>Forecasting and Policy Analysis System</w:t>
      </w:r>
      <w:r w:rsidRPr="00247DED">
        <w:rPr>
          <w:color w:val="000000" w:themeColor="text1"/>
        </w:rPr>
        <w:t>, or FPAS.</w:t>
      </w:r>
    </w:p>
    <w:p w14:paraId="7E4CE71A" w14:textId="77777777" w:rsidR="00616FB9" w:rsidRPr="00247DED" w:rsidRDefault="00616FB9" w:rsidP="00616FB9">
      <w:pPr>
        <w:jc w:val="both"/>
        <w:rPr>
          <w:color w:val="000000" w:themeColor="text1"/>
        </w:rPr>
      </w:pPr>
      <w:r w:rsidRPr="00247DED">
        <w:rPr>
          <w:color w:val="000000" w:themeColor="text1"/>
        </w:rPr>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674ADE22" w14:textId="77777777" w:rsidR="00616FB9" w:rsidRPr="00247DED" w:rsidRDefault="00616FB9" w:rsidP="00616FB9">
      <w:pPr>
        <w:jc w:val="both"/>
        <w:rPr>
          <w:color w:val="000000" w:themeColor="text1"/>
        </w:rPr>
      </w:pPr>
      <w:r w:rsidRPr="00247DED">
        <w:rPr>
          <w:color w:val="000000" w:themeColor="text1"/>
        </w:rPr>
        <w:t>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3E38AAC6" w14:textId="77777777" w:rsidR="00616FB9" w:rsidRPr="00247DED" w:rsidRDefault="00616FB9" w:rsidP="00616FB9">
      <w:pPr>
        <w:jc w:val="both"/>
        <w:rPr>
          <w:color w:val="000000" w:themeColor="text1"/>
        </w:rPr>
      </w:pPr>
      <w:r w:rsidRPr="00247DED">
        <w:rPr>
          <w:color w:val="000000" w:themeColor="text1"/>
        </w:rPr>
        <w:t>Let’s start with Principle Three — policy coherence across government.</w:t>
      </w:r>
    </w:p>
    <w:p w14:paraId="1EFC4167" w14:textId="77777777" w:rsidR="00616FB9" w:rsidRPr="00247DED" w:rsidRDefault="00616FB9" w:rsidP="00616FB9">
      <w:pPr>
        <w:jc w:val="both"/>
        <w:rPr>
          <w:color w:val="000000" w:themeColor="text1"/>
        </w:rPr>
      </w:pPr>
      <w:r w:rsidRPr="00247DED">
        <w:rPr>
          <w:color w:val="000000" w:themeColor="text1"/>
        </w:rPr>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4E65CD3B" w14:textId="77777777" w:rsidR="00616FB9" w:rsidRPr="00247DED" w:rsidRDefault="00616FB9" w:rsidP="00616FB9">
      <w:pPr>
        <w:jc w:val="both"/>
        <w:rPr>
          <w:color w:val="000000" w:themeColor="text1"/>
        </w:rPr>
      </w:pPr>
      <w:r w:rsidRPr="00247DED">
        <w:rPr>
          <w:color w:val="000000" w:themeColor="text1"/>
        </w:rPr>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327F2ED8" w14:textId="77777777" w:rsidR="00616FB9" w:rsidRPr="00247DED" w:rsidRDefault="00616FB9" w:rsidP="00616FB9">
      <w:pPr>
        <w:jc w:val="both"/>
        <w:rPr>
          <w:color w:val="000000" w:themeColor="text1"/>
        </w:rPr>
      </w:pPr>
      <w:r w:rsidRPr="00247DED">
        <w:rPr>
          <w:color w:val="000000" w:themeColor="text1"/>
        </w:rPr>
        <w:t>In exceptional situations — such as during a financial crisis or when interest rates are constrained by the effective lower bound — temporary coordination may be needed to prevent deflation and support recovery. After the global financial crisis, large economies like the United States showed how fiscal and monetary policies could work together to stabilize demand and restore confidence.</w:t>
      </w:r>
    </w:p>
    <w:p w14:paraId="5434E936" w14:textId="77777777" w:rsidR="00616FB9" w:rsidRPr="00247DED" w:rsidRDefault="00616FB9" w:rsidP="00616FB9">
      <w:pPr>
        <w:jc w:val="both"/>
        <w:rPr>
          <w:color w:val="000000" w:themeColor="text1"/>
        </w:rPr>
      </w:pPr>
      <w:r w:rsidRPr="00247DED">
        <w:rPr>
          <w:color w:val="000000" w:themeColor="text1"/>
        </w:rPr>
        <w:lastRenderedPageBreak/>
        <w:t>Even outside of crises, mutual awareness and communication between authorities are essential. Coherent policies reinforce each other, while conflicting signals can undermine everything.</w:t>
      </w:r>
    </w:p>
    <w:p w14:paraId="0CE3A72B" w14:textId="77777777" w:rsidR="00616FB9" w:rsidRPr="00247DED" w:rsidRDefault="00616FB9" w:rsidP="00616FB9">
      <w:pPr>
        <w:jc w:val="both"/>
        <w:rPr>
          <w:color w:val="000000" w:themeColor="text1"/>
        </w:rPr>
      </w:pPr>
      <w:r w:rsidRPr="00247DED">
        <w:rPr>
          <w:color w:val="000000" w:themeColor="text1"/>
        </w:rPr>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1490DB57" w14:textId="77777777" w:rsidR="00616FB9" w:rsidRPr="00247DED" w:rsidRDefault="00616FB9" w:rsidP="00616FB9">
      <w:pPr>
        <w:jc w:val="both"/>
        <w:rPr>
          <w:color w:val="000000" w:themeColor="text1"/>
        </w:rPr>
      </w:pPr>
      <w:r w:rsidRPr="00247DED">
        <w:rPr>
          <w:color w:val="000000" w:themeColor="text1"/>
        </w:rPr>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143B4D5C" w14:textId="77777777" w:rsidR="00616FB9" w:rsidRPr="00247DED" w:rsidRDefault="00616FB9" w:rsidP="00616FB9">
      <w:pPr>
        <w:jc w:val="both"/>
        <w:rPr>
          <w:color w:val="000000" w:themeColor="text1"/>
        </w:rPr>
      </w:pPr>
      <w:r w:rsidRPr="00247DED">
        <w:rPr>
          <w:color w:val="000000" w:themeColor="text1"/>
        </w:rPr>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4213711A" w14:textId="77777777" w:rsidR="00616FB9" w:rsidRPr="00247DED" w:rsidRDefault="00616FB9" w:rsidP="00616FB9">
      <w:pPr>
        <w:jc w:val="both"/>
        <w:rPr>
          <w:color w:val="000000" w:themeColor="text1"/>
        </w:rPr>
      </w:pPr>
      <w:r w:rsidRPr="00247DED">
        <w:rPr>
          <w:color w:val="000000" w:themeColor="text1"/>
        </w:rPr>
        <w:t>Now let’s move to Principle Four — the Forecasting and Policy Analysis System, or FPAS.</w:t>
      </w:r>
    </w:p>
    <w:p w14:paraId="7EE6D280" w14:textId="77777777" w:rsidR="00616FB9" w:rsidRPr="00247DED" w:rsidRDefault="00616FB9" w:rsidP="00616FB9">
      <w:pPr>
        <w:jc w:val="both"/>
        <w:rPr>
          <w:color w:val="000000" w:themeColor="text1"/>
        </w:rPr>
      </w:pPr>
      <w:r w:rsidRPr="00247DED">
        <w:rPr>
          <w:color w:val="000000" w:themeColor="text1"/>
        </w:rPr>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78267374" w14:textId="77777777" w:rsidR="00616FB9" w:rsidRPr="00247DED" w:rsidRDefault="00616FB9" w:rsidP="00616FB9">
      <w:pPr>
        <w:jc w:val="both"/>
        <w:rPr>
          <w:color w:val="000000" w:themeColor="text1"/>
        </w:rPr>
      </w:pPr>
      <w:r w:rsidRPr="00247DED">
        <w:rPr>
          <w:color w:val="000000" w:themeColor="text1"/>
        </w:rPr>
        <w:t>According to Freedman and Laxton, FPAS has four essential components.</w:t>
      </w:r>
    </w:p>
    <w:p w14:paraId="76282C30" w14:textId="77777777" w:rsidR="00616FB9" w:rsidRPr="00247DED" w:rsidRDefault="00616FB9" w:rsidP="00616FB9">
      <w:pPr>
        <w:jc w:val="both"/>
        <w:rPr>
          <w:color w:val="000000" w:themeColor="text1"/>
        </w:rPr>
      </w:pPr>
      <w:r w:rsidRPr="00247DED">
        <w:rPr>
          <w:b/>
          <w:bCs/>
          <w:color w:val="000000" w:themeColor="text1"/>
        </w:rPr>
        <w:t>First</w:t>
      </w:r>
      <w:r w:rsidRPr="00247DED">
        <w:rPr>
          <w:color w:val="000000" w:themeColor="text1"/>
        </w:rPr>
        <w:t>, a quantitative model that links policy instruments — such as the policy interest rate — to inflation, output, and other key variables.</w:t>
      </w:r>
    </w:p>
    <w:p w14:paraId="7E3421CC" w14:textId="77777777" w:rsidR="00616FB9" w:rsidRPr="00247DED" w:rsidRDefault="00616FB9" w:rsidP="00616FB9">
      <w:pPr>
        <w:jc w:val="both"/>
        <w:rPr>
          <w:color w:val="000000" w:themeColor="text1"/>
        </w:rPr>
      </w:pPr>
      <w:r w:rsidRPr="00247DED">
        <w:rPr>
          <w:b/>
          <w:bCs/>
          <w:color w:val="000000" w:themeColor="text1"/>
        </w:rPr>
        <w:t>Second</w:t>
      </w:r>
      <w:r w:rsidRPr="00247DED">
        <w:rPr>
          <w:color w:val="000000" w:themeColor="text1"/>
        </w:rPr>
        <w:t>, a forecast process that integrates model-based projections with expert judgment and alternative scenarios.</w:t>
      </w:r>
    </w:p>
    <w:p w14:paraId="310192C2" w14:textId="77777777" w:rsidR="00616FB9" w:rsidRPr="00247DED" w:rsidRDefault="00616FB9" w:rsidP="00616FB9">
      <w:pPr>
        <w:jc w:val="both"/>
        <w:rPr>
          <w:color w:val="000000" w:themeColor="text1"/>
        </w:rPr>
      </w:pPr>
      <w:r w:rsidRPr="00247DED">
        <w:rPr>
          <w:b/>
          <w:bCs/>
          <w:color w:val="000000" w:themeColor="text1"/>
        </w:rPr>
        <w:t>Third</w:t>
      </w:r>
      <w:r w:rsidRPr="00247DED">
        <w:rPr>
          <w:color w:val="000000" w:themeColor="text1"/>
        </w:rPr>
        <w:t>, a structured decision-making cycle, which includes forecast rounds, internal policy discussions, and publication of reports.</w:t>
      </w:r>
    </w:p>
    <w:p w14:paraId="2467FBDD" w14:textId="77777777" w:rsidR="00616FB9" w:rsidRPr="00247DED" w:rsidRDefault="00616FB9" w:rsidP="00616FB9">
      <w:pPr>
        <w:jc w:val="both"/>
        <w:rPr>
          <w:color w:val="000000" w:themeColor="text1"/>
        </w:rPr>
      </w:pPr>
      <w:r w:rsidRPr="00247DED">
        <w:rPr>
          <w:color w:val="000000" w:themeColor="text1"/>
        </w:rPr>
        <w:t xml:space="preserve">And </w:t>
      </w:r>
      <w:r w:rsidRPr="00247DED">
        <w:rPr>
          <w:b/>
          <w:bCs/>
          <w:color w:val="000000" w:themeColor="text1"/>
        </w:rPr>
        <w:t>fourth</w:t>
      </w:r>
      <w:r w:rsidRPr="00247DED">
        <w:rPr>
          <w:color w:val="000000" w:themeColor="text1"/>
        </w:rPr>
        <w:t>, a communication strategy that ensures consistency between internal analysis and what the central bank tells the public.</w:t>
      </w:r>
    </w:p>
    <w:p w14:paraId="44360987" w14:textId="77777777" w:rsidR="00616FB9" w:rsidRPr="00247DED" w:rsidRDefault="00616FB9" w:rsidP="00616FB9">
      <w:pPr>
        <w:jc w:val="both"/>
        <w:rPr>
          <w:color w:val="000000" w:themeColor="text1"/>
        </w:rPr>
      </w:pPr>
      <w:r w:rsidRPr="00247DED">
        <w:rPr>
          <w:color w:val="000000" w:themeColor="text1"/>
        </w:rPr>
        <w:lastRenderedPageBreak/>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68185B61" w14:textId="77777777" w:rsidR="00616FB9" w:rsidRPr="00247DED" w:rsidRDefault="00616FB9" w:rsidP="00616FB9">
      <w:pPr>
        <w:jc w:val="both"/>
        <w:rPr>
          <w:color w:val="000000" w:themeColor="text1"/>
        </w:rPr>
      </w:pPr>
      <w:r w:rsidRPr="00247DED">
        <w:rPr>
          <w:color w:val="000000" w:themeColor="text1"/>
        </w:rPr>
        <w:t>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modelling work extended FPAS to small open economies, demonstrating that even in uncertain environments, consistent analysis and transparent decision-making can strengthen credibility.</w:t>
      </w:r>
    </w:p>
    <w:p w14:paraId="09768231" w14:textId="77777777" w:rsidR="00616FB9" w:rsidRPr="00247DED" w:rsidRDefault="00616FB9" w:rsidP="00616FB9">
      <w:pPr>
        <w:jc w:val="both"/>
        <w:rPr>
          <w:color w:val="000000" w:themeColor="text1"/>
        </w:rPr>
      </w:pPr>
      <w:r w:rsidRPr="00247DED">
        <w:rPr>
          <w:color w:val="000000" w:themeColor="text1"/>
        </w:rPr>
        <w:t>As Adrian, Obstfeld, and Laxton (2018) later showed, countries that adopted FPAS frameworks achieved smoother policy cycles, clearer communication, and better integration between fiscal and monetary policy.</w:t>
      </w:r>
    </w:p>
    <w:p w14:paraId="226D3F22" w14:textId="77777777" w:rsidR="00616FB9" w:rsidRPr="00247DED" w:rsidRDefault="00616FB9" w:rsidP="00616FB9">
      <w:pPr>
        <w:jc w:val="both"/>
        <w:rPr>
          <w:color w:val="000000" w:themeColor="text1"/>
        </w:rPr>
      </w:pPr>
      <w:r w:rsidRPr="00247DED">
        <w:rPr>
          <w:color w:val="000000" w:themeColor="text1"/>
        </w:rPr>
        <w:t>Over time, these systems evolved into what we now call FPAS Mark II.</w:t>
      </w:r>
    </w:p>
    <w:p w14:paraId="541BD112" w14:textId="77777777" w:rsidR="00616FB9" w:rsidRPr="00247DED" w:rsidRDefault="00616FB9" w:rsidP="00616FB9">
      <w:pPr>
        <w:jc w:val="both"/>
        <w:rPr>
          <w:color w:val="000000" w:themeColor="text1"/>
        </w:rPr>
      </w:pPr>
      <w:r w:rsidRPr="00247DED">
        <w:rPr>
          <w:color w:val="000000" w:themeColor="text1"/>
        </w:rPr>
        <w:t>FPAS Mark II builds directly on these earlier systems but is designed to handle today’s more complex challenges — things like nonlinear dynamics, global spillovers, and constraints from the lower bound on interest rates. The modern approach emphasizes prudent risk management within the FPAS discipline.</w:t>
      </w:r>
    </w:p>
    <w:p w14:paraId="4A307196" w14:textId="77777777" w:rsidR="00616FB9" w:rsidRPr="00247DED" w:rsidRDefault="00616FB9" w:rsidP="00616FB9">
      <w:pPr>
        <w:jc w:val="both"/>
        <w:rPr>
          <w:color w:val="000000" w:themeColor="text1"/>
        </w:rPr>
      </w:pPr>
      <w:r w:rsidRPr="00247DED">
        <w:rPr>
          <w:color w:val="000000" w:themeColor="text1"/>
        </w:rPr>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3F825D5C" w14:textId="77777777" w:rsidR="00616FB9" w:rsidRPr="00247DED" w:rsidRDefault="00616FB9" w:rsidP="00616FB9">
      <w:pPr>
        <w:jc w:val="both"/>
        <w:rPr>
          <w:color w:val="000000" w:themeColor="text1"/>
        </w:rPr>
      </w:pPr>
      <w:r w:rsidRPr="00247DED">
        <w:rPr>
          <w:color w:val="000000" w:themeColor="text1"/>
        </w:rPr>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07447269" w14:textId="77777777" w:rsidR="00616FB9" w:rsidRPr="00247DED" w:rsidRDefault="00616FB9" w:rsidP="00616FB9">
      <w:pPr>
        <w:jc w:val="both"/>
        <w:rPr>
          <w:color w:val="000000" w:themeColor="text1"/>
        </w:rPr>
      </w:pPr>
      <w:r w:rsidRPr="00247DED">
        <w:rPr>
          <w:color w:val="000000" w:themeColor="text1"/>
        </w:rPr>
        <w:t>So, to summarize: Principles Three and Four remind us that monetary policy is most effective when it is coherent with broader government policies and when it operates through a disciplined analytical framework like FPAS. Coherence ensures alignment and credibility. FPAS provides the structure and process that transform analysis into action.</w:t>
      </w:r>
    </w:p>
    <w:p w14:paraId="67E5CD68" w14:textId="77777777" w:rsidR="00616FB9" w:rsidRPr="00247DED" w:rsidRDefault="00616FB9" w:rsidP="00616FB9">
      <w:pPr>
        <w:jc w:val="both"/>
        <w:rPr>
          <w:color w:val="000000" w:themeColor="text1"/>
        </w:rPr>
      </w:pPr>
      <w:r w:rsidRPr="00247DED">
        <w:rPr>
          <w:color w:val="000000" w:themeColor="text1"/>
        </w:rPr>
        <w:t>Together, they make monetary policy not only credible — but truly effective.</w:t>
      </w:r>
    </w:p>
    <w:p w14:paraId="7605EF83" w14:textId="77777777" w:rsidR="00616FB9" w:rsidRPr="00247DED" w:rsidRDefault="00616FB9" w:rsidP="00616FB9">
      <w:pPr>
        <w:jc w:val="both"/>
        <w:rPr>
          <w:color w:val="000000" w:themeColor="text1"/>
        </w:rPr>
      </w:pPr>
      <w:r w:rsidRPr="00247DED">
        <w:rPr>
          <w:color w:val="000000" w:themeColor="text1"/>
        </w:rPr>
        <w:lastRenderedPageBreak/>
        <w:t>In our next video, we’ll turn to Principles Five and Six, where we’ll explore flexibility and transparency — the final ingredients of a modern, resilient monetary policy framework.</w:t>
      </w:r>
    </w:p>
    <w:p w14:paraId="5CC26189" w14:textId="77777777" w:rsidR="00616FB9" w:rsidRPr="00247DED" w:rsidRDefault="00616FB9" w:rsidP="00616FB9">
      <w:pPr>
        <w:jc w:val="both"/>
        <w:rPr>
          <w:color w:val="000000" w:themeColor="text1"/>
        </w:rPr>
      </w:pPr>
      <w:r w:rsidRPr="00247DED">
        <w:rPr>
          <w:color w:val="000000" w:themeColor="text1"/>
        </w:rPr>
        <w:t>Thank you for watching, and I look forward to seeing you in the next episode of the CBA Academy.</w:t>
      </w:r>
    </w:p>
    <w:p w14:paraId="2824A2CE" w14:textId="77777777" w:rsidR="00616FB9" w:rsidRPr="00247DED" w:rsidRDefault="00616FB9" w:rsidP="00616FB9">
      <w:pPr>
        <w:rPr>
          <w:b/>
          <w:bCs/>
          <w:color w:val="000000" w:themeColor="text1"/>
        </w:rPr>
      </w:pPr>
      <w:r w:rsidRPr="00247DED">
        <w:rPr>
          <w:b/>
          <w:bCs/>
          <w:color w:val="000000" w:themeColor="text1"/>
        </w:rPr>
        <w:t>See you there.</w:t>
      </w:r>
    </w:p>
    <w:p w14:paraId="744CF77B" w14:textId="77777777" w:rsidR="0072308F" w:rsidRDefault="0072308F"/>
    <w:sectPr w:rsidR="0072308F" w:rsidSect="0072308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89D44" w14:textId="77777777" w:rsidR="00152CDB" w:rsidRDefault="00152CDB" w:rsidP="0072308F">
      <w:pPr>
        <w:spacing w:after="0" w:line="240" w:lineRule="auto"/>
      </w:pPr>
      <w:r>
        <w:separator/>
      </w:r>
    </w:p>
  </w:endnote>
  <w:endnote w:type="continuationSeparator" w:id="0">
    <w:p w14:paraId="122EE8A6" w14:textId="77777777" w:rsidR="00152CDB" w:rsidRDefault="00152CDB"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8E4C" w14:textId="77777777" w:rsidR="00152CDB" w:rsidRDefault="00152CDB" w:rsidP="0072308F">
      <w:pPr>
        <w:spacing w:after="0" w:line="240" w:lineRule="auto"/>
      </w:pPr>
      <w:r>
        <w:separator/>
      </w:r>
    </w:p>
  </w:footnote>
  <w:footnote w:type="continuationSeparator" w:id="0">
    <w:p w14:paraId="0635021B" w14:textId="77777777" w:rsidR="00152CDB" w:rsidRDefault="00152CDB"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1"/>
  </w:num>
  <w:num w:numId="2" w16cid:durableId="1105033860">
    <w:abstractNumId w:val="3"/>
  </w:num>
  <w:num w:numId="3" w16cid:durableId="578712828">
    <w:abstractNumId w:val="0"/>
  </w:num>
  <w:num w:numId="4" w16cid:durableId="1851723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356ED"/>
    <w:rsid w:val="00087444"/>
    <w:rsid w:val="000B4C75"/>
    <w:rsid w:val="00152CDB"/>
    <w:rsid w:val="001A42AA"/>
    <w:rsid w:val="00271FD7"/>
    <w:rsid w:val="00275B4F"/>
    <w:rsid w:val="002807EC"/>
    <w:rsid w:val="002F0FAD"/>
    <w:rsid w:val="00376C67"/>
    <w:rsid w:val="00395121"/>
    <w:rsid w:val="003E0332"/>
    <w:rsid w:val="00456F43"/>
    <w:rsid w:val="004B4DD7"/>
    <w:rsid w:val="004F58F3"/>
    <w:rsid w:val="0056772D"/>
    <w:rsid w:val="005E3895"/>
    <w:rsid w:val="00616FB9"/>
    <w:rsid w:val="00672192"/>
    <w:rsid w:val="00691CAC"/>
    <w:rsid w:val="00721C29"/>
    <w:rsid w:val="0072308F"/>
    <w:rsid w:val="007F690D"/>
    <w:rsid w:val="009659F4"/>
    <w:rsid w:val="00A90AE7"/>
    <w:rsid w:val="00B07A92"/>
    <w:rsid w:val="00B46883"/>
    <w:rsid w:val="00BC2A6B"/>
    <w:rsid w:val="00CB466F"/>
    <w:rsid w:val="00D43124"/>
    <w:rsid w:val="00EE3C01"/>
    <w:rsid w:val="00F860E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xternal/pubs/ft/wp/2009/wp0986.pd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betterpolicyproject.org/_files/ugd/bf672a_8de64ff0b60b4b5b84ce827b82627fe8.pdf"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ba.am/e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nber.org/papers/w1079.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fu.ca/~kkasa/prescott_77.pdf"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Pages>
  <Words>2127</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10</cp:revision>
  <dcterms:created xsi:type="dcterms:W3CDTF">2025-11-07T14:25:00Z</dcterms:created>
  <dcterms:modified xsi:type="dcterms:W3CDTF">2025-11-28T17:23:00Z</dcterms:modified>
</cp:coreProperties>
</file>