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59DF" w14:textId="65C6EFD0" w:rsidR="000356ED" w:rsidRDefault="00B649AB" w:rsidP="00D43124">
      <w:pPr>
        <w:jc w:val="center"/>
        <w:rPr>
          <w:b/>
          <w:bCs/>
          <w:color w:val="156082" w:themeColor="accent1"/>
          <w:sz w:val="28"/>
          <w:szCs w:val="28"/>
        </w:rPr>
      </w:pPr>
      <w:r w:rsidRPr="00B649AB">
        <w:rPr>
          <w:b/>
          <w:bCs/>
          <w:color w:val="156082" w:themeColor="accent1"/>
          <w:sz w:val="28"/>
          <w:szCs w:val="28"/>
        </w:rPr>
        <w:t>Principles 5 &amp; 6: Independence, Transparency, and Accountability</w:t>
      </w:r>
    </w:p>
    <w:p w14:paraId="1BC1B5FD" w14:textId="77777777" w:rsidR="00B649AB" w:rsidRDefault="00B649AB" w:rsidP="00D43124">
      <w:pPr>
        <w:jc w:val="center"/>
        <w:rPr>
          <w:b/>
          <w:bCs/>
        </w:rPr>
      </w:pPr>
    </w:p>
    <w:p w14:paraId="1B43ED8B" w14:textId="77777777" w:rsidR="00EE146B" w:rsidRPr="00247DED" w:rsidRDefault="00EE146B" w:rsidP="00EE146B">
      <w:pPr>
        <w:rPr>
          <w:b/>
          <w:bCs/>
          <w:color w:val="000000" w:themeColor="text1"/>
        </w:rPr>
      </w:pPr>
      <w:r w:rsidRPr="00247DED">
        <w:rPr>
          <w:b/>
          <w:bCs/>
          <w:color w:val="000000" w:themeColor="text1"/>
        </w:rPr>
        <w:t>Susanna Grigoryan</w:t>
      </w:r>
    </w:p>
    <w:p w14:paraId="17FCA40C" w14:textId="77777777" w:rsidR="00EE146B" w:rsidRPr="00247DED" w:rsidRDefault="00EE146B" w:rsidP="00EE146B">
      <w:pPr>
        <w:rPr>
          <w:b/>
          <w:bCs/>
          <w:color w:val="000000" w:themeColor="text1"/>
        </w:rPr>
      </w:pPr>
      <w:r w:rsidRPr="00247DED">
        <w:rPr>
          <w:b/>
          <w:bCs/>
          <w:color w:val="000000" w:themeColor="text1"/>
        </w:rPr>
        <w:t>Recent Staff Member, Monetary Policy Department, Central Bank of Armenia</w:t>
      </w:r>
    </w:p>
    <w:p w14:paraId="522E1CD3" w14:textId="77777777" w:rsidR="00EE146B" w:rsidRPr="00247DED" w:rsidRDefault="00EE146B" w:rsidP="00EE146B">
      <w:pPr>
        <w:rPr>
          <w:b/>
          <w:bCs/>
          <w:color w:val="000000" w:themeColor="text1"/>
        </w:rPr>
      </w:pPr>
      <w:r w:rsidRPr="00247DED">
        <w:rPr>
          <w:b/>
          <w:bCs/>
          <w:color w:val="000000" w:themeColor="text1"/>
        </w:rPr>
        <w:t>Student, Global Forecasting School</w:t>
      </w:r>
    </w:p>
    <w:p w14:paraId="4E14BAE5" w14:textId="77777777" w:rsidR="00EE146B" w:rsidRPr="00247DED" w:rsidRDefault="00EE146B" w:rsidP="00EE146B">
      <w:pPr>
        <w:rPr>
          <w:b/>
          <w:bCs/>
          <w:color w:val="000000" w:themeColor="text1"/>
        </w:rPr>
      </w:pPr>
      <w:r w:rsidRPr="00247DED">
        <w:rPr>
          <w:b/>
          <w:bCs/>
          <w:color w:val="000000" w:themeColor="text1"/>
        </w:rPr>
        <w:t>November 2025</w:t>
      </w:r>
    </w:p>
    <w:p w14:paraId="0C52C0C8" w14:textId="77777777" w:rsidR="00EE146B" w:rsidRPr="00247DED" w:rsidRDefault="00EE146B" w:rsidP="00EE146B">
      <w:pPr>
        <w:rPr>
          <w:b/>
          <w:bCs/>
          <w:color w:val="000000" w:themeColor="text1"/>
        </w:rPr>
      </w:pPr>
    </w:p>
    <w:p w14:paraId="5DBA671C" w14:textId="77777777" w:rsidR="00EE146B" w:rsidRPr="00247DED" w:rsidRDefault="00EE146B" w:rsidP="00EE146B">
      <w:pPr>
        <w:rPr>
          <w:b/>
          <w:bCs/>
          <w:color w:val="000000" w:themeColor="text1"/>
        </w:rPr>
      </w:pPr>
      <w:r w:rsidRPr="00247DED">
        <w:rPr>
          <w:b/>
          <w:bCs/>
          <w:color w:val="000000" w:themeColor="text1"/>
        </w:rPr>
        <w:t>Note</w:t>
      </w:r>
    </w:p>
    <w:p w14:paraId="53128EB0" w14:textId="77777777" w:rsidR="00EE146B" w:rsidRPr="00247DED" w:rsidRDefault="00EE146B" w:rsidP="00EE146B">
      <w:pPr>
        <w:jc w:val="both"/>
        <w:rPr>
          <w:b/>
          <w:bCs/>
          <w:color w:val="000000" w:themeColor="text1"/>
        </w:rPr>
      </w:pPr>
      <w:r w:rsidRPr="00247DED">
        <w:rPr>
          <w:b/>
          <w:bCs/>
          <w:color w:val="000000" w:themeColor="text1"/>
        </w:rPr>
        <w:t>1. Why analytical frameworks matter</w:t>
      </w:r>
    </w:p>
    <w:p w14:paraId="09F8D6E6" w14:textId="77777777" w:rsidR="00EE146B" w:rsidRPr="00247DED" w:rsidRDefault="00EE146B" w:rsidP="00EE146B">
      <w:pPr>
        <w:jc w:val="both"/>
        <w:rPr>
          <w:color w:val="000000" w:themeColor="text1"/>
        </w:rPr>
      </w:pPr>
      <w:r w:rsidRPr="00247DED">
        <w:rPr>
          <w:color w:val="000000" w:themeColor="text1"/>
        </w:rPr>
        <w:t>Credible monetary policy depends not only on independence but on the discipline of an analytical framework that links forecasts, instruments, and objectives. A genuine forward-looking system has three essential ingredients:</w:t>
      </w:r>
    </w:p>
    <w:p w14:paraId="2A58EAAE" w14:textId="77777777" w:rsidR="00EE146B" w:rsidRPr="00247DED" w:rsidRDefault="00EE146B" w:rsidP="00EE146B">
      <w:pPr>
        <w:pStyle w:val="ListParagraph"/>
        <w:numPr>
          <w:ilvl w:val="0"/>
          <w:numId w:val="7"/>
        </w:numPr>
        <w:jc w:val="both"/>
        <w:rPr>
          <w:color w:val="000000" w:themeColor="text1"/>
        </w:rPr>
      </w:pPr>
      <w:r w:rsidRPr="00247DED">
        <w:rPr>
          <w:color w:val="000000" w:themeColor="text1"/>
        </w:rPr>
        <w:t>Where is the economy today? A coherent and internally consistent assessment of the current macroeconomic position-output gap, inflation pressures, and financial conditions.</w:t>
      </w:r>
    </w:p>
    <w:p w14:paraId="302FE6BC" w14:textId="77777777" w:rsidR="00EE146B" w:rsidRPr="00247DED" w:rsidRDefault="00EE146B" w:rsidP="00EE146B">
      <w:pPr>
        <w:pStyle w:val="ListParagraph"/>
        <w:numPr>
          <w:ilvl w:val="0"/>
          <w:numId w:val="7"/>
        </w:numPr>
        <w:jc w:val="both"/>
        <w:rPr>
          <w:color w:val="000000" w:themeColor="text1"/>
        </w:rPr>
      </w:pPr>
      <w:r w:rsidRPr="00247DED">
        <w:rPr>
          <w:color w:val="000000" w:themeColor="text1"/>
        </w:rPr>
        <w:t>What are the underlying forces driving it? A structured analysis of demand, supply, and external shocks, showing how transmission channels operate.</w:t>
      </w:r>
    </w:p>
    <w:p w14:paraId="38B385C0" w14:textId="77777777" w:rsidR="00EE146B" w:rsidRPr="00247DED" w:rsidRDefault="00EE146B" w:rsidP="00EE146B">
      <w:pPr>
        <w:pStyle w:val="ListParagraph"/>
        <w:numPr>
          <w:ilvl w:val="0"/>
          <w:numId w:val="7"/>
        </w:numPr>
        <w:jc w:val="both"/>
        <w:rPr>
          <w:color w:val="000000" w:themeColor="text1"/>
        </w:rPr>
      </w:pPr>
      <w:r w:rsidRPr="00247DED">
        <w:rPr>
          <w:color w:val="000000" w:themeColor="text1"/>
        </w:rPr>
        <w:t>What must be done with policy instruments to achieve the objectives? A systematic process that determines how interest rates and other instruments must adjust to keep inflation and output near target.</w:t>
      </w:r>
    </w:p>
    <w:p w14:paraId="5A1EED37" w14:textId="77777777" w:rsidR="00EE146B" w:rsidRPr="00247DED" w:rsidRDefault="00EE146B" w:rsidP="00EE146B">
      <w:pPr>
        <w:jc w:val="both"/>
        <w:rPr>
          <w:color w:val="000000" w:themeColor="text1"/>
        </w:rPr>
      </w:pPr>
      <w:r w:rsidRPr="00247DED">
        <w:rPr>
          <w:color w:val="000000" w:themeColor="text1"/>
        </w:rPr>
        <w:t>Any framework missing one of these three elements is incomplete. As shown in Bernanke (2024), the Bank of England never succeeded in developing this third component; hence, it never possessed a coherent forward-looking analytical framework.</w:t>
      </w:r>
    </w:p>
    <w:p w14:paraId="6F7F4858" w14:textId="77777777" w:rsidR="00EE146B" w:rsidRPr="00247DED" w:rsidRDefault="00EE146B" w:rsidP="00EE146B">
      <w:pPr>
        <w:jc w:val="both"/>
        <w:rPr>
          <w:b/>
          <w:bCs/>
          <w:color w:val="000000" w:themeColor="text1"/>
        </w:rPr>
      </w:pPr>
      <w:r w:rsidRPr="00247DED">
        <w:rPr>
          <w:b/>
          <w:bCs/>
          <w:color w:val="000000" w:themeColor="text1"/>
        </w:rPr>
        <w:t>2. The Bank of England’s missing third ingredient</w:t>
      </w:r>
    </w:p>
    <w:p w14:paraId="0107515B" w14:textId="77777777" w:rsidR="00EE146B" w:rsidRPr="00247DED" w:rsidRDefault="00EE146B" w:rsidP="00EE146B">
      <w:pPr>
        <w:jc w:val="both"/>
        <w:rPr>
          <w:color w:val="000000" w:themeColor="text1"/>
        </w:rPr>
      </w:pPr>
      <w:r w:rsidRPr="00247DED">
        <w:rPr>
          <w:color w:val="000000" w:themeColor="text1"/>
        </w:rPr>
        <w:t>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principle of modern policy analysis: the policy rate must be endogenous, adjusting in response to the forecast itself.</w:t>
      </w:r>
    </w:p>
    <w:p w14:paraId="10C8CD6E" w14:textId="77777777" w:rsidR="00EE146B" w:rsidRPr="00247DED" w:rsidRDefault="00EE146B" w:rsidP="00EE146B">
      <w:pPr>
        <w:jc w:val="both"/>
        <w:rPr>
          <w:color w:val="000000" w:themeColor="text1"/>
        </w:rPr>
      </w:pPr>
      <w:r w:rsidRPr="00247DED">
        <w:rPr>
          <w:color w:val="000000" w:themeColor="text1"/>
        </w:rPr>
        <w:lastRenderedPageBreak/>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027D9F60" w14:textId="77777777" w:rsidR="00EE146B" w:rsidRPr="00247DED" w:rsidRDefault="00EE146B" w:rsidP="00EE146B">
      <w:pPr>
        <w:jc w:val="both"/>
        <w:rPr>
          <w:color w:val="000000" w:themeColor="text1"/>
        </w:rPr>
      </w:pPr>
      <w:r w:rsidRPr="00247DED">
        <w:rPr>
          <w:color w:val="000000" w:themeColor="text1"/>
        </w:rPr>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2857DD83" w14:textId="77777777" w:rsidR="00EE146B" w:rsidRPr="00247DED" w:rsidRDefault="00EE146B" w:rsidP="00EE146B">
      <w:pPr>
        <w:jc w:val="both"/>
        <w:rPr>
          <w:b/>
          <w:bCs/>
          <w:color w:val="000000" w:themeColor="text1"/>
        </w:rPr>
      </w:pPr>
      <w:r w:rsidRPr="00247DED">
        <w:rPr>
          <w:b/>
          <w:bCs/>
          <w:color w:val="000000" w:themeColor="text1"/>
        </w:rPr>
        <w:t>3. Contrast with first-generation FPAS frameworks</w:t>
      </w:r>
    </w:p>
    <w:p w14:paraId="4DD9AC31" w14:textId="77777777" w:rsidR="00EE146B" w:rsidRPr="00247DED" w:rsidRDefault="00EE146B" w:rsidP="00EE146B">
      <w:pPr>
        <w:jc w:val="both"/>
        <w:rPr>
          <w:color w:val="000000" w:themeColor="text1"/>
        </w:rPr>
      </w:pPr>
      <w:r w:rsidRPr="00247DED">
        <w:rPr>
          <w:color w:val="000000" w:themeColor="text1"/>
        </w:rPr>
        <w:t xml:space="preserve">Central banks such as the Reserve Bank of New Zealand, the National Bank of Georgia, and the Central Bank of Armenia built what we describe as Mark I </w:t>
      </w:r>
      <w:proofErr w:type="gramStart"/>
      <w:r w:rsidRPr="00247DED">
        <w:rPr>
          <w:color w:val="000000" w:themeColor="text1"/>
        </w:rPr>
        <w:t>Forecasting</w:t>
      </w:r>
      <w:proofErr w:type="gramEnd"/>
      <w:r w:rsidRPr="00247DED">
        <w:rPr>
          <w:color w:val="000000" w:themeColor="text1"/>
        </w:rPr>
        <w:t xml:space="preserve"> and Policy Analysis Systems (FPAS). These frameworks explicitly integrate:</w:t>
      </w:r>
    </w:p>
    <w:p w14:paraId="32AFB279" w14:textId="77777777" w:rsidR="00EE146B" w:rsidRPr="00247DED" w:rsidRDefault="00EE146B" w:rsidP="00EE146B">
      <w:pPr>
        <w:pStyle w:val="ListParagraph"/>
        <w:numPr>
          <w:ilvl w:val="0"/>
          <w:numId w:val="8"/>
        </w:numPr>
        <w:jc w:val="both"/>
        <w:rPr>
          <w:color w:val="000000" w:themeColor="text1"/>
        </w:rPr>
      </w:pPr>
      <w:r w:rsidRPr="00247DED">
        <w:rPr>
          <w:color w:val="000000" w:themeColor="text1"/>
        </w:rPr>
        <w:t>A structural model linking key economic relationships</w:t>
      </w:r>
    </w:p>
    <w:p w14:paraId="195EA5E0" w14:textId="77777777" w:rsidR="00EE146B" w:rsidRPr="00247DED" w:rsidRDefault="00EE146B" w:rsidP="00EE146B">
      <w:pPr>
        <w:pStyle w:val="ListParagraph"/>
        <w:numPr>
          <w:ilvl w:val="0"/>
          <w:numId w:val="8"/>
        </w:numPr>
        <w:jc w:val="both"/>
        <w:rPr>
          <w:color w:val="000000" w:themeColor="text1"/>
        </w:rPr>
      </w:pPr>
      <w:r w:rsidRPr="00247DED">
        <w:rPr>
          <w:color w:val="000000" w:themeColor="text1"/>
        </w:rPr>
        <w:t>A forecast process that endogenizes the policy instrument</w:t>
      </w:r>
    </w:p>
    <w:p w14:paraId="5F0E34A6" w14:textId="77777777" w:rsidR="00EE146B" w:rsidRPr="00247DED" w:rsidRDefault="00EE146B" w:rsidP="00EE146B">
      <w:pPr>
        <w:pStyle w:val="ListParagraph"/>
        <w:numPr>
          <w:ilvl w:val="0"/>
          <w:numId w:val="8"/>
        </w:numPr>
        <w:jc w:val="both"/>
        <w:rPr>
          <w:color w:val="000000" w:themeColor="text1"/>
        </w:rPr>
      </w:pPr>
      <w:r w:rsidRPr="00247DED">
        <w:rPr>
          <w:color w:val="000000" w:themeColor="text1"/>
        </w:rPr>
        <w:t>Scenario analysis for prudent risk management</w:t>
      </w:r>
    </w:p>
    <w:p w14:paraId="3F06BFF0" w14:textId="77777777" w:rsidR="00EE146B" w:rsidRPr="00247DED" w:rsidRDefault="00EE146B" w:rsidP="00EE146B">
      <w:pPr>
        <w:pStyle w:val="ListParagraph"/>
        <w:numPr>
          <w:ilvl w:val="0"/>
          <w:numId w:val="8"/>
        </w:numPr>
        <w:jc w:val="both"/>
        <w:rPr>
          <w:color w:val="000000" w:themeColor="text1"/>
        </w:rPr>
      </w:pPr>
      <w:r w:rsidRPr="00247DED">
        <w:rPr>
          <w:color w:val="000000" w:themeColor="text1"/>
        </w:rPr>
        <w:t>A communication system that transparently explains policy choices</w:t>
      </w:r>
    </w:p>
    <w:p w14:paraId="00FE28CB" w14:textId="77777777" w:rsidR="00EE146B" w:rsidRPr="00247DED" w:rsidRDefault="00EE146B" w:rsidP="00EE146B">
      <w:pPr>
        <w:jc w:val="both"/>
        <w:rPr>
          <w:color w:val="000000" w:themeColor="text1"/>
        </w:rPr>
      </w:pPr>
      <w:r w:rsidRPr="00247DED">
        <w:rPr>
          <w:color w:val="000000" w:themeColor="text1"/>
        </w:rPr>
        <w:t>In these institutions, the forecast and the policy decision are two sides of the same coin. The analytical framework ensures every published scenario is consistent with the central bank’s objectives and its understanding of transmission mechanisms.</w:t>
      </w:r>
    </w:p>
    <w:p w14:paraId="316F959D" w14:textId="77777777" w:rsidR="00EE146B" w:rsidRPr="00247DED" w:rsidRDefault="00EE146B" w:rsidP="00EE146B">
      <w:pPr>
        <w:jc w:val="both"/>
        <w:rPr>
          <w:b/>
          <w:bCs/>
          <w:color w:val="000000" w:themeColor="text1"/>
        </w:rPr>
      </w:pPr>
      <w:r w:rsidRPr="00247DED">
        <w:rPr>
          <w:b/>
          <w:bCs/>
          <w:color w:val="000000" w:themeColor="text1"/>
        </w:rPr>
        <w:t>4. The state of the art: The Prudent Risk Management Approach</w:t>
      </w:r>
    </w:p>
    <w:p w14:paraId="20CB85C6" w14:textId="77777777" w:rsidR="00EE146B" w:rsidRPr="00247DED" w:rsidRDefault="00EE146B" w:rsidP="00EE146B">
      <w:pPr>
        <w:jc w:val="both"/>
        <w:rPr>
          <w:color w:val="000000" w:themeColor="text1"/>
        </w:rPr>
      </w:pPr>
      <w:r w:rsidRPr="00247DED">
        <w:rPr>
          <w:color w:val="000000" w:themeColor="text1"/>
        </w:rPr>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3AD7C4D3" w14:textId="77777777" w:rsidR="00EE146B" w:rsidRPr="00247DED" w:rsidRDefault="00EE146B" w:rsidP="00EE146B">
      <w:pPr>
        <w:jc w:val="both"/>
        <w:rPr>
          <w:color w:val="000000" w:themeColor="text1"/>
        </w:rPr>
      </w:pPr>
      <w:r w:rsidRPr="00247DED">
        <w:rPr>
          <w:color w:val="000000" w:themeColor="text1"/>
        </w:rPr>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02A6A437" w14:textId="77777777" w:rsidR="00EE146B" w:rsidRPr="00247DED" w:rsidRDefault="00EE146B" w:rsidP="00EE146B">
      <w:pPr>
        <w:jc w:val="both"/>
        <w:rPr>
          <w:b/>
          <w:bCs/>
          <w:color w:val="000000" w:themeColor="text1"/>
        </w:rPr>
      </w:pPr>
      <w:r w:rsidRPr="00247DED">
        <w:rPr>
          <w:b/>
          <w:bCs/>
          <w:color w:val="000000" w:themeColor="text1"/>
        </w:rPr>
        <w:t>5. Implications for institutional integrity</w:t>
      </w:r>
    </w:p>
    <w:p w14:paraId="4DF68DC6" w14:textId="77777777" w:rsidR="00EE146B" w:rsidRPr="00247DED" w:rsidRDefault="00EE146B" w:rsidP="00EE146B">
      <w:pPr>
        <w:jc w:val="both"/>
        <w:rPr>
          <w:color w:val="000000" w:themeColor="text1"/>
        </w:rPr>
      </w:pPr>
      <w:r w:rsidRPr="00247DED">
        <w:rPr>
          <w:color w:val="000000" w:themeColor="text1"/>
        </w:rPr>
        <w:lastRenderedPageBreak/>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06A9BCD4" w14:textId="77777777" w:rsidR="00EE146B" w:rsidRPr="00247DED" w:rsidRDefault="00EE146B" w:rsidP="00EE146B">
      <w:pPr>
        <w:jc w:val="both"/>
        <w:rPr>
          <w:color w:val="000000" w:themeColor="text1"/>
        </w:rPr>
      </w:pPr>
      <w:r w:rsidRPr="00247DED">
        <w:rPr>
          <w:color w:val="000000" w:themeColor="text1"/>
        </w:rPr>
        <w:t>The experiences of the RBNZ, NBG, and CBA show that smaller, more agile institutions can achieve world-class standards when they combine operational independence with analytical coherence and clear communication.</w:t>
      </w:r>
    </w:p>
    <w:p w14:paraId="38BDB79B" w14:textId="77777777" w:rsidR="00EE146B" w:rsidRDefault="00EE146B" w:rsidP="00EE146B">
      <w:pPr>
        <w:rPr>
          <w:b/>
          <w:bCs/>
          <w:color w:val="000000" w:themeColor="text1"/>
        </w:rPr>
      </w:pPr>
    </w:p>
    <w:p w14:paraId="61397DB0" w14:textId="77777777" w:rsidR="00EE146B" w:rsidRPr="00247DED" w:rsidRDefault="00EE146B" w:rsidP="00EE146B">
      <w:pPr>
        <w:rPr>
          <w:b/>
          <w:bCs/>
          <w:color w:val="000000" w:themeColor="text1"/>
        </w:rPr>
      </w:pPr>
      <w:r w:rsidRPr="00247DED">
        <w:rPr>
          <w:b/>
          <w:bCs/>
          <w:color w:val="000000" w:themeColor="text1"/>
        </w:rPr>
        <w:t>Literature &amp; Further Reading</w:t>
      </w:r>
    </w:p>
    <w:p w14:paraId="7597B49B" w14:textId="77777777" w:rsidR="00EE146B" w:rsidRPr="00247DED" w:rsidRDefault="00EE146B" w:rsidP="00EE146B">
      <w:pPr>
        <w:numPr>
          <w:ilvl w:val="0"/>
          <w:numId w:val="6"/>
        </w:numPr>
        <w:jc w:val="both"/>
        <w:rPr>
          <w:color w:val="000000" w:themeColor="text1"/>
        </w:rPr>
      </w:pPr>
      <w:hyperlink r:id="rId7"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57F89F2F" w14:textId="77777777" w:rsidR="00EE146B" w:rsidRPr="00247DED" w:rsidRDefault="00EE146B" w:rsidP="00EE146B">
      <w:pPr>
        <w:numPr>
          <w:ilvl w:val="0"/>
          <w:numId w:val="6"/>
        </w:numPr>
        <w:jc w:val="both"/>
        <w:rPr>
          <w:color w:val="000000" w:themeColor="text1"/>
        </w:rPr>
      </w:pPr>
      <w:hyperlink r:id="rId8" w:tgtFrame="_blank" w:history="1">
        <w:r w:rsidRPr="00247DED">
          <w:rPr>
            <w:rStyle w:val="Hyperlink"/>
            <w:color w:val="000000" w:themeColor="text1"/>
          </w:rPr>
          <w:t>FPAS Mark II: </w:t>
        </w:r>
        <w:r w:rsidRPr="00247DED">
          <w:rPr>
            <w:rStyle w:val="Hyperlink"/>
            <w:i/>
            <w:iCs/>
            <w:color w:val="000000" w:themeColor="text1"/>
          </w:rPr>
          <w:t>Avoiding Dark Corners and Eliminating the Folly in Baselines and Local Approximations.</w:t>
        </w:r>
        <w:r w:rsidRPr="00247DED">
          <w:rPr>
            <w:rStyle w:val="Hyperlink"/>
            <w:color w:val="000000" w:themeColor="text1"/>
          </w:rPr>
          <w:t> October 2022.</w:t>
        </w:r>
      </w:hyperlink>
    </w:p>
    <w:p w14:paraId="77FFB818" w14:textId="77777777" w:rsidR="00EE146B" w:rsidRPr="00247DED" w:rsidRDefault="00EE146B" w:rsidP="00EE146B">
      <w:pPr>
        <w:numPr>
          <w:ilvl w:val="0"/>
          <w:numId w:val="6"/>
        </w:numPr>
        <w:jc w:val="both"/>
        <w:rPr>
          <w:color w:val="000000" w:themeColor="text1"/>
        </w:rPr>
      </w:pPr>
      <w:hyperlink r:id="rId9" w:tgtFrame="_blank" w:history="1">
        <w:r w:rsidRPr="00247DED">
          <w:rPr>
            <w:rStyle w:val="Hyperlink"/>
            <w:color w:val="000000" w:themeColor="text1"/>
          </w:rPr>
          <w:t>Cukierman, A. (1992). </w:t>
        </w:r>
        <w:r w:rsidRPr="00247DED">
          <w:rPr>
            <w:rStyle w:val="Hyperlink"/>
            <w:i/>
            <w:iCs/>
            <w:color w:val="000000" w:themeColor="text1"/>
          </w:rPr>
          <w:t>Central Bank Strategy, Credibility, and Independence.</w:t>
        </w:r>
        <w:r w:rsidRPr="00247DED">
          <w:rPr>
            <w:rStyle w:val="Hyperlink"/>
            <w:color w:val="000000" w:themeColor="text1"/>
          </w:rPr>
          <w:t> MIT Press.</w:t>
        </w:r>
      </w:hyperlink>
    </w:p>
    <w:p w14:paraId="284671BF" w14:textId="77777777" w:rsidR="00EE146B" w:rsidRPr="00247DED" w:rsidRDefault="00EE146B" w:rsidP="00EE146B">
      <w:pPr>
        <w:numPr>
          <w:ilvl w:val="0"/>
          <w:numId w:val="6"/>
        </w:numPr>
        <w:jc w:val="both"/>
        <w:rPr>
          <w:color w:val="000000" w:themeColor="text1"/>
        </w:rPr>
      </w:pPr>
      <w:hyperlink r:id="rId10" w:tgtFrame="_blank" w:history="1">
        <w:r w:rsidRPr="00247DED">
          <w:rPr>
            <w:rStyle w:val="Hyperlink"/>
            <w:color w:val="000000" w:themeColor="text1"/>
          </w:rPr>
          <w:t>Debelle, G., &amp; Fischer, S. (1994). “How Independent Should a Central Bank Be?” In </w:t>
        </w:r>
        <w:r w:rsidRPr="00247DED">
          <w:rPr>
            <w:rStyle w:val="Hyperlink"/>
            <w:i/>
            <w:iCs/>
            <w:color w:val="000000" w:themeColor="text1"/>
          </w:rPr>
          <w:t>Goals, Guidelines, and Constraints Facing Monetary Policymakers.</w:t>
        </w:r>
      </w:hyperlink>
    </w:p>
    <w:p w14:paraId="31867E22" w14:textId="77777777" w:rsidR="00EE146B" w:rsidRPr="00247DED" w:rsidRDefault="00EE146B" w:rsidP="00EE146B">
      <w:pPr>
        <w:numPr>
          <w:ilvl w:val="0"/>
          <w:numId w:val="6"/>
        </w:numPr>
        <w:jc w:val="both"/>
        <w:rPr>
          <w:color w:val="000000" w:themeColor="text1"/>
        </w:rPr>
      </w:pPr>
      <w:hyperlink r:id="rId11" w:tgtFrame="_blank" w:history="1">
        <w:r w:rsidRPr="00247DED">
          <w:rPr>
            <w:rStyle w:val="Hyperlink"/>
            <w:color w:val="000000" w:themeColor="text1"/>
          </w:rPr>
          <w:t>Freedman, C., &amp; Laxton, D. (2009). “Why Inflation Targeting?” IMF Working Paper 09/86.</w:t>
        </w:r>
      </w:hyperlink>
    </w:p>
    <w:p w14:paraId="0FA1BEB6" w14:textId="77777777" w:rsidR="00EE146B" w:rsidRPr="00247DED" w:rsidRDefault="00EE146B" w:rsidP="00EE146B">
      <w:pPr>
        <w:numPr>
          <w:ilvl w:val="0"/>
          <w:numId w:val="6"/>
        </w:numPr>
        <w:jc w:val="both"/>
        <w:rPr>
          <w:color w:val="000000" w:themeColor="text1"/>
        </w:rPr>
      </w:pPr>
      <w:hyperlink r:id="rId12" w:tgtFrame="_blank" w:history="1">
        <w:r w:rsidRPr="00247DED">
          <w:rPr>
            <w:rStyle w:val="Hyperlink"/>
            <w:color w:val="000000" w:themeColor="text1"/>
          </w:rPr>
          <w:t>Haworth, C., Kostanyan, A., &amp; Laxton, D. (2019). “Transparent Monetary Policy: A History of Inflation Targeting in New Zealand.” LSE Institute of Global Affairs.</w:t>
        </w:r>
      </w:hyperlink>
    </w:p>
    <w:p w14:paraId="4B1E1639" w14:textId="77777777" w:rsidR="00EE146B" w:rsidRPr="00247DED" w:rsidRDefault="00EE146B" w:rsidP="00EE146B">
      <w:pPr>
        <w:numPr>
          <w:ilvl w:val="0"/>
          <w:numId w:val="6"/>
        </w:numPr>
        <w:jc w:val="both"/>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5C4754D5" w14:textId="77777777" w:rsidR="00EE146B" w:rsidRPr="00247DED" w:rsidRDefault="00EE146B" w:rsidP="00EE146B">
      <w:pPr>
        <w:pStyle w:val="ListParagraph"/>
        <w:numPr>
          <w:ilvl w:val="0"/>
          <w:numId w:val="6"/>
        </w:numPr>
        <w:spacing w:before="227" w:line="312" w:lineRule="auto"/>
        <w:ind w:right="524"/>
        <w:jc w:val="both"/>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13"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378E5E33" w14:textId="77777777" w:rsidR="00EE146B" w:rsidRPr="00666BFC" w:rsidRDefault="00EE146B" w:rsidP="00EE146B">
      <w:pPr>
        <w:pStyle w:val="ListParagraph"/>
        <w:numPr>
          <w:ilvl w:val="0"/>
          <w:numId w:val="6"/>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6BC096CD" w14:textId="77777777" w:rsidR="00EE146B" w:rsidRPr="001E08B5" w:rsidRDefault="00EE146B" w:rsidP="00EE146B">
      <w:pPr>
        <w:numPr>
          <w:ilvl w:val="0"/>
          <w:numId w:val="6"/>
        </w:numPr>
        <w:spacing w:before="227" w:line="312" w:lineRule="auto"/>
        <w:ind w:right="524"/>
        <w:jc w:val="both"/>
        <w:rPr>
          <w:color w:val="000000" w:themeColor="text1"/>
        </w:rPr>
      </w:pPr>
      <w:r w:rsidRPr="001E08B5">
        <w:rPr>
          <w:color w:val="000000" w:themeColor="text1"/>
        </w:rPr>
        <w:t>CBA Academy. 2025. </w:t>
      </w:r>
      <w:hyperlink r:id="rId14" w:tgtFrame="_blank" w:history="1">
        <w:r w:rsidRPr="001E08B5">
          <w:rPr>
            <w:rStyle w:val="Hyperlink"/>
            <w:i/>
            <w:iCs/>
            <w:color w:val="000000" w:themeColor="text1"/>
          </w:rPr>
          <w:t>Onboarding Platform.</w:t>
        </w:r>
        <w:r w:rsidRPr="001E08B5">
          <w:rPr>
            <w:rStyle w:val="Hyperlink"/>
            <w:color w:val="000000" w:themeColor="text1"/>
          </w:rPr>
          <w:t> </w:t>
        </w:r>
      </w:hyperlink>
      <w:r w:rsidRPr="001E08B5">
        <w:rPr>
          <w:color w:val="000000" w:themeColor="text1"/>
        </w:rPr>
        <w:t>Central Bank of Armenia, December 2025.</w:t>
      </w:r>
    </w:p>
    <w:p w14:paraId="5666333A" w14:textId="77777777" w:rsidR="00EE146B" w:rsidRPr="00247DED" w:rsidRDefault="00EE146B" w:rsidP="00EE146B">
      <w:pPr>
        <w:jc w:val="both"/>
        <w:rPr>
          <w:color w:val="000000" w:themeColor="text1"/>
        </w:rPr>
      </w:pPr>
      <w:r>
        <w:rPr>
          <w:color w:val="000000" w:themeColor="text1"/>
        </w:rPr>
        <w:lastRenderedPageBreak/>
        <w:pict w14:anchorId="349D8D56">
          <v:rect id="_x0000_i1025" style="width:0;height:1.5pt" o:hralign="center" o:hrstd="t" o:hr="t" fillcolor="#a0a0a0" stroked="f"/>
        </w:pict>
      </w:r>
    </w:p>
    <w:p w14:paraId="29C8228C" w14:textId="77777777" w:rsidR="00EE146B" w:rsidRPr="00247DED" w:rsidRDefault="00EE146B" w:rsidP="00EE146B">
      <w:pPr>
        <w:rPr>
          <w:b/>
          <w:bCs/>
          <w:color w:val="000000" w:themeColor="text1"/>
        </w:rPr>
      </w:pPr>
      <w:r w:rsidRPr="00247DED">
        <w:rPr>
          <w:b/>
          <w:bCs/>
          <w:color w:val="000000" w:themeColor="text1"/>
        </w:rPr>
        <w:t>Script</w:t>
      </w:r>
    </w:p>
    <w:p w14:paraId="7DE20C9A" w14:textId="77777777" w:rsidR="00EE146B" w:rsidRPr="00247DED" w:rsidRDefault="00EE146B" w:rsidP="00EE146B">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 xml:space="preserve">Central Bank of Armenia </w:t>
      </w:r>
      <w:r w:rsidRPr="00247DED">
        <w:rPr>
          <w:color w:val="000000" w:themeColor="text1"/>
        </w:rPr>
        <w:t xml:space="preserve">and a </w:t>
      </w:r>
      <w:r w:rsidRPr="00247DED">
        <w:rPr>
          <w:b/>
          <w:bCs/>
          <w:color w:val="000000" w:themeColor="text1"/>
        </w:rPr>
        <w:t>Level One student at the Global Forecasting School</w:t>
      </w:r>
      <w:r w:rsidRPr="00247DED">
        <w:rPr>
          <w:color w:val="000000" w:themeColor="text1"/>
        </w:rPr>
        <w:t>. In this video, we’ll look at why independence, transparency, and accountability are the cornerstones of credible monetary policy.</w:t>
      </w:r>
    </w:p>
    <w:p w14:paraId="640A758A" w14:textId="77777777" w:rsidR="00EE146B" w:rsidRPr="00247DED" w:rsidRDefault="00EE146B" w:rsidP="00EE146B">
      <w:pPr>
        <w:jc w:val="both"/>
        <w:rPr>
          <w:color w:val="000000" w:themeColor="text1"/>
        </w:rPr>
      </w:pPr>
      <w:r w:rsidRPr="00247DED">
        <w:rPr>
          <w:color w:val="000000" w:themeColor="text1"/>
        </w:rPr>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004C2A3F" w14:textId="77777777" w:rsidR="00EE146B" w:rsidRPr="00247DED" w:rsidRDefault="00EE146B" w:rsidP="00EE146B">
      <w:pPr>
        <w:jc w:val="both"/>
        <w:rPr>
          <w:color w:val="000000" w:themeColor="text1"/>
        </w:rPr>
      </w:pPr>
      <w:r w:rsidRPr="00247DED">
        <w:rPr>
          <w:color w:val="000000" w:themeColor="text1"/>
        </w:rPr>
        <w:t xml:space="preserve">Any framework missing one of these three elements is incomplete. The Bank of England, as shown in </w:t>
      </w:r>
      <w:r w:rsidRPr="00247DED">
        <w:rPr>
          <w:b/>
          <w:bCs/>
          <w:color w:val="000000" w:themeColor="text1"/>
        </w:rPr>
        <w:t>Bernanke (2024)</w:t>
      </w:r>
      <w:r w:rsidRPr="00247DED">
        <w:rPr>
          <w:color w:val="000000" w:themeColor="text1"/>
        </w:rPr>
        <w:t>, never succeeded in developing this third component; hence, it never possessed a coherent forward-looking analytical framework.</w:t>
      </w:r>
    </w:p>
    <w:p w14:paraId="04FD50B6" w14:textId="77777777" w:rsidR="00EE146B" w:rsidRPr="00247DED" w:rsidRDefault="00EE146B" w:rsidP="00EE146B">
      <w:pPr>
        <w:jc w:val="both"/>
        <w:rPr>
          <w:color w:val="000000" w:themeColor="text1"/>
        </w:rPr>
      </w:pPr>
      <w:r w:rsidRPr="00247DED">
        <w:rPr>
          <w:color w:val="000000" w:themeColor="text1"/>
        </w:rPr>
        <w:t>Bernanke’s independent review in 2024 found that the Bank’s system relied heavily on judgment and an outdated model suite centred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050E14D6" w14:textId="77777777" w:rsidR="00EE146B" w:rsidRPr="00247DED" w:rsidRDefault="00EE146B" w:rsidP="00EE146B">
      <w:pPr>
        <w:jc w:val="both"/>
        <w:rPr>
          <w:color w:val="000000" w:themeColor="text1"/>
        </w:rPr>
      </w:pPr>
      <w:r w:rsidRPr="00247DED">
        <w:rPr>
          <w:color w:val="000000" w:themeColor="text1"/>
        </w:rPr>
        <w:t xml:space="preserve">As </w:t>
      </w:r>
      <w:r w:rsidRPr="00247DED">
        <w:rPr>
          <w:b/>
          <w:bCs/>
          <w:color w:val="000000" w:themeColor="text1"/>
        </w:rPr>
        <w:t>Milton Friedman (1968)</w:t>
      </w:r>
      <w:r w:rsidRPr="00247DED">
        <w:rPr>
          <w:color w:val="000000" w:themeColor="text1"/>
        </w:rPr>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084218DE" w14:textId="77777777" w:rsidR="00EE146B" w:rsidRPr="00247DED" w:rsidRDefault="00EE146B" w:rsidP="00EE146B">
      <w:pPr>
        <w:jc w:val="both"/>
        <w:rPr>
          <w:color w:val="000000" w:themeColor="text1"/>
        </w:rPr>
      </w:pPr>
      <w:r w:rsidRPr="00247DED">
        <w:rPr>
          <w:color w:val="000000" w:themeColor="text1"/>
        </w:rPr>
        <w:t xml:space="preserve">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w:t>
      </w:r>
      <w:r w:rsidRPr="00247DED">
        <w:rPr>
          <w:color w:val="000000" w:themeColor="text1"/>
        </w:rPr>
        <w:lastRenderedPageBreak/>
        <w:t>similarly at other large, bureaucratic central banks—meant that forecasts could not reliably guide policy or communicate a credible story to the public.</w:t>
      </w:r>
    </w:p>
    <w:p w14:paraId="6AC0B602" w14:textId="77777777" w:rsidR="00EE146B" w:rsidRPr="00247DED" w:rsidRDefault="00EE146B" w:rsidP="00EE146B">
      <w:pPr>
        <w:jc w:val="both"/>
        <w:rPr>
          <w:color w:val="000000" w:themeColor="text1"/>
        </w:rPr>
      </w:pPr>
      <w:r w:rsidRPr="00247DED">
        <w:rPr>
          <w:color w:val="000000" w:themeColor="text1"/>
        </w:rPr>
        <w:t xml:space="preserve">By contrast, central banks such as the </w:t>
      </w:r>
      <w:r w:rsidRPr="00247DED">
        <w:rPr>
          <w:b/>
          <w:bCs/>
          <w:color w:val="000000" w:themeColor="text1"/>
        </w:rPr>
        <w:t>Reserve Bank of New Zealand</w:t>
      </w:r>
      <w:r w:rsidRPr="00247DED">
        <w:rPr>
          <w:color w:val="000000" w:themeColor="text1"/>
        </w:rPr>
        <w:t xml:space="preserve">, the </w:t>
      </w:r>
      <w:r w:rsidRPr="00247DED">
        <w:rPr>
          <w:b/>
          <w:bCs/>
          <w:color w:val="000000" w:themeColor="text1"/>
        </w:rPr>
        <w:t>National Bank of Georgia</w:t>
      </w:r>
      <w:r w:rsidRPr="00247DED">
        <w:rPr>
          <w:color w:val="000000" w:themeColor="text1"/>
        </w:rPr>
        <w:t xml:space="preserve">, and the </w:t>
      </w:r>
      <w:r w:rsidRPr="00247DED">
        <w:rPr>
          <w:b/>
          <w:bCs/>
          <w:color w:val="000000" w:themeColor="text1"/>
        </w:rPr>
        <w:t>Central Bank of Armenia</w:t>
      </w:r>
      <w:r w:rsidRPr="00247DED">
        <w:rPr>
          <w:color w:val="000000" w:themeColor="text1"/>
        </w:rPr>
        <w:t xml:space="preserve"> built what we describe as Mark I </w:t>
      </w:r>
      <w:proofErr w:type="gramStart"/>
      <w:r w:rsidRPr="00247DED">
        <w:rPr>
          <w:color w:val="000000" w:themeColor="text1"/>
        </w:rPr>
        <w:t>Forecasting</w:t>
      </w:r>
      <w:proofErr w:type="gramEnd"/>
      <w:r w:rsidRPr="00247DED">
        <w:rPr>
          <w:color w:val="000000" w:themeColor="text1"/>
        </w:rPr>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7E136121" w14:textId="77777777" w:rsidR="00EE146B" w:rsidRPr="00247DED" w:rsidRDefault="00EE146B" w:rsidP="00EE146B">
      <w:pPr>
        <w:jc w:val="both"/>
        <w:rPr>
          <w:color w:val="000000" w:themeColor="text1"/>
        </w:rPr>
      </w:pPr>
      <w:r w:rsidRPr="00247DED">
        <w:rPr>
          <w:color w:val="000000" w:themeColor="text1"/>
        </w:rPr>
        <w:t xml:space="preserve">The </w:t>
      </w:r>
      <w:r w:rsidRPr="00247DED">
        <w:rPr>
          <w:b/>
          <w:bCs/>
          <w:color w:val="000000" w:themeColor="text1"/>
        </w:rPr>
        <w:t>Prudent Risk Management Approach to Price Stability (2023)</w:t>
      </w:r>
      <w:r w:rsidRPr="00247DED">
        <w:rPr>
          <w:color w:val="000000" w:themeColor="text1"/>
        </w:rPr>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47DED">
        <w:rPr>
          <w:b/>
          <w:bCs/>
          <w:color w:val="000000" w:themeColor="text1"/>
        </w:rPr>
        <w:t>Bernanke (2024)</w:t>
      </w:r>
      <w:r w:rsidRPr="00247DED">
        <w:rPr>
          <w:color w:val="000000" w:themeColor="text1"/>
        </w:rPr>
        <w:t xml:space="preserve"> was not merely out-of-date—it was conceptually incomplete. It failed to answer the third essential question: what must be done with our instruments to achieve our objectives?</w:t>
      </w:r>
    </w:p>
    <w:p w14:paraId="48822706" w14:textId="77777777" w:rsidR="00EE146B" w:rsidRPr="00247DED" w:rsidRDefault="00EE146B" w:rsidP="00EE146B">
      <w:pPr>
        <w:jc w:val="both"/>
        <w:rPr>
          <w:color w:val="000000" w:themeColor="text1"/>
        </w:rPr>
      </w:pPr>
      <w:r w:rsidRPr="00247DED">
        <w:rPr>
          <w:color w:val="000000" w:themeColor="text1"/>
        </w:rPr>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47DED">
        <w:rPr>
          <w:b/>
          <w:bCs/>
          <w:color w:val="000000" w:themeColor="text1"/>
        </w:rPr>
        <w:t>RBNZ</w:t>
      </w:r>
      <w:r w:rsidRPr="00247DED">
        <w:rPr>
          <w:color w:val="000000" w:themeColor="text1"/>
        </w:rPr>
        <w:t xml:space="preserve">, </w:t>
      </w:r>
      <w:r w:rsidRPr="00247DED">
        <w:rPr>
          <w:b/>
          <w:bCs/>
          <w:color w:val="000000" w:themeColor="text1"/>
        </w:rPr>
        <w:t>NBG</w:t>
      </w:r>
      <w:r w:rsidRPr="00247DED">
        <w:rPr>
          <w:color w:val="000000" w:themeColor="text1"/>
        </w:rPr>
        <w:t xml:space="preserve">, and </w:t>
      </w:r>
      <w:r w:rsidRPr="00247DED">
        <w:rPr>
          <w:b/>
          <w:bCs/>
          <w:color w:val="000000" w:themeColor="text1"/>
        </w:rPr>
        <w:t>CBA</w:t>
      </w:r>
      <w:r w:rsidRPr="00247DED">
        <w:rPr>
          <w:color w:val="000000" w:themeColor="text1"/>
        </w:rPr>
        <w:t xml:space="preserve"> show that smaller, more agile institutions can achieve world-class standards when they combine operational independence with analytical coherence and clear communication.</w:t>
      </w:r>
    </w:p>
    <w:p w14:paraId="441FEAB8" w14:textId="77777777" w:rsidR="00EE146B" w:rsidRPr="00247DED" w:rsidRDefault="00EE146B" w:rsidP="00EE146B">
      <w:pPr>
        <w:jc w:val="both"/>
        <w:rPr>
          <w:color w:val="000000" w:themeColor="text1"/>
        </w:rPr>
      </w:pPr>
      <w:r w:rsidRPr="00247DED">
        <w:rPr>
          <w:color w:val="000000" w:themeColor="text1"/>
        </w:rPr>
        <w:t>Independence gives us the power to act. Transparency and accountability give us the legitimacy to lead. Together, they form the foundation of institutional integrity and public trust.</w:t>
      </w:r>
    </w:p>
    <w:p w14:paraId="177C7102" w14:textId="77777777" w:rsidR="00EE146B" w:rsidRPr="00247DED" w:rsidRDefault="00EE146B" w:rsidP="00EE146B">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Douglas Laxton, Jared Laxton, Asya Kostanyan, and 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744CF77B" w14:textId="01EF6F36" w:rsidR="0072308F" w:rsidRPr="00EE146B" w:rsidRDefault="00EE146B">
      <w:pPr>
        <w:rPr>
          <w:color w:val="000000" w:themeColor="text1"/>
        </w:rPr>
      </w:pPr>
      <w:r w:rsidRPr="00247DED">
        <w:rPr>
          <w:b/>
          <w:bCs/>
          <w:color w:val="000000" w:themeColor="text1"/>
        </w:rPr>
        <w:t>See you there.</w:t>
      </w:r>
    </w:p>
    <w:sectPr w:rsidR="0072308F" w:rsidRPr="00EE146B" w:rsidSect="007230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F08D" w14:textId="77777777" w:rsidR="00F97D45" w:rsidRDefault="00F97D45" w:rsidP="0072308F">
      <w:pPr>
        <w:spacing w:after="0" w:line="240" w:lineRule="auto"/>
      </w:pPr>
      <w:r>
        <w:separator/>
      </w:r>
    </w:p>
  </w:endnote>
  <w:endnote w:type="continuationSeparator" w:id="0">
    <w:p w14:paraId="0501B43C" w14:textId="77777777" w:rsidR="00F97D45" w:rsidRDefault="00F97D45"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2A18" w14:textId="77777777" w:rsidR="00F97D45" w:rsidRDefault="00F97D45" w:rsidP="0072308F">
      <w:pPr>
        <w:spacing w:after="0" w:line="240" w:lineRule="auto"/>
      </w:pPr>
      <w:r>
        <w:separator/>
      </w:r>
    </w:p>
  </w:footnote>
  <w:footnote w:type="continuationSeparator" w:id="0">
    <w:p w14:paraId="25772722" w14:textId="77777777" w:rsidR="00F97D45" w:rsidRDefault="00F97D45"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67B04"/>
    <w:multiLevelType w:val="multilevel"/>
    <w:tmpl w:val="11E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6"/>
  </w:num>
  <w:num w:numId="2" w16cid:durableId="1105033860">
    <w:abstractNumId w:val="7"/>
  </w:num>
  <w:num w:numId="3" w16cid:durableId="578712828">
    <w:abstractNumId w:val="5"/>
  </w:num>
  <w:num w:numId="4" w16cid:durableId="1359043874">
    <w:abstractNumId w:val="3"/>
  </w:num>
  <w:num w:numId="5" w16cid:durableId="1628732888">
    <w:abstractNumId w:val="2"/>
  </w:num>
  <w:num w:numId="6" w16cid:durableId="1224752771">
    <w:abstractNumId w:val="1"/>
  </w:num>
  <w:num w:numId="7" w16cid:durableId="37901818">
    <w:abstractNumId w:val="4"/>
  </w:num>
  <w:num w:numId="8" w16cid:durableId="165140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356ED"/>
    <w:rsid w:val="00087444"/>
    <w:rsid w:val="000B4C75"/>
    <w:rsid w:val="001114B0"/>
    <w:rsid w:val="00170D4F"/>
    <w:rsid w:val="001A42AA"/>
    <w:rsid w:val="0025238C"/>
    <w:rsid w:val="002E60FC"/>
    <w:rsid w:val="002F0FAD"/>
    <w:rsid w:val="00376C67"/>
    <w:rsid w:val="00395121"/>
    <w:rsid w:val="003E0332"/>
    <w:rsid w:val="00456F43"/>
    <w:rsid w:val="004B4DD7"/>
    <w:rsid w:val="004F58F3"/>
    <w:rsid w:val="0056772D"/>
    <w:rsid w:val="005E3895"/>
    <w:rsid w:val="0063792E"/>
    <w:rsid w:val="00672192"/>
    <w:rsid w:val="00691CAC"/>
    <w:rsid w:val="006A4C78"/>
    <w:rsid w:val="00721C29"/>
    <w:rsid w:val="0072308F"/>
    <w:rsid w:val="007A65F6"/>
    <w:rsid w:val="007F690D"/>
    <w:rsid w:val="00852400"/>
    <w:rsid w:val="00852B8C"/>
    <w:rsid w:val="008D7A97"/>
    <w:rsid w:val="009659F4"/>
    <w:rsid w:val="009C48CA"/>
    <w:rsid w:val="00A90AE7"/>
    <w:rsid w:val="00B07A92"/>
    <w:rsid w:val="00B649AB"/>
    <w:rsid w:val="00BC2A6B"/>
    <w:rsid w:val="00CB466F"/>
    <w:rsid w:val="00D43124"/>
    <w:rsid w:val="00EE146B"/>
    <w:rsid w:val="00EE3C01"/>
    <w:rsid w:val="00F860E4"/>
    <w:rsid w:val="00F97D45"/>
    <w:rsid w:val="00FD186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6ae27711ba7b4e0e9bd2a0c1b3557289.pdf" TargetMode="External"/><Relationship Id="rId13" Type="http://schemas.openxmlformats.org/officeDocument/2006/relationships/hyperlink" Target="https://www.thebetterpolicyproject.org/_files/ugd/bf672a_44316592afd24e26add8648beeb507a2.pdf"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ankofengland.co.uk/-/media/boe/files/independent-evaluation-office/2024/forecasting-for-monetary-policy-making-and-communication-at-the-bank-of-england-a-review.pdf" TargetMode="External"/><Relationship Id="rId12" Type="http://schemas.openxmlformats.org/officeDocument/2006/relationships/hyperlink" Target="https://www.lse.ac.uk/iga/assets/documents/reports/Transparent-Monetary-Policy-A-History-of-Inflation-Targeting-in-New-Zealand.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mf.org/external/pubs/ft/wp/2009/wp0986.pd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nber.org/system/files/working_papers/w4646/w4646.pdf"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mitpress.mit.edu/9780262539165/central-bank-strategy-credibility-and-independence/" TargetMode="External"/><Relationship Id="rId14" Type="http://schemas.openxmlformats.org/officeDocument/2006/relationships/hyperlink" Target="https://www.cba.am/en"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1776</Words>
  <Characters>10126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13</cp:revision>
  <dcterms:created xsi:type="dcterms:W3CDTF">2025-11-07T14:25:00Z</dcterms:created>
  <dcterms:modified xsi:type="dcterms:W3CDTF">2025-11-28T17:26:00Z</dcterms:modified>
</cp:coreProperties>
</file>