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59DF" w14:textId="233F9C6F" w:rsidR="000356ED" w:rsidRDefault="00C178F7" w:rsidP="00D43124">
      <w:pPr>
        <w:jc w:val="center"/>
        <w:rPr>
          <w:b/>
          <w:bCs/>
          <w:color w:val="156082" w:themeColor="accent1"/>
          <w:sz w:val="28"/>
          <w:szCs w:val="28"/>
        </w:rPr>
      </w:pPr>
      <w:r w:rsidRPr="00C178F7">
        <w:rPr>
          <w:b/>
          <w:bCs/>
          <w:color w:val="156082" w:themeColor="accent1"/>
          <w:sz w:val="28"/>
          <w:szCs w:val="28"/>
        </w:rPr>
        <w:t>When the World Changed: The Limits of FPAS Mark I</w:t>
      </w:r>
    </w:p>
    <w:p w14:paraId="5B0CB36A" w14:textId="77777777" w:rsidR="00C178F7" w:rsidRDefault="00C178F7" w:rsidP="00D43124">
      <w:pPr>
        <w:jc w:val="center"/>
        <w:rPr>
          <w:b/>
          <w:bCs/>
        </w:rPr>
      </w:pPr>
    </w:p>
    <w:p w14:paraId="47C044A7" w14:textId="77777777" w:rsidR="00A9766E" w:rsidRPr="00247DED" w:rsidRDefault="00A9766E" w:rsidP="00A9766E">
      <w:pPr>
        <w:rPr>
          <w:b/>
          <w:bCs/>
          <w:color w:val="000000" w:themeColor="text1"/>
        </w:rPr>
      </w:pPr>
      <w:r w:rsidRPr="00247DED">
        <w:rPr>
          <w:b/>
          <w:bCs/>
          <w:color w:val="000000" w:themeColor="text1"/>
        </w:rPr>
        <w:t>Susanna Grigoryan</w:t>
      </w:r>
    </w:p>
    <w:p w14:paraId="3616964E" w14:textId="77777777" w:rsidR="00A9766E" w:rsidRPr="00247DED" w:rsidRDefault="00A9766E" w:rsidP="00A9766E">
      <w:pPr>
        <w:rPr>
          <w:b/>
          <w:bCs/>
          <w:color w:val="000000" w:themeColor="text1"/>
        </w:rPr>
      </w:pPr>
      <w:r w:rsidRPr="00247DED">
        <w:rPr>
          <w:b/>
          <w:bCs/>
          <w:color w:val="000000" w:themeColor="text1"/>
        </w:rPr>
        <w:t>Recent Staff Member, Monetary Policy Department, Central Bank of Armenia</w:t>
      </w:r>
    </w:p>
    <w:p w14:paraId="1B910DCC" w14:textId="77777777" w:rsidR="00A9766E" w:rsidRPr="00247DED" w:rsidRDefault="00A9766E" w:rsidP="00A9766E">
      <w:pPr>
        <w:rPr>
          <w:b/>
          <w:bCs/>
          <w:color w:val="000000" w:themeColor="text1"/>
        </w:rPr>
      </w:pPr>
      <w:r w:rsidRPr="00247DED">
        <w:rPr>
          <w:b/>
          <w:bCs/>
          <w:color w:val="000000" w:themeColor="text1"/>
        </w:rPr>
        <w:t>Student, Global Forecasting School</w:t>
      </w:r>
    </w:p>
    <w:p w14:paraId="26CB0E52" w14:textId="77777777" w:rsidR="00A9766E" w:rsidRPr="00247DED" w:rsidRDefault="00A9766E" w:rsidP="00A9766E">
      <w:pPr>
        <w:rPr>
          <w:b/>
          <w:bCs/>
          <w:color w:val="000000" w:themeColor="text1"/>
        </w:rPr>
      </w:pPr>
      <w:r w:rsidRPr="00247DED">
        <w:rPr>
          <w:b/>
          <w:bCs/>
          <w:color w:val="000000" w:themeColor="text1"/>
        </w:rPr>
        <w:t>November 2025</w:t>
      </w:r>
    </w:p>
    <w:p w14:paraId="56F13701" w14:textId="77777777" w:rsidR="00A9766E" w:rsidRPr="00247DED" w:rsidRDefault="00A9766E" w:rsidP="00A9766E">
      <w:pPr>
        <w:rPr>
          <w:b/>
          <w:bCs/>
          <w:color w:val="000000" w:themeColor="text1"/>
        </w:rPr>
      </w:pPr>
    </w:p>
    <w:p w14:paraId="7ED80BAF" w14:textId="77777777" w:rsidR="00A9766E" w:rsidRPr="00247DED" w:rsidRDefault="00A9766E" w:rsidP="00A9766E">
      <w:pPr>
        <w:rPr>
          <w:b/>
          <w:bCs/>
          <w:color w:val="000000" w:themeColor="text1"/>
        </w:rPr>
      </w:pPr>
      <w:r w:rsidRPr="00247DED">
        <w:rPr>
          <w:b/>
          <w:bCs/>
          <w:color w:val="000000" w:themeColor="text1"/>
        </w:rPr>
        <w:t>Note</w:t>
      </w:r>
    </w:p>
    <w:p w14:paraId="41452F1C" w14:textId="77777777" w:rsidR="00A9766E" w:rsidRPr="00247DED" w:rsidRDefault="00A9766E" w:rsidP="00A9766E">
      <w:pPr>
        <w:jc w:val="both"/>
        <w:rPr>
          <w:b/>
          <w:bCs/>
          <w:color w:val="000000" w:themeColor="text1"/>
        </w:rPr>
      </w:pPr>
      <w:r w:rsidRPr="00247DED">
        <w:rPr>
          <w:b/>
          <w:bCs/>
          <w:color w:val="000000" w:themeColor="text1"/>
        </w:rPr>
        <w:t>1. FPAS Mark I and Its Strengths</w:t>
      </w:r>
    </w:p>
    <w:p w14:paraId="162D2CCD" w14:textId="77777777" w:rsidR="00A9766E" w:rsidRPr="00247DED" w:rsidRDefault="00A9766E" w:rsidP="00A9766E">
      <w:pPr>
        <w:jc w:val="both"/>
        <w:rPr>
          <w:color w:val="000000" w:themeColor="text1"/>
        </w:rPr>
      </w:pPr>
      <w:r w:rsidRPr="00247DED">
        <w:rPr>
          <w:color w:val="000000" w:themeColor="text1"/>
        </w:rP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E1C6FF7" w14:textId="77777777" w:rsidR="00A9766E" w:rsidRPr="00247DED" w:rsidRDefault="00A9766E" w:rsidP="00A9766E">
      <w:pPr>
        <w:jc w:val="both"/>
        <w:rPr>
          <w:b/>
          <w:bCs/>
          <w:color w:val="000000" w:themeColor="text1"/>
        </w:rPr>
      </w:pPr>
      <w:r w:rsidRPr="00247DED">
        <w:rPr>
          <w:b/>
          <w:bCs/>
          <w:color w:val="000000" w:themeColor="text1"/>
        </w:rPr>
        <w:t>2. The Three Layers of Uncertainty</w:t>
      </w:r>
    </w:p>
    <w:p w14:paraId="0400391E" w14:textId="77777777" w:rsidR="00A9766E" w:rsidRPr="00247DED" w:rsidRDefault="00A9766E" w:rsidP="00A9766E">
      <w:pPr>
        <w:jc w:val="both"/>
        <w:rPr>
          <w:color w:val="000000" w:themeColor="text1"/>
        </w:rPr>
      </w:pPr>
      <w:r w:rsidRPr="00247DED">
        <w:rPr>
          <w:color w:val="000000" w:themeColor="text1"/>
        </w:rPr>
        <w:t>The world that FPAS Mark I was designed for assumed a stable structure and modest, mean- reverting shocks. But beginning in the late 2010s, three forms of uncertainty began to dominate policymaking:</w:t>
      </w:r>
    </w:p>
    <w:p w14:paraId="179BD3F8" w14:textId="77777777" w:rsidR="00A9766E" w:rsidRPr="00247DED" w:rsidRDefault="00A9766E" w:rsidP="00A9766E">
      <w:pPr>
        <w:pStyle w:val="ListParagraph"/>
        <w:numPr>
          <w:ilvl w:val="0"/>
          <w:numId w:val="6"/>
        </w:numPr>
        <w:jc w:val="both"/>
        <w:rPr>
          <w:color w:val="000000" w:themeColor="text1"/>
        </w:rPr>
      </w:pPr>
      <w:r w:rsidRPr="00247DED">
        <w:rPr>
          <w:color w:val="000000" w:themeColor="text1"/>
        </w:rPr>
        <w:t>Structural uncertainty - permanent changes to the global economy caused by COVID-related shocks, geopolitical realignments, and deglobalization.</w:t>
      </w:r>
    </w:p>
    <w:p w14:paraId="501FA10B" w14:textId="77777777" w:rsidR="00A9766E" w:rsidRPr="00247DED" w:rsidRDefault="00A9766E" w:rsidP="00A9766E">
      <w:pPr>
        <w:pStyle w:val="ListParagraph"/>
        <w:numPr>
          <w:ilvl w:val="0"/>
          <w:numId w:val="6"/>
        </w:numPr>
        <w:jc w:val="both"/>
        <w:rPr>
          <w:color w:val="000000" w:themeColor="text1"/>
        </w:rPr>
      </w:pPr>
      <w:r w:rsidRPr="00247DED">
        <w:rPr>
          <w:color w:val="000000" w:themeColor="text1"/>
        </w:rPr>
        <w:t>Model uncertainty - the erosion of stable relationships such as the Phillips Curve, with nonlinearities, supply constraints, and credibility effects.</w:t>
      </w:r>
    </w:p>
    <w:p w14:paraId="6871F591" w14:textId="77777777" w:rsidR="00A9766E" w:rsidRPr="00247DED" w:rsidRDefault="00A9766E" w:rsidP="00A9766E">
      <w:pPr>
        <w:pStyle w:val="ListParagraph"/>
        <w:numPr>
          <w:ilvl w:val="0"/>
          <w:numId w:val="6"/>
        </w:numPr>
        <w:jc w:val="both"/>
        <w:rPr>
          <w:color w:val="000000" w:themeColor="text1"/>
        </w:rPr>
      </w:pPr>
      <w:r w:rsidRPr="00247DED">
        <w:rPr>
          <w:color w:val="000000" w:themeColor="text1"/>
        </w:rPr>
        <w:t>Policy-credibility uncertainty - the risk that inflation expectations could de-anchor when shocks persist and communication loses clarity.</w:t>
      </w:r>
    </w:p>
    <w:p w14:paraId="76E69BF5" w14:textId="77777777" w:rsidR="00A9766E" w:rsidRPr="00247DED" w:rsidRDefault="00A9766E" w:rsidP="00A9766E">
      <w:pPr>
        <w:jc w:val="both"/>
        <w:rPr>
          <w:color w:val="000000" w:themeColor="text1"/>
        </w:rPr>
      </w:pPr>
      <w:r w:rsidRPr="00247DED">
        <w:rPr>
          <w:color w:val="000000" w:themeColor="text1"/>
        </w:rPr>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07F9EF82" w14:textId="77777777" w:rsidR="00A9766E" w:rsidRPr="00247DED" w:rsidRDefault="00A9766E" w:rsidP="00A9766E">
      <w:pPr>
        <w:jc w:val="both"/>
        <w:rPr>
          <w:b/>
          <w:bCs/>
          <w:color w:val="000000" w:themeColor="text1"/>
        </w:rPr>
      </w:pPr>
      <w:r w:rsidRPr="00247DED">
        <w:rPr>
          <w:b/>
          <w:bCs/>
          <w:color w:val="000000" w:themeColor="text1"/>
        </w:rPr>
        <w:t>3. The Limits of Baseline Determinism</w:t>
      </w:r>
    </w:p>
    <w:p w14:paraId="1A65F81D" w14:textId="77777777" w:rsidR="00A9766E" w:rsidRPr="00247DED" w:rsidRDefault="00A9766E" w:rsidP="00A9766E">
      <w:pPr>
        <w:jc w:val="both"/>
        <w:rPr>
          <w:color w:val="000000" w:themeColor="text1"/>
        </w:rPr>
      </w:pPr>
      <w:r w:rsidRPr="00247DED">
        <w:rPr>
          <w:color w:val="000000" w:themeColor="text1"/>
        </w:rPr>
        <w:lastRenderedPageBreak/>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54EC389D" w14:textId="77777777" w:rsidR="00A9766E" w:rsidRPr="00247DED" w:rsidRDefault="00A9766E" w:rsidP="00A9766E">
      <w:pPr>
        <w:jc w:val="both"/>
        <w:rPr>
          <w:color w:val="000000" w:themeColor="text1"/>
        </w:rPr>
      </w:pPr>
      <w:r w:rsidRPr="00247DED">
        <w:rPr>
          <w:color w:val="000000" w:themeColor="text1"/>
        </w:rPr>
        <w:t>A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risks-not just point forecasts.</w:t>
      </w:r>
    </w:p>
    <w:p w14:paraId="0544D533" w14:textId="77777777" w:rsidR="00A9766E" w:rsidRPr="00247DED" w:rsidRDefault="00A9766E" w:rsidP="00A9766E">
      <w:pPr>
        <w:jc w:val="both"/>
        <w:rPr>
          <w:b/>
          <w:bCs/>
          <w:color w:val="000000" w:themeColor="text1"/>
        </w:rPr>
      </w:pPr>
      <w:r w:rsidRPr="00247DED">
        <w:rPr>
          <w:b/>
          <w:bCs/>
          <w:color w:val="000000" w:themeColor="text1"/>
        </w:rPr>
        <w:t>4. Lessons from 2020–2023</w:t>
      </w:r>
    </w:p>
    <w:p w14:paraId="3CB3CA2A" w14:textId="77777777" w:rsidR="00A9766E" w:rsidRPr="00247DED" w:rsidRDefault="00A9766E" w:rsidP="00A9766E">
      <w:pPr>
        <w:jc w:val="both"/>
        <w:rPr>
          <w:color w:val="000000" w:themeColor="text1"/>
        </w:rPr>
      </w:pPr>
      <w:r w:rsidRPr="00247DED">
        <w:rPr>
          <w:color w:val="000000" w:themeColor="text1"/>
        </w:rPr>
        <w:t>The pandemic and subsequent global supply shocks, as well as geopolitical tensions,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585F6F6B" w14:textId="77777777" w:rsidR="00A9766E" w:rsidRPr="00247DED" w:rsidRDefault="00A9766E" w:rsidP="00A9766E">
      <w:pPr>
        <w:jc w:val="both"/>
        <w:rPr>
          <w:color w:val="000000" w:themeColor="text1"/>
        </w:rPr>
      </w:pPr>
      <w:r w:rsidRPr="00247DED">
        <w:rPr>
          <w:color w:val="000000" w:themeColor="text1"/>
        </w:rPr>
        <w:t>The experience reaffirmed that policy under uncertainty cannot be based on a single optimal path. Instead, it must recognize and manage the spectrum of possible risks that define the new environment.</w:t>
      </w:r>
    </w:p>
    <w:p w14:paraId="6042449F" w14:textId="77777777" w:rsidR="00A9766E" w:rsidRPr="00247DED" w:rsidRDefault="00A9766E" w:rsidP="00A9766E">
      <w:pPr>
        <w:jc w:val="both"/>
        <w:rPr>
          <w:b/>
          <w:bCs/>
          <w:color w:val="000000" w:themeColor="text1"/>
        </w:rPr>
      </w:pPr>
      <w:r w:rsidRPr="00247DED">
        <w:rPr>
          <w:b/>
          <w:bCs/>
          <w:color w:val="000000" w:themeColor="text1"/>
        </w:rPr>
        <w:t>5. Implications – Toward FPAS Mark II</w:t>
      </w:r>
    </w:p>
    <w:p w14:paraId="694F5F0D" w14:textId="77777777" w:rsidR="00A9766E" w:rsidRPr="00247DED" w:rsidRDefault="00A9766E" w:rsidP="00A9766E">
      <w:pPr>
        <w:jc w:val="both"/>
        <w:rPr>
          <w:color w:val="000000" w:themeColor="text1"/>
        </w:rPr>
      </w:pPr>
      <w:r w:rsidRPr="00247DED">
        <w:rPr>
          <w:color w:val="000000" w:themeColor="text1"/>
        </w:rPr>
        <w:t>The recognition that uncertainty is not a temporary disturbance,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guiding principle is prudence: minimizing potential regret rather than optimizing a single baseline scenario. By embracing uncertainty, FPAS Mark II transforms it from a source of vulnerability into a foundation for robust policymaking.</w:t>
      </w:r>
    </w:p>
    <w:p w14:paraId="24FE6704" w14:textId="77777777" w:rsidR="00A9766E" w:rsidRDefault="00A9766E" w:rsidP="00A9766E">
      <w:pPr>
        <w:rPr>
          <w:b/>
          <w:bCs/>
          <w:color w:val="000000" w:themeColor="text1"/>
        </w:rPr>
      </w:pPr>
    </w:p>
    <w:p w14:paraId="4EC2D081" w14:textId="77777777" w:rsidR="00A9766E" w:rsidRPr="00247DED" w:rsidRDefault="00A9766E" w:rsidP="00A9766E">
      <w:pPr>
        <w:rPr>
          <w:b/>
          <w:bCs/>
          <w:color w:val="000000" w:themeColor="text1"/>
        </w:rPr>
      </w:pPr>
      <w:r w:rsidRPr="00247DED">
        <w:rPr>
          <w:b/>
          <w:bCs/>
          <w:color w:val="000000" w:themeColor="text1"/>
        </w:rPr>
        <w:lastRenderedPageBreak/>
        <w:t>Literature &amp; Further Reading</w:t>
      </w:r>
    </w:p>
    <w:p w14:paraId="22C5CCB7" w14:textId="77777777" w:rsidR="00A9766E" w:rsidRPr="00247DED" w:rsidRDefault="00A9766E" w:rsidP="00A9766E">
      <w:pPr>
        <w:numPr>
          <w:ilvl w:val="0"/>
          <w:numId w:val="5"/>
        </w:numPr>
        <w:tabs>
          <w:tab w:val="clear" w:pos="720"/>
          <w:tab w:val="num" w:pos="360"/>
        </w:tabs>
        <w:ind w:left="360"/>
        <w:jc w:val="both"/>
        <w:rPr>
          <w:color w:val="000000" w:themeColor="text1"/>
        </w:rPr>
      </w:pPr>
      <w:hyperlink r:id="rId7"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194B58E2" w14:textId="77777777" w:rsidR="00A9766E" w:rsidRPr="00247DED" w:rsidRDefault="00A9766E" w:rsidP="00A9766E">
      <w:pPr>
        <w:numPr>
          <w:ilvl w:val="0"/>
          <w:numId w:val="5"/>
        </w:numPr>
        <w:tabs>
          <w:tab w:val="clear" w:pos="720"/>
          <w:tab w:val="num" w:pos="360"/>
        </w:tabs>
        <w:ind w:left="360"/>
        <w:jc w:val="both"/>
        <w:rPr>
          <w:color w:val="000000" w:themeColor="text1"/>
        </w:rPr>
      </w:pPr>
      <w:hyperlink r:id="rId8"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7A9D85C1" w14:textId="77777777" w:rsidR="00A9766E" w:rsidRPr="00247DED" w:rsidRDefault="00A9766E" w:rsidP="00A9766E">
      <w:pPr>
        <w:pStyle w:val="ListParagraph"/>
        <w:numPr>
          <w:ilvl w:val="0"/>
          <w:numId w:val="5"/>
        </w:numPr>
        <w:tabs>
          <w:tab w:val="clear" w:pos="720"/>
          <w:tab w:val="num" w:pos="360"/>
        </w:tabs>
        <w:spacing w:before="227" w:line="312" w:lineRule="auto"/>
        <w:ind w:left="360"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08212B09" w14:textId="77777777" w:rsidR="00A9766E" w:rsidRPr="00247DED" w:rsidRDefault="00A9766E" w:rsidP="00A9766E">
      <w:pPr>
        <w:numPr>
          <w:ilvl w:val="0"/>
          <w:numId w:val="5"/>
        </w:numPr>
        <w:tabs>
          <w:tab w:val="clear" w:pos="720"/>
          <w:tab w:val="num" w:pos="360"/>
        </w:tabs>
        <w:ind w:left="360"/>
        <w:jc w:val="both"/>
        <w:rPr>
          <w:color w:val="000000" w:themeColor="text1"/>
        </w:rPr>
      </w:pPr>
      <w:hyperlink r:id="rId9" w:tgtFrame="_blank" w:history="1">
        <w:r w:rsidRPr="00247DED">
          <w:rPr>
            <w:rStyle w:val="Hyperlink"/>
            <w:color w:val="000000" w:themeColor="text1"/>
          </w:rPr>
          <w:t>Freedman, C., &amp; Laxton, D. (2009). “Why Inflation Targeting?” IMF Working Paper 09/86.</w:t>
        </w:r>
      </w:hyperlink>
    </w:p>
    <w:p w14:paraId="7B7CBDBA" w14:textId="77777777" w:rsidR="00A9766E" w:rsidRPr="00666BFC" w:rsidRDefault="00A9766E" w:rsidP="00A9766E">
      <w:pPr>
        <w:numPr>
          <w:ilvl w:val="0"/>
          <w:numId w:val="5"/>
        </w:numPr>
        <w:tabs>
          <w:tab w:val="clear" w:pos="720"/>
          <w:tab w:val="num" w:pos="360"/>
        </w:tabs>
        <w:ind w:left="360"/>
        <w:jc w:val="both"/>
        <w:rPr>
          <w:color w:val="000000" w:themeColor="text1"/>
        </w:rPr>
      </w:pPr>
      <w:r w:rsidRPr="00247DED">
        <w:rPr>
          <w:color w:val="000000" w:themeColor="text1"/>
        </w:rPr>
        <w:t>CBA Academy. 2025. </w:t>
      </w:r>
      <w:hyperlink r:id="rId10"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7B877104" w14:textId="77777777" w:rsidR="00A9766E" w:rsidRPr="00247DED" w:rsidRDefault="00A9766E" w:rsidP="00A9766E">
      <w:pPr>
        <w:rPr>
          <w:color w:val="000000" w:themeColor="text1"/>
        </w:rPr>
      </w:pPr>
      <w:r>
        <w:rPr>
          <w:color w:val="000000" w:themeColor="text1"/>
        </w:rPr>
        <w:pict w14:anchorId="4084F538">
          <v:rect id="_x0000_i1025" style="width:0;height:1.5pt" o:hralign="center" o:hrstd="t" o:hr="t" fillcolor="#a0a0a0" stroked="f"/>
        </w:pict>
      </w:r>
    </w:p>
    <w:p w14:paraId="1607AEC0" w14:textId="77777777" w:rsidR="00A9766E" w:rsidRPr="00247DED" w:rsidRDefault="00A9766E" w:rsidP="00A9766E">
      <w:pPr>
        <w:rPr>
          <w:b/>
          <w:bCs/>
          <w:color w:val="000000" w:themeColor="text1"/>
        </w:rPr>
      </w:pPr>
      <w:r w:rsidRPr="00247DED">
        <w:rPr>
          <w:b/>
          <w:bCs/>
          <w:color w:val="000000" w:themeColor="text1"/>
        </w:rPr>
        <w:t>Script</w:t>
      </w:r>
    </w:p>
    <w:p w14:paraId="3FC7BED0" w14:textId="77777777" w:rsidR="00A9766E" w:rsidRPr="00247DED" w:rsidRDefault="00A9766E" w:rsidP="00A9766E">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In this video, we’ll explore how the world changed—and why traditional forecasting systems could no longer keep up.</w:t>
      </w:r>
    </w:p>
    <w:p w14:paraId="6CEFFAD7" w14:textId="77777777" w:rsidR="00A9766E" w:rsidRPr="00247DED" w:rsidRDefault="00A9766E" w:rsidP="00A9766E">
      <w:pPr>
        <w:jc w:val="both"/>
        <w:rPr>
          <w:color w:val="000000" w:themeColor="text1"/>
        </w:rPr>
      </w:pPr>
      <w:r w:rsidRPr="00247DED">
        <w:rPr>
          <w:color w:val="000000" w:themeColor="text1"/>
        </w:rPr>
        <w:t>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vulnerabilities in these deterministic systems. The experience underscored a profound truth: the world had become too uncertain for single-baseline policymaking.</w:t>
      </w:r>
    </w:p>
    <w:p w14:paraId="4D76FCAC" w14:textId="77777777" w:rsidR="00A9766E" w:rsidRPr="00247DED" w:rsidRDefault="00A9766E" w:rsidP="00A9766E">
      <w:pPr>
        <w:jc w:val="both"/>
        <w:rPr>
          <w:color w:val="000000" w:themeColor="text1"/>
        </w:rPr>
      </w:pPr>
      <w:r w:rsidRPr="00247DED">
        <w:rPr>
          <w:color w:val="000000" w:themeColor="text1"/>
        </w:rPr>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could be heading, and policy recommendations could be evaluated against </w:t>
      </w:r>
      <w:r w:rsidRPr="00247DED">
        <w:rPr>
          <w:color w:val="000000" w:themeColor="text1"/>
        </w:rPr>
        <w:lastRenderedPageBreak/>
        <w:t>this most-likely outlook. For two decades, this approach supported credible inflation-targeting regimes across advanced and emerging-market economies.</w:t>
      </w:r>
    </w:p>
    <w:p w14:paraId="68C821FB" w14:textId="77777777" w:rsidR="00A9766E" w:rsidRPr="00247DED" w:rsidRDefault="00A9766E" w:rsidP="00A9766E">
      <w:pPr>
        <w:jc w:val="both"/>
        <w:rPr>
          <w:color w:val="000000" w:themeColor="text1"/>
        </w:rPr>
      </w:pPr>
      <w:r w:rsidRPr="00247DED">
        <w:rPr>
          <w:color w:val="000000" w:themeColor="text1"/>
        </w:rPr>
        <w:t>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relatively 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 optimize and communicate around one “most-likely” scenario—became untenable.</w:t>
      </w:r>
    </w:p>
    <w:p w14:paraId="60CC8FAB" w14:textId="77777777" w:rsidR="00A9766E" w:rsidRPr="00247DED" w:rsidRDefault="00A9766E" w:rsidP="00A9766E">
      <w:pPr>
        <w:jc w:val="both"/>
        <w:rPr>
          <w:color w:val="000000" w:themeColor="text1"/>
        </w:rPr>
      </w:pPr>
      <w:r w:rsidRPr="00247DED">
        <w:rPr>
          <w:color w:val="000000" w:themeColor="text1"/>
        </w:rPr>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w:t>
      </w:r>
      <w:proofErr w:type="gramStart"/>
      <w:r w:rsidRPr="00247DED">
        <w:rPr>
          <w:color w:val="000000" w:themeColor="text1"/>
        </w:rPr>
        <w:t>follow</w:t>
      </w:r>
      <w:proofErr w:type="gramEnd"/>
      <w:r w:rsidRPr="00247DED">
        <w:rPr>
          <w:color w:val="000000" w:themeColor="text1"/>
        </w:rPr>
        <w:t xml:space="preserve"> and it is impossible to derive a most “plausible scenario.”. Instead, central banks face a range of possible outcomes, many of them shaped by </w:t>
      </w:r>
      <w:proofErr w:type="spellStart"/>
      <w:r w:rsidRPr="00247DED">
        <w:rPr>
          <w:color w:val="000000" w:themeColor="text1"/>
        </w:rPr>
        <w:t>behavioral</w:t>
      </w:r>
      <w:proofErr w:type="spellEnd"/>
      <w:r w:rsidRPr="00247DED">
        <w:rPr>
          <w:color w:val="000000" w:themeColor="text1"/>
        </w:rPr>
        <w:t xml:space="preserve"> </w:t>
      </w:r>
      <w:proofErr w:type="gramStart"/>
      <w:r w:rsidRPr="00247DED">
        <w:rPr>
          <w:color w:val="000000" w:themeColor="text1"/>
        </w:rPr>
        <w:t>feedbacks</w:t>
      </w:r>
      <w:proofErr w:type="gramEnd"/>
      <w:r w:rsidRPr="00247DED">
        <w:rPr>
          <w:color w:val="000000" w:themeColor="text1"/>
        </w:rPr>
        <w:t>,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22B08C22" w14:textId="77777777" w:rsidR="00A9766E" w:rsidRPr="00247DED" w:rsidRDefault="00A9766E" w:rsidP="00A9766E">
      <w:pPr>
        <w:jc w:val="both"/>
        <w:rPr>
          <w:color w:val="000000" w:themeColor="text1"/>
        </w:rPr>
      </w:pPr>
      <w:r w:rsidRPr="00247DED">
        <w:rPr>
          <w:color w:val="000000" w:themeColor="text1"/>
        </w:rPr>
        <w:t>The pandemic and subsequent global supply shocks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69FCB53D" w14:textId="77777777" w:rsidR="00A9766E" w:rsidRPr="00247DED" w:rsidRDefault="00A9766E" w:rsidP="00A9766E">
      <w:pPr>
        <w:jc w:val="both"/>
        <w:rPr>
          <w:color w:val="000000" w:themeColor="text1"/>
        </w:rPr>
      </w:pPr>
      <w:r w:rsidRPr="00247DED">
        <w:rPr>
          <w:color w:val="000000" w:themeColor="text1"/>
        </w:rPr>
        <w:lastRenderedPageBreak/>
        <w:t xml:space="preserve">The recognition that uncertainty is not a temporary disturbance, but a structural condition led to a profound rethinking of the FPAS architecture. The </w:t>
      </w:r>
      <w:r w:rsidRPr="00247DED">
        <w:rPr>
          <w:b/>
          <w:bCs/>
          <w:color w:val="000000" w:themeColor="text1"/>
        </w:rPr>
        <w:t>Central Bank of Armenia</w:t>
      </w:r>
      <w:r w:rsidRPr="00247DED">
        <w:rPr>
          <w:color w:val="000000" w:themeColor="text1"/>
        </w:rPr>
        <w:t xml:space="preserve">, drawing on lessons from global experience, developed the </w:t>
      </w:r>
      <w:r w:rsidRPr="00247DED">
        <w:rPr>
          <w:b/>
          <w:bCs/>
          <w:color w:val="000000" w:themeColor="text1"/>
        </w:rPr>
        <w:t>Prudent Risk Management Approach to Price Stability—FPAS Mark II</w:t>
      </w:r>
      <w:r w:rsidRPr="00247DED">
        <w:rPr>
          <w:color w:val="000000" w:themeColor="text1"/>
        </w:rPr>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1EC1CA8A" w14:textId="77777777" w:rsidR="00A9766E" w:rsidRPr="00247DED" w:rsidRDefault="00A9766E" w:rsidP="00A9766E">
      <w:pPr>
        <w:jc w:val="both"/>
        <w:rPr>
          <w:color w:val="000000" w:themeColor="text1"/>
        </w:rPr>
      </w:pPr>
      <w:r w:rsidRPr="00247DED">
        <w:rPr>
          <w:color w:val="000000" w:themeColor="text1"/>
        </w:rPr>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0B83E0C2" w14:textId="77777777" w:rsidR="00A9766E" w:rsidRPr="00247DED" w:rsidRDefault="00A9766E" w:rsidP="00A9766E">
      <w:pPr>
        <w:jc w:val="both"/>
        <w:rPr>
          <w:color w:val="000000" w:themeColor="text1"/>
        </w:rPr>
      </w:pPr>
      <w:r w:rsidRPr="00247DED">
        <w:rPr>
          <w:color w:val="000000" w:themeColor="text1"/>
        </w:rPr>
        <w:t xml:space="preserve">FPAS Mark I was built on the idea that we could predict the most likely path for the economy and optimize policy around it. That worked relatively well when the world was stable. But once multiple shocks hit simultaneously, the idea of a single baseline became unrealistic. We needed a system that could manage uncertainty, not ignore it. That’s why the Central Bank of Armenia developed the </w:t>
      </w:r>
      <w:r w:rsidRPr="00247DED">
        <w:rPr>
          <w:b/>
          <w:bCs/>
          <w:color w:val="000000" w:themeColor="text1"/>
        </w:rPr>
        <w:t>Prudent Risk Management Approach to Price Stability</w:t>
      </w:r>
      <w:r w:rsidRPr="00247DED">
        <w:rPr>
          <w:color w:val="000000" w:themeColor="text1"/>
        </w:rPr>
        <w:t>, or FPAS Mark II. It’s a framework designed for a world of uncertainty, where policy is not about optimizing a single baseline forecast but about managing risks and minimizing regret. By embracing this mindset, policymaking institutions can make policy decisions that remain credible, flexible, and forward-looking—no matter how unpredictable the world becomes.</w:t>
      </w:r>
    </w:p>
    <w:p w14:paraId="5D523709" w14:textId="77777777" w:rsidR="00A9766E" w:rsidRPr="00247DED" w:rsidRDefault="00A9766E" w:rsidP="00A9766E">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Douglas Laxton, Jared Laxton, Asya Kostanyan, and 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361635D4" w14:textId="77777777" w:rsidR="00A9766E" w:rsidRPr="00247DED" w:rsidRDefault="00A9766E" w:rsidP="00A9766E">
      <w:pPr>
        <w:rPr>
          <w:color w:val="000000" w:themeColor="text1"/>
        </w:rPr>
      </w:pPr>
      <w:r w:rsidRPr="00247DED">
        <w:rPr>
          <w:b/>
          <w:bCs/>
          <w:color w:val="000000" w:themeColor="text1"/>
        </w:rPr>
        <w:t>See you there.</w:t>
      </w:r>
    </w:p>
    <w:p w14:paraId="744CF77B" w14:textId="77777777" w:rsidR="0072308F" w:rsidRDefault="0072308F"/>
    <w:sectPr w:rsidR="0072308F" w:rsidSect="0072308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E421B" w14:textId="77777777" w:rsidR="00FC1C94" w:rsidRDefault="00FC1C94" w:rsidP="0072308F">
      <w:pPr>
        <w:spacing w:after="0" w:line="240" w:lineRule="auto"/>
      </w:pPr>
      <w:r>
        <w:separator/>
      </w:r>
    </w:p>
  </w:endnote>
  <w:endnote w:type="continuationSeparator" w:id="0">
    <w:p w14:paraId="61C979C7" w14:textId="77777777" w:rsidR="00FC1C94" w:rsidRDefault="00FC1C94"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BF62" w14:textId="77777777" w:rsidR="00FC1C94" w:rsidRDefault="00FC1C94" w:rsidP="0072308F">
      <w:pPr>
        <w:spacing w:after="0" w:line="240" w:lineRule="auto"/>
      </w:pPr>
      <w:r>
        <w:separator/>
      </w:r>
    </w:p>
  </w:footnote>
  <w:footnote w:type="continuationSeparator" w:id="0">
    <w:p w14:paraId="434BB9C4" w14:textId="77777777" w:rsidR="00FC1C94" w:rsidRDefault="00FC1C94"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65814"/>
    <w:multiLevelType w:val="multilevel"/>
    <w:tmpl w:val="999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3"/>
  </w:num>
  <w:num w:numId="2" w16cid:durableId="1105033860">
    <w:abstractNumId w:val="4"/>
  </w:num>
  <w:num w:numId="3" w16cid:durableId="578712828">
    <w:abstractNumId w:val="2"/>
  </w:num>
  <w:num w:numId="4" w16cid:durableId="1359043874">
    <w:abstractNumId w:val="1"/>
  </w:num>
  <w:num w:numId="5" w16cid:durableId="214852304">
    <w:abstractNumId w:val="5"/>
  </w:num>
  <w:num w:numId="6" w16cid:durableId="64621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356ED"/>
    <w:rsid w:val="00087444"/>
    <w:rsid w:val="000B4C75"/>
    <w:rsid w:val="001114B0"/>
    <w:rsid w:val="00170D4F"/>
    <w:rsid w:val="001A078C"/>
    <w:rsid w:val="001A42AA"/>
    <w:rsid w:val="002F0FAD"/>
    <w:rsid w:val="00376C67"/>
    <w:rsid w:val="00395121"/>
    <w:rsid w:val="003D0999"/>
    <w:rsid w:val="003E0332"/>
    <w:rsid w:val="00456F43"/>
    <w:rsid w:val="004B4DD7"/>
    <w:rsid w:val="004F58F3"/>
    <w:rsid w:val="0056772D"/>
    <w:rsid w:val="005E3895"/>
    <w:rsid w:val="00672192"/>
    <w:rsid w:val="00691CAC"/>
    <w:rsid w:val="006A4C78"/>
    <w:rsid w:val="00721C29"/>
    <w:rsid w:val="0072308F"/>
    <w:rsid w:val="007674F9"/>
    <w:rsid w:val="007A65F6"/>
    <w:rsid w:val="007E739A"/>
    <w:rsid w:val="007F690D"/>
    <w:rsid w:val="00852400"/>
    <w:rsid w:val="008D7A97"/>
    <w:rsid w:val="009659F4"/>
    <w:rsid w:val="009C48CA"/>
    <w:rsid w:val="00A90AE7"/>
    <w:rsid w:val="00A9766E"/>
    <w:rsid w:val="00B07A92"/>
    <w:rsid w:val="00BC2A6B"/>
    <w:rsid w:val="00C178F7"/>
    <w:rsid w:val="00CB466F"/>
    <w:rsid w:val="00D43124"/>
    <w:rsid w:val="00E13326"/>
    <w:rsid w:val="00EE3C01"/>
    <w:rsid w:val="00F860E4"/>
    <w:rsid w:val="00FC1C9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6ae27711ba7b4e0e9bd2a0c1b3557289.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ankofengland.co.uk/-/media/boe/files/independent-evaluation-office/2024/forecasting-for-monetary-policy-making-and-communication-at-the-bank-of-england-a-review.pdf"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cba.am/en" TargetMode="External"/><Relationship Id="rId4" Type="http://schemas.openxmlformats.org/officeDocument/2006/relationships/webSettings" Target="webSettings.xml"/><Relationship Id="rId9" Type="http://schemas.openxmlformats.org/officeDocument/2006/relationships/hyperlink" Target="https://www.imf.org/external/pubs/ft/wp/2009/wp0986.pdf"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13</cp:revision>
  <dcterms:created xsi:type="dcterms:W3CDTF">2025-11-07T14:25:00Z</dcterms:created>
  <dcterms:modified xsi:type="dcterms:W3CDTF">2025-11-28T17:28:00Z</dcterms:modified>
</cp:coreProperties>
</file>