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3F3B7" w14:textId="77777777" w:rsidR="00357853" w:rsidRDefault="00000000">
      <w:pPr>
        <w:pStyle w:val="Heading1"/>
      </w:pPr>
      <w:r>
        <w:t>Video 17 – Strategic Communication in Modern Central Banking</w:t>
      </w:r>
    </w:p>
    <w:p w14:paraId="15095966" w14:textId="77777777" w:rsidR="00357853" w:rsidRDefault="00000000">
      <w:pPr>
        <w:pStyle w:val="Heading2"/>
      </w:pPr>
      <w:r>
        <w:t>Economist Note – Video 17: Strategic Communication in Modern Central Banking</w:t>
      </w:r>
    </w:p>
    <w:p w14:paraId="22B74E16" w14:textId="77777777" w:rsidR="00357853" w:rsidRDefault="00000000">
      <w:pPr>
        <w:pStyle w:val="Heading3"/>
      </w:pPr>
      <w:r>
        <w:t>Introduction</w:t>
      </w:r>
    </w:p>
    <w:p w14:paraId="6D3B6606" w14:textId="77777777" w:rsidR="00357853" w:rsidRDefault="00000000">
      <w:r>
        <w:t>Strategic communication has become a central instrument of modern monetary policy.</w:t>
      </w:r>
    </w:p>
    <w:p w14:paraId="1AC5F1B0" w14:textId="77777777" w:rsidR="00357853" w:rsidRDefault="00000000">
      <w:r>
        <w:t>Under FPAS Mark II, communication is no longer a supplementary activity— it is a core policy tool.</w:t>
      </w:r>
    </w:p>
    <w:p w14:paraId="36D5AA01" w14:textId="77777777" w:rsidR="00357853" w:rsidRDefault="00000000">
      <w:r>
        <w:t>Clear, transparent, and timely communication enhances credibility, stabilizes expectations,</w:t>
      </w:r>
    </w:p>
    <w:p w14:paraId="3DE7C3A0" w14:textId="77777777" w:rsidR="00357853" w:rsidRDefault="00000000">
      <w:r>
        <w:t>and allows the public and financial markets to better understand the central bank’s risk assessments.</w:t>
      </w:r>
    </w:p>
    <w:p w14:paraId="7F48B41A" w14:textId="77777777" w:rsidR="00357853" w:rsidRDefault="00357853"/>
    <w:p w14:paraId="233247A0" w14:textId="77777777" w:rsidR="00357853" w:rsidRDefault="00000000">
      <w:r>
        <w:t>This note explores how FPAS Mark II reframes communication as an integral part of the policy framework,</w:t>
      </w:r>
    </w:p>
    <w:p w14:paraId="5AF29A78" w14:textId="77777777" w:rsidR="00357853" w:rsidRDefault="00000000">
      <w:r>
        <w:t>examining its role in uncertainty management, expectations formation, institutional accountability,</w:t>
      </w:r>
    </w:p>
    <w:p w14:paraId="281CC32A" w14:textId="77777777" w:rsidR="00357853" w:rsidRDefault="00000000">
      <w:r>
        <w:t>and the effectiveness of monetary policy transmission.</w:t>
      </w:r>
    </w:p>
    <w:p w14:paraId="7277E65D" w14:textId="77777777" w:rsidR="00357853" w:rsidRDefault="00000000">
      <w:pPr>
        <w:pStyle w:val="Heading3"/>
      </w:pPr>
      <w:r>
        <w:t>1. Communication as a Policy Instrument</w:t>
      </w:r>
    </w:p>
    <w:p w14:paraId="7CCD8241" w14:textId="77777777" w:rsidR="00357853" w:rsidRDefault="00000000">
      <w:r>
        <w:t>In earlier monetary regimes, communication was treated as an afterthought—primarily descriptive,</w:t>
      </w:r>
    </w:p>
    <w:p w14:paraId="730AFD35" w14:textId="77777777" w:rsidR="00357853" w:rsidRDefault="00000000">
      <w:r>
        <w:t>not analytical. Under FPAS Mark II, communication is elevated to a full-fledged policy instrument.</w:t>
      </w:r>
    </w:p>
    <w:p w14:paraId="07A0D55D" w14:textId="77777777" w:rsidR="00357853" w:rsidRDefault="00000000">
      <w:r>
        <w:t>The framework emphasizes that communication must shape expectations, clarify risks, and explain</w:t>
      </w:r>
    </w:p>
    <w:p w14:paraId="4026150C" w14:textId="77777777" w:rsidR="00357853" w:rsidRDefault="00000000">
      <w:r>
        <w:t>judgment under uncertainty.</w:t>
      </w:r>
    </w:p>
    <w:p w14:paraId="1002330C" w14:textId="77777777" w:rsidR="00357853" w:rsidRDefault="00357853"/>
    <w:p w14:paraId="3F6D03FD" w14:textId="77777777" w:rsidR="00357853" w:rsidRDefault="00000000">
      <w:r>
        <w:t>Policy statements, press briefings, executive summaries, attributed minutes, and scenario-based</w:t>
      </w:r>
    </w:p>
    <w:p w14:paraId="543ED654" w14:textId="77777777" w:rsidR="00357853" w:rsidRDefault="00000000">
      <w:r>
        <w:t>explanations work together to guide markets’ understanding of policy intentions. The goal is not to</w:t>
      </w:r>
    </w:p>
    <w:p w14:paraId="09B1310E" w14:textId="77777777" w:rsidR="00357853" w:rsidRDefault="00000000">
      <w:r>
        <w:lastRenderedPageBreak/>
        <w:t>provide perfect predictions but to provide clarity about the Board’s thinking and risk assessment.</w:t>
      </w:r>
    </w:p>
    <w:p w14:paraId="6DB3A612" w14:textId="77777777" w:rsidR="00357853" w:rsidRDefault="00000000">
      <w:pPr>
        <w:pStyle w:val="Heading3"/>
      </w:pPr>
      <w:r>
        <w:t>2. Transparency and Accountability as Foundations</w:t>
      </w:r>
    </w:p>
    <w:p w14:paraId="1FF70564" w14:textId="77777777" w:rsidR="00357853" w:rsidRDefault="00000000">
      <w:r>
        <w:t>Strategic communication strengthens transparency—an essential ingredient for maintaining credibility</w:t>
      </w:r>
    </w:p>
    <w:p w14:paraId="629682C0" w14:textId="77777777" w:rsidR="00357853" w:rsidRDefault="00000000">
      <w:r>
        <w:t>in a small open economy. FPAS Mark II sets high transparency standards by requiring:</w:t>
      </w:r>
    </w:p>
    <w:p w14:paraId="4322ED25" w14:textId="77777777" w:rsidR="00357853" w:rsidRDefault="00000000">
      <w:r>
        <w:t>• Clear explanations of decisions</w:t>
      </w:r>
    </w:p>
    <w:p w14:paraId="2DF085C6" w14:textId="77777777" w:rsidR="00357853" w:rsidRDefault="00000000">
      <w:r>
        <w:t>• Structured presentation of scenarios</w:t>
      </w:r>
    </w:p>
    <w:p w14:paraId="7F48D4E4" w14:textId="77777777" w:rsidR="00357853" w:rsidRDefault="00000000">
      <w:r>
        <w:t>• Attribution of votes and individual reasoning</w:t>
      </w:r>
    </w:p>
    <w:p w14:paraId="281C3879" w14:textId="77777777" w:rsidR="00357853" w:rsidRDefault="00000000">
      <w:r>
        <w:t>• Publication of minutes in a timely manner</w:t>
      </w:r>
    </w:p>
    <w:p w14:paraId="5DAF475B" w14:textId="77777777" w:rsidR="00357853" w:rsidRDefault="00357853"/>
    <w:p w14:paraId="28516040" w14:textId="77777777" w:rsidR="00357853" w:rsidRDefault="00000000">
      <w:r>
        <w:t>The transparency framework helps the public understand not just *what* the Bank decided,</w:t>
      </w:r>
    </w:p>
    <w:p w14:paraId="54E64A32" w14:textId="77777777" w:rsidR="00357853" w:rsidRDefault="00000000">
      <w:r>
        <w:t>but *why* it made those decisions under uncertainty. Accountability is enhanced when Board members</w:t>
      </w:r>
    </w:p>
    <w:p w14:paraId="21B93CED" w14:textId="77777777" w:rsidR="00357853" w:rsidRDefault="00000000">
      <w:r>
        <w:t>explain the reasoning behind their votes and interpretations of risk.</w:t>
      </w:r>
    </w:p>
    <w:p w14:paraId="5A6324FD" w14:textId="77777777" w:rsidR="00357853" w:rsidRDefault="00000000">
      <w:pPr>
        <w:pStyle w:val="Heading3"/>
      </w:pPr>
      <w:r>
        <w:t>3. Scenario-Based Communication</w:t>
      </w:r>
    </w:p>
    <w:p w14:paraId="288EF666" w14:textId="77777777" w:rsidR="00357853" w:rsidRDefault="00000000">
      <w:r>
        <w:t>Under FPAS Mark II, communication is structured around scenarios rather than deterministic forecasts.</w:t>
      </w:r>
    </w:p>
    <w:p w14:paraId="0F8F5D88" w14:textId="77777777" w:rsidR="00357853" w:rsidRDefault="00000000">
      <w:r>
        <w:t>Instead of presenting a single baseline, the Bank explains multiple potential paths for inflation,</w:t>
      </w:r>
    </w:p>
    <w:p w14:paraId="0A03DFE9" w14:textId="77777777" w:rsidR="00357853" w:rsidRDefault="00000000">
      <w:r>
        <w:t>growth, financial conditions, and external risks. This shifts communication from ‘certainty projection’</w:t>
      </w:r>
    </w:p>
    <w:p w14:paraId="51B19548" w14:textId="77777777" w:rsidR="00357853" w:rsidRDefault="00000000">
      <w:r>
        <w:t>to ‘risk distribution.’</w:t>
      </w:r>
    </w:p>
    <w:p w14:paraId="24B8C85E" w14:textId="77777777" w:rsidR="00357853" w:rsidRDefault="00357853"/>
    <w:p w14:paraId="5FEB967D" w14:textId="77777777" w:rsidR="00357853" w:rsidRDefault="00000000">
      <w:r>
        <w:t>Scenario-based communication helps prevent misinterpretation by clarifying that risks—not baselines—drive policy.</w:t>
      </w:r>
    </w:p>
    <w:p w14:paraId="6BF9192B" w14:textId="77777777" w:rsidR="00357853" w:rsidRDefault="00000000">
      <w:r>
        <w:t>By explaining both upside and downside risks, the institution strengthens its credibility and allows markets</w:t>
      </w:r>
    </w:p>
    <w:p w14:paraId="4E4765B4" w14:textId="77777777" w:rsidR="00357853" w:rsidRDefault="00000000">
      <w:r>
        <w:t>to form more informed expectations about future policy actions.</w:t>
      </w:r>
    </w:p>
    <w:p w14:paraId="24159790" w14:textId="77777777" w:rsidR="00357853" w:rsidRDefault="00000000">
      <w:pPr>
        <w:pStyle w:val="Heading3"/>
      </w:pPr>
      <w:r>
        <w:lastRenderedPageBreak/>
        <w:t>4. The Role of Expectations in Monetary Transmission</w:t>
      </w:r>
    </w:p>
    <w:p w14:paraId="6B643BBD" w14:textId="77777777" w:rsidR="00357853" w:rsidRDefault="00000000">
      <w:r>
        <w:t>Monetary policy works largely through expectations—expectations of future interest rates, inflation,</w:t>
      </w:r>
    </w:p>
    <w:p w14:paraId="7F54A5FC" w14:textId="77777777" w:rsidR="00357853" w:rsidRDefault="00000000">
      <w:r>
        <w:t>financial conditions, and global developments. FPAS Mark II recognizes that clear communication reduces</w:t>
      </w:r>
    </w:p>
    <w:p w14:paraId="6D70BD24" w14:textId="77777777" w:rsidR="00357853" w:rsidRDefault="00000000">
      <w:r>
        <w:t>uncertainty premiums and supports more efficient transmission.</w:t>
      </w:r>
    </w:p>
    <w:p w14:paraId="1914ED04" w14:textId="77777777" w:rsidR="00357853" w:rsidRDefault="00357853"/>
    <w:p w14:paraId="52D56B53" w14:textId="77777777" w:rsidR="00357853" w:rsidRDefault="00000000">
      <w:r>
        <w:t>When the public understands how the Bank interprets risks, how scenarios might evolve, or how credibility</w:t>
      </w:r>
    </w:p>
    <w:p w14:paraId="608323D2" w14:textId="77777777" w:rsidR="00357853" w:rsidRDefault="00000000">
      <w:r>
        <w:t>may influence inflation dynamics, expectations become more anchored. This reduces volatility and improves</w:t>
      </w:r>
    </w:p>
    <w:p w14:paraId="220212DF" w14:textId="77777777" w:rsidR="00357853" w:rsidRDefault="00000000">
      <w:r>
        <w:t>the effectiveness of policy interventions.</w:t>
      </w:r>
    </w:p>
    <w:p w14:paraId="449AB7D9" w14:textId="77777777" w:rsidR="00357853" w:rsidRDefault="00000000">
      <w:pPr>
        <w:pStyle w:val="Heading3"/>
      </w:pPr>
      <w:r>
        <w:t>5. Communication Vehicles Under FPAS Mark II</w:t>
      </w:r>
    </w:p>
    <w:p w14:paraId="7E8BDA91" w14:textId="77777777" w:rsidR="00357853" w:rsidRDefault="00000000">
      <w:r>
        <w:t>The Central Bank of Armenia uses a range of communication tools to reach different audiences:</w:t>
      </w:r>
    </w:p>
    <w:p w14:paraId="564CEB9A" w14:textId="77777777" w:rsidR="00357853" w:rsidRDefault="00000000">
      <w:r>
        <w:t>• Monetary Policy Report (MPR)</w:t>
      </w:r>
    </w:p>
    <w:p w14:paraId="5FF767C2" w14:textId="77777777" w:rsidR="00357853" w:rsidRDefault="00000000">
      <w:r>
        <w:t>• Executive Statement</w:t>
      </w:r>
    </w:p>
    <w:p w14:paraId="31545E23" w14:textId="77777777" w:rsidR="00357853" w:rsidRDefault="00000000">
      <w:r>
        <w:t>• Attributed minutes</w:t>
      </w:r>
    </w:p>
    <w:p w14:paraId="0CAC2455" w14:textId="77777777" w:rsidR="00357853" w:rsidRDefault="00000000">
      <w:r>
        <w:t>• Press conferences</w:t>
      </w:r>
    </w:p>
    <w:p w14:paraId="42FA8C86" w14:textId="77777777" w:rsidR="00357853" w:rsidRDefault="00000000">
      <w:r>
        <w:t>• Analyst briefings</w:t>
      </w:r>
    </w:p>
    <w:p w14:paraId="20EDBAA3" w14:textId="77777777" w:rsidR="00357853" w:rsidRDefault="00000000">
      <w:r>
        <w:t>• Media interviews</w:t>
      </w:r>
    </w:p>
    <w:p w14:paraId="5B1DBD67" w14:textId="77777777" w:rsidR="00357853" w:rsidRDefault="00000000">
      <w:r>
        <w:t>• Public speeches</w:t>
      </w:r>
    </w:p>
    <w:p w14:paraId="1EF80F7B" w14:textId="77777777" w:rsidR="00357853" w:rsidRDefault="00000000">
      <w:r>
        <w:t>• Educational materials through the CBA Learning Hub</w:t>
      </w:r>
    </w:p>
    <w:p w14:paraId="2D76AD36" w14:textId="77777777" w:rsidR="00357853" w:rsidRDefault="00357853"/>
    <w:p w14:paraId="3CDFCE0E" w14:textId="77777777" w:rsidR="00357853" w:rsidRDefault="00000000">
      <w:r>
        <w:t>Each vehicle serves a distinct purpose. The MPR provides analytical depth, while the Executive Statement offers</w:t>
      </w:r>
    </w:p>
    <w:p w14:paraId="70F0B5F7" w14:textId="77777777" w:rsidR="00357853" w:rsidRDefault="00000000">
      <w:r>
        <w:t>a concise summary of policy decisions. Attributed minutes promote transparency, while Learning Hub materials</w:t>
      </w:r>
    </w:p>
    <w:p w14:paraId="5D81BE7D" w14:textId="77777777" w:rsidR="00357853" w:rsidRDefault="00000000">
      <w:r>
        <w:t>help educate the public and future economists.</w:t>
      </w:r>
    </w:p>
    <w:p w14:paraId="5575A1B1" w14:textId="77777777" w:rsidR="00357853" w:rsidRDefault="00000000">
      <w:pPr>
        <w:pStyle w:val="Heading3"/>
      </w:pPr>
      <w:r>
        <w:lastRenderedPageBreak/>
        <w:t>6. Risk Communication and Credibility</w:t>
      </w:r>
    </w:p>
    <w:p w14:paraId="1CC8ECCD" w14:textId="77777777" w:rsidR="00357853" w:rsidRDefault="00000000">
      <w:r>
        <w:t>FPAS Mark II requires the institution to communicate risks openly and honestly. Concealing uncertainty damages</w:t>
      </w:r>
    </w:p>
    <w:p w14:paraId="633144B8" w14:textId="77777777" w:rsidR="00357853" w:rsidRDefault="00000000">
      <w:r>
        <w:t>credibility; embracing uncertainty strengthens it. The institution gains trust by explaining what it knows,</w:t>
      </w:r>
    </w:p>
    <w:p w14:paraId="74263549" w14:textId="77777777" w:rsidR="00357853" w:rsidRDefault="00000000">
      <w:r>
        <w:t>what it does not know, and how it plans to respond under different scenarios.</w:t>
      </w:r>
    </w:p>
    <w:p w14:paraId="78D727AE" w14:textId="77777777" w:rsidR="00357853" w:rsidRDefault="00357853"/>
    <w:p w14:paraId="711A2948" w14:textId="77777777" w:rsidR="00357853" w:rsidRDefault="00000000">
      <w:r>
        <w:t>By framing policy decisions through a least-regrets mindset, communication conveys that policy is designed</w:t>
      </w:r>
    </w:p>
    <w:p w14:paraId="13AE9EBA" w14:textId="77777777" w:rsidR="00357853" w:rsidRDefault="00000000">
      <w:r>
        <w:t>to minimize costly errors in an uncertain environment. This clarity reinforces long-term credibility and</w:t>
      </w:r>
    </w:p>
    <w:p w14:paraId="2D0C0AE1" w14:textId="77777777" w:rsidR="00357853" w:rsidRDefault="00000000">
      <w:r>
        <w:t>supports stable expectations.</w:t>
      </w:r>
    </w:p>
    <w:p w14:paraId="420A3440" w14:textId="77777777" w:rsidR="00357853" w:rsidRDefault="00000000">
      <w:pPr>
        <w:pStyle w:val="Heading3"/>
      </w:pPr>
      <w:r>
        <w:t>Conclusion</w:t>
      </w:r>
    </w:p>
    <w:p w14:paraId="1C836547" w14:textId="77777777" w:rsidR="00357853" w:rsidRDefault="00000000">
      <w:r>
        <w:t>Strategic communication under FPAS Mark II is central to effective monetary policy. It aligns expectations,</w:t>
      </w:r>
    </w:p>
    <w:p w14:paraId="77D10917" w14:textId="77777777" w:rsidR="00357853" w:rsidRDefault="00000000">
      <w:r>
        <w:t>manages uncertainty, strengthens accountability, and enhances credibility. By providing structured scenario-based</w:t>
      </w:r>
    </w:p>
    <w:p w14:paraId="2956AF51" w14:textId="77777777" w:rsidR="00357853" w:rsidRDefault="00000000">
      <w:r>
        <w:t>communications, the Central Bank of Armenia ensures that markets, analysts, and the public understand the</w:t>
      </w:r>
    </w:p>
    <w:p w14:paraId="7D9088EB" w14:textId="77777777" w:rsidR="00357853" w:rsidRDefault="00000000">
      <w:r>
        <w:t>rationale behind decisions and the risks shaping them. Communication is no longer an accessory—it is a core</w:t>
      </w:r>
    </w:p>
    <w:p w14:paraId="2CE19F0D" w14:textId="77777777" w:rsidR="00357853" w:rsidRDefault="00000000">
      <w:r>
        <w:t>component of modern monetary policy.</w:t>
      </w:r>
    </w:p>
    <w:p w14:paraId="669F7CFA" w14:textId="77777777" w:rsidR="00357853" w:rsidRDefault="00000000">
      <w:pPr>
        <w:pStyle w:val="Heading2"/>
      </w:pPr>
      <w:r>
        <w:t>References</w:t>
      </w:r>
    </w:p>
    <w:p w14:paraId="0F8A790F" w14:textId="77777777" w:rsidR="00357853" w:rsidRDefault="00000000">
      <w:r>
        <w:t>Laxton, D., Galstyan, M., &amp; Avagyan, V. (eds.) (2023). *Forecasting and Policy Analysis System Mark II.* Better Policy Project (Unpublished mimeograph).</w:t>
      </w:r>
    </w:p>
    <w:p w14:paraId="4E53000D" w14:textId="77777777" w:rsidR="00357853" w:rsidRDefault="00000000">
      <w:r>
        <w:t>Freedman, C., &amp; Laxton, D. (2009). *Why Inflation Targeting?* IMF Working Paper 09/86.</w:t>
      </w:r>
    </w:p>
    <w:p w14:paraId="6135D720" w14:textId="77777777" w:rsidR="00357853" w:rsidRDefault="00000000">
      <w:r>
        <w:t>Debelle, G., &amp; Laxton, D. (1996). *Is the Phillips Curve Really a Curve?* IMF Working Paper 96/37.</w:t>
      </w:r>
    </w:p>
    <w:p w14:paraId="698ACFBF" w14:textId="77777777" w:rsidR="00357853" w:rsidRDefault="00000000">
      <w:pPr>
        <w:pStyle w:val="Heading2"/>
      </w:pPr>
      <w:r>
        <w:t>Video Script</w:t>
      </w:r>
    </w:p>
    <w:p w14:paraId="0D50CC86" w14:textId="77777777" w:rsidR="00357853" w:rsidRDefault="00000000">
      <w:r>
        <w:t>Hello, my name is Susik. I’m a Level One student at the Global Forecasting School and an economist at the Central Bank of Armenia.</w:t>
      </w:r>
    </w:p>
    <w:p w14:paraId="6FC2E700" w14:textId="77777777" w:rsidR="00357853" w:rsidRDefault="00000000">
      <w:r>
        <w:lastRenderedPageBreak/>
        <w:t>In this video, we explore the role of strategic communication in modern central banking under FPAS Mark II.</w:t>
      </w:r>
    </w:p>
    <w:p w14:paraId="2324DF4A" w14:textId="77777777" w:rsidR="00357853" w:rsidRDefault="00000000">
      <w:r>
        <w:t>Communication is not just an output—it is a core policy tool. Clear explanations help shape expectations, reduce uncertainty, and strengthen credibility.</w:t>
      </w:r>
    </w:p>
    <w:p w14:paraId="5896F020" w14:textId="77777777" w:rsidR="00357853" w:rsidRDefault="00000000">
      <w:r>
        <w:t>FPAS Mark II emphasizes scenario-based communication. Instead of offering a single baseline, we explain ranges of risks and alternative paths for inflation and growth.</w:t>
      </w:r>
    </w:p>
    <w:p w14:paraId="3186D816" w14:textId="77777777" w:rsidR="00357853" w:rsidRDefault="00000000">
      <w:r>
        <w:t>This approach strengthens public understanding of how uncertainty influences policy decisions.</w:t>
      </w:r>
    </w:p>
    <w:p w14:paraId="1D1CA361" w14:textId="77777777" w:rsidR="00357853" w:rsidRDefault="00000000">
      <w:r>
        <w:t>The Central Bank uses multiple communication vehicles, including the Monetary Policy Report, Executive Statement, attributed minutes, press conferences, and analyst briefings.</w:t>
      </w:r>
    </w:p>
    <w:p w14:paraId="6EB47C7A" w14:textId="77777777" w:rsidR="00357853" w:rsidRDefault="00000000">
      <w:r>
        <w:t>Risk communication is essential. By explaining what we know, what we don't know, and how we plan to respond, we build long-term credibility.</w:t>
      </w:r>
    </w:p>
    <w:p w14:paraId="1D185606" w14:textId="77777777" w:rsidR="00357853" w:rsidRDefault="00000000">
      <w:r>
        <w:t>Strategic communication ensures that policy decisions are transparent, understandable, and aligned with modern uncertainty-aware frameworks.</w:t>
      </w:r>
    </w:p>
    <w:p w14:paraId="49A8E7D7" w14:textId="77777777" w:rsidR="00357853" w:rsidRDefault="00000000">
      <w:r>
        <w:t>I would like to thank Douglas Laxton, Jared Laxton, Asya Kostanyan, and Sophio for their guidance and support in helping me prepare this video.</w:t>
      </w:r>
    </w:p>
    <w:sectPr w:rsidR="003578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6897821">
    <w:abstractNumId w:val="8"/>
  </w:num>
  <w:num w:numId="2" w16cid:durableId="394545631">
    <w:abstractNumId w:val="6"/>
  </w:num>
  <w:num w:numId="3" w16cid:durableId="1536040111">
    <w:abstractNumId w:val="5"/>
  </w:num>
  <w:num w:numId="4" w16cid:durableId="726220338">
    <w:abstractNumId w:val="4"/>
  </w:num>
  <w:num w:numId="5" w16cid:durableId="179635628">
    <w:abstractNumId w:val="7"/>
  </w:num>
  <w:num w:numId="6" w16cid:durableId="1018508804">
    <w:abstractNumId w:val="3"/>
  </w:num>
  <w:num w:numId="7" w16cid:durableId="435827836">
    <w:abstractNumId w:val="2"/>
  </w:num>
  <w:num w:numId="8" w16cid:durableId="681052661">
    <w:abstractNumId w:val="1"/>
  </w:num>
  <w:num w:numId="9" w16cid:durableId="1219973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853"/>
    <w:rsid w:val="00AA1D8D"/>
    <w:rsid w:val="00AF2148"/>
    <w:rsid w:val="00B47730"/>
    <w:rsid w:val="00B55E0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A98E6D"/>
  <w14:defaultImageDpi w14:val="300"/>
  <w15:docId w15:val="{E3322619-53DD-4C66-9A75-F5CB85F71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900</Words>
  <Characters>5724</Characters>
  <Application>Microsoft Office Word</Application>
  <DocSecurity>0</DocSecurity>
  <Lines>136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Asya Kostanyan</cp:lastModifiedBy>
  <cp:revision>2</cp:revision>
  <dcterms:created xsi:type="dcterms:W3CDTF">2013-12-23T23:15:00Z</dcterms:created>
  <dcterms:modified xsi:type="dcterms:W3CDTF">2025-11-16T15:42:00Z</dcterms:modified>
  <cp:category/>
</cp:coreProperties>
</file>