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6.1–6.2 — The Monetary Transmission Mechanism and Its Long and Variable Lags</w:t>
      </w:r>
    </w:p>
    <w:p>
      <w:r>
        <w:t>(Unified Companion Note and Script for Susik, CBA Economist, Global Forecasting School)</w:t>
      </w:r>
    </w:p>
    <w:p>
      <w:pPr>
        <w:pStyle w:val="Heading2"/>
      </w:pPr>
      <w:r>
        <w:t>Unified Companion Note</w:t>
      </w:r>
    </w:p>
    <w:p>
      <w:pPr>
        <w:pStyle w:val="Heading2"/>
      </w:pPr>
      <w:r>
        <w:t>Part I — The Monetary Transmission Mechanism</w:t>
      </w:r>
    </w:p>
    <w:p>
      <w:pPr>
        <w:pStyle w:val="Heading3"/>
      </w:pPr>
      <w:r>
        <w:t>1) Why the Transmission Mechanism Matters</w:t>
      </w:r>
    </w:p>
    <w:p>
      <w:r>
        <w:t>The monetary transmission mechanism explains how policy decisions affect inflation and output. It connects the central bank’s policy rate to market interest rates, credit conditions, exchange rates, and expectations. This chain determines how monetary policy influences spending, investment, and inflation expectations.</w:t>
      </w:r>
    </w:p>
    <w:p>
      <w:pPr>
        <w:pStyle w:val="Heading3"/>
      </w:pPr>
      <w:r>
        <w:t>2) Core Channels of Transmission</w:t>
      </w:r>
    </w:p>
    <w:p>
      <w:r>
        <w:t>**a. Interest-Rate Channel:** Central banks move short-term rates, which shape expectations about future rates and affect long-term yields. These influence borrowing costs for households and businesses.</w:t>
        <w:br/>
        <w:br/>
        <w:t>**b. Exchange-Rate Channel:** Expected interest-rate differentials move exchange rates, affecting import and export prices. In small open economies, this is often a powerful transmission route.</w:t>
        <w:br/>
        <w:br/>
        <w:t>**c. Credit Channel:** Banks’ lending conditions determine how quickly policy changes reach borrowers. When financial systems are concentrated or risk-averse, the effect is slower.</w:t>
        <w:br/>
        <w:br/>
        <w:t>**d. Expectations Channel:** Credibility and communication anchor inflation expectations, shaping real interest rates and confidence.</w:t>
      </w:r>
    </w:p>
    <w:p>
      <w:pPr>
        <w:pStyle w:val="Heading3"/>
      </w:pPr>
      <w:r>
        <w:t>3) Term and Risk Premia</w:t>
      </w:r>
    </w:p>
    <w:p>
      <w:r>
        <w:t>Long-term interest rates differ from short-term expectations because of risk premia. Investors demand compensation for interest-rate uncertainty (term premium) and for country or exchange-rate risk in open economies. For example, the spread between the 10-year government bond yield and short-term policy rates reflects both expectations and premia.</w:t>
      </w:r>
    </w:p>
    <w:p>
      <w:pPr>
        <w:pStyle w:val="Heading3"/>
      </w:pPr>
      <w:r>
        <w:t>4) Illustrative Charts</w:t>
      </w:r>
    </w:p>
    <w:p>
      <w:r>
        <w:t>To visualize transmission, compare these two series:</w:t>
        <w:br/>
        <w:t>• Chart 1: 10-year Government Bond Yield</w:t>
        <w:br/>
        <w:t>• Chart 2: 30-year Mortgage Rate</w:t>
        <w:br/>
        <w:br/>
        <w:t>They typically move together, showing how expectations about the future policy path and risk compensation determine borrowing costs.</w:t>
      </w:r>
    </w:p>
    <w:p>
      <w:pPr>
        <w:pStyle w:val="Heading3"/>
      </w:pPr>
      <w:r>
        <w:t>5) Open-Economy Dynamics</w:t>
      </w:r>
    </w:p>
    <w:p>
      <w:r>
        <w:t>In open economies, exchange-rate and capital-flow channels amplify the effects of policy. Expectations of depreciation or appreciation interact with risk-adjusted interest-rate differentials. For Armenia, this means global financial conditions, fiscal credibility, and communication jointly shape the effectiveness of policy.</w:t>
      </w:r>
    </w:p>
    <w:p>
      <w:r>
        <w:br w:type="page"/>
      </w:r>
    </w:p>
    <w:p>
      <w:pPr>
        <w:pStyle w:val="Heading2"/>
      </w:pPr>
      <w:r>
        <w:t>Part II — Long and Variable Lags: Why the Transmission Mechanism Isn’t Broken</w:t>
      </w:r>
    </w:p>
    <w:p>
      <w:pPr>
        <w:pStyle w:val="Heading3"/>
      </w:pPr>
      <w:r>
        <w:t>1) The Idea of Long and Variable Lags</w:t>
      </w:r>
    </w:p>
    <w:p>
      <w:r>
        <w:t>Milton Friedman’s 1968 Presidential Address introduced the notion that the effects of monetary policy occur with 'long and variable lags.' That insight remains crucial: monetary transmission is not mechanical—it depends on economic structure, wealth, and expectations.</w:t>
      </w:r>
    </w:p>
    <w:p>
      <w:pPr>
        <w:pStyle w:val="Heading3"/>
      </w:pPr>
      <w:r>
        <w:t>2) The U.S. Example: Late Tightening and Wealth Effects</w:t>
      </w:r>
    </w:p>
    <w:p>
      <w:r>
        <w:t>After the pandemic, the Federal Reserve began raising rates in 2022—roughly a year too late. It then hiked by more than 500 basis points. Historically, this would have signaled recession, reinforced by an inverted yield curve. Yet no recession occurred.</w:t>
        <w:br/>
        <w:br/>
        <w:t>High equity prices and strong household balance sheets offset tighter financial conditions. Real long-term rates had been deeply negative during COVID, fueling asset prices and spending. Michael Kiley’s work shows that wealth and liquidity conditions can extend policy lags. The mechanism was not broken—it was simply slower because other channels dominated.</w:t>
      </w:r>
    </w:p>
    <w:p>
      <w:pPr>
        <w:pStyle w:val="Heading3"/>
      </w:pPr>
      <w:r>
        <w:t>3) The Armenian Example: Slow Easing and Sticky Credit</w:t>
      </w:r>
    </w:p>
    <w:p>
      <w:r>
        <w:t>Armenia offers the reverse case. Policy easing has not quickly reduced lending rates. Credit transmission is slower due to market structure, risk perception, and limited depth. This illustrates asymmetry—tightening bites faster than easing—but the mechanism still functions.</w:t>
      </w:r>
    </w:p>
    <w:p>
      <w:pPr>
        <w:pStyle w:val="Heading3"/>
      </w:pPr>
      <w:r>
        <w:t>4) Why It’s Never 'Broken'</w:t>
      </w:r>
    </w:p>
    <w:p>
      <w:r>
        <w:t>Transmission operates through multiple channels. When one weakens, others may strengthen. Declaring the system 'broken' risks undermining the nominal anchor. Instead, policymakers must analyze which channels are active and adjust policy accordingly. FPAS Mark II embodies this principle—continuous monitoring, adaptation, and communication.</w:t>
      </w:r>
    </w:p>
    <w:p>
      <w:pPr>
        <w:pStyle w:val="Heading3"/>
      </w:pPr>
      <w:r>
        <w:t>5) Lessons for Policymakers</w:t>
      </w:r>
    </w:p>
    <w:p>
      <w:r>
        <w:t>• Expect lags to vary with wealth, fiscal stance, and global conditions.</w:t>
        <w:br/>
        <w:t>• Recognize asymmetry—tightening often acts faster than easing.</w:t>
        <w:br/>
        <w:t>• Use all available channels and instruments to maintain credibility.</w:t>
        <w:br/>
        <w:br/>
        <w:t>The key message: transmission always works, but never on a fixed schedule. Patience and persistence are essential.</w:t>
      </w:r>
    </w:p>
    <w:p>
      <w:pPr>
        <w:pStyle w:val="Heading3"/>
      </w:pPr>
      <w:r>
        <w:t>References</w:t>
      </w:r>
    </w:p>
    <w:p>
      <w:r>
        <w:t>Adrian, T., M. Obstfeld, &amp; D. Laxton. (2018). *Advancing the Frontiers of Monetary Policy.* IMF.</w:t>
        <w:br/>
        <w:t>Friedman, M. (1968). “The Role of Monetary Policy.” *American Economic Review*, 58(1).</w:t>
        <w:br/>
        <w:t>Kiley, M. (2023). “Prospects for a Soft Landing.” Board of Governors of the Federal Reserve System.</w:t>
        <w:br/>
        <w:t>Freedman, C., &amp; Laxton, D. (2009). “Why Inflation Targeting?” IMF Working Paper 09/86.</w:t>
        <w:br/>
        <w:t>Central Bank of Armenia. (2025). “CBA Academy Onboarding Platform: Monetary Policy.” Yerevan.</w:t>
      </w:r>
    </w:p>
    <w:p>
      <w:r>
        <w:br w:type="page"/>
      </w:r>
    </w:p>
    <w:p>
      <w:pPr>
        <w:pStyle w:val="Heading2"/>
      </w:pPr>
      <w:r>
        <w:t>Unified Video Script for Susik</w:t>
      </w:r>
    </w:p>
    <w:p>
      <w:r>
        <w:t>Hi everyone, I’m Susik from the Central Bank of Armenia. In this extended bonus video, we’ll look at how monetary policy actually works—and why sometimes its effects take longer than expected.</w:t>
        <w:br/>
        <w:br/>
        <w:t>Let’s start with the monetary transmission mechanism—the system through which central bank decisions affect inflation and output. Think of it as four main channels: the interest-rate channel, the exchange-rate channel, the credit channel, and the expectations channel.</w:t>
        <w:br/>
        <w:br/>
        <w:t>When the central bank changes its policy rate, it immediately shifts short-term interest rates. That change influences expectations of future rates, which move long-term bond yields—like the ten-year government bond—and, ultimately, the mortgage rates households pay. We can see that link clearly when we chart both series—they move almost in sync.</w:t>
        <w:br/>
        <w:br/>
        <w:t>In open economies, the exchange-rate channel adds another dimension. Higher expected rates appreciate the currency, making imports cheaper but exports less competitive. Credit conditions also matter. If banks are risk-averse or concentrated, transmission slows. And perhaps the most powerful of all is the expectations channel—credibility ensures that people believe inflation will return to target.</w:t>
        <w:br/>
        <w:br/>
        <w:t>Now, let’s take this a step further and talk about why these effects can be 'long and variable.' Milton Friedman first used that phrase to remind policymakers that monetary effects unfold over time, often unpredictably.</w:t>
        <w:br/>
        <w:br/>
        <w:t>After the pandemic, the Federal Reserve raised rates too late—starting in 2022 instead of 2021—and did so very aggressively. In the past, that would have triggered a recession. But this time, high equity prices and strong household balance sheets kept consumption resilient. Real ten-year bond yields were deeply negative during COVID, fueling asset prices and delaying the impact of tightening. Economists like Michael Kiley have shown how these wealth effects stretch the lags in the transmission mechanism.</w:t>
        <w:br/>
        <w:br/>
        <w:t>In Armenia, we’ve seen the opposite case. Policy easing hasn’t translated quickly into lower credit rates because banks remain cautious. Transmission still works—but more slowly.</w:t>
        <w:br/>
        <w:br/>
        <w:t>The key takeaway is this: the transmission mechanism is never broken. It just operates with different lags and strengths, depending on the situation. Central banks must be patient, analytical, and ready to adjust their instruments until market conditions respond. If they stop using their tools, they risk losing their nominal anchor.</w:t>
        <w:br/>
        <w:br/>
        <w:t>So always remember: monetary policy works—it just takes time. Thank you for watching, and see you in the next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