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6.2 — Long and Variable Lags: Why the Transmission Mechanism Isn’t Broken</w:t>
      </w:r>
    </w:p>
    <w:p>
      <w:r>
        <w:t>(Companion Note and Script for Susik, CBA Economist, Global Forecasting School)</w:t>
      </w:r>
    </w:p>
    <w:p>
      <w:pPr>
        <w:pStyle w:val="Heading2"/>
      </w:pPr>
      <w:r>
        <w:t>Companion Note</w:t>
      </w:r>
    </w:p>
    <w:p>
      <w:pPr>
        <w:pStyle w:val="Heading3"/>
      </w:pPr>
      <w:r>
        <w:t>1) The Origins of 'Long and Variable Lags'</w:t>
      </w:r>
    </w:p>
    <w:p>
      <w:r>
        <w:t>Milton Friedman’s 1968 Presidential Address introduced the famous concept of 'long and variable lags.' He warned that monetary policy works with unpredictable timing, meaning central banks can easily over- or under-shoot if they misjudge those delays. Even with today’s advanced models, the timing and strength of policy transmission remain state-dependent—changing with fiscal conditions, wealth effects, and expectations.</w:t>
      </w:r>
    </w:p>
    <w:p>
      <w:pPr>
        <w:pStyle w:val="Heading3"/>
      </w:pPr>
      <w:r>
        <w:t>2) The U.S. Experience: Delayed Tightening and the Wealth Channel</w:t>
      </w:r>
    </w:p>
    <w:p>
      <w:r>
        <w:t>The Federal Reserve began tightening in 2022—about a year later than it should have. Rates rose by over 500 basis points in record time. Historically, this would have triggered a recession, especially with an inverted yield curve. Yet, the U.S. economy avoided one.</w:t>
        <w:br/>
        <w:br/>
        <w:t>Why? Because wealth effects offset the drag from higher interest rates. Equity prices stayed high, household balance sheets were strong, and the liquidity from COVID-era fiscal support continued to circulate. Real 10-year bond yields had been deeply negative during the pandemic, fueling asset prices and consumption.</w:t>
        <w:br/>
        <w:br/>
        <w:t>Michael Kiley’s work at the Federal Reserve shows how wealth and financial conditions can shift the timing of recessions predicted by yield curves. The lags have grown longer—not because the transmission mechanism is broken, but because other forces temporarily dominate it.</w:t>
      </w:r>
    </w:p>
    <w:p>
      <w:pPr>
        <w:pStyle w:val="Heading3"/>
      </w:pPr>
      <w:r>
        <w:t>3) The Armenian Experience: Easing and Sticky Credit Rates</w:t>
      </w:r>
    </w:p>
    <w:p>
      <w:r>
        <w:t>In contrast, Armenia has seen the opposite problem. The central bank has cut rates sharply, but borrowing costs for households and firms remain elevated. This reflects structural features—like a concentrated banking sector, risk perception, and limited secondary markets. Transmission works, but slowly. The easing cycle demonstrates the asymmetry often found in small open economies: tightening bites faster than easing.</w:t>
      </w:r>
    </w:p>
    <w:p>
      <w:pPr>
        <w:pStyle w:val="Heading3"/>
      </w:pPr>
      <w:r>
        <w:t>4) Why the Mechanism Appears 'Broken'—But Isn’t</w:t>
      </w:r>
    </w:p>
    <w:p>
      <w:r>
        <w:t>When policy effects don’t appear immediately, it’s tempting to assume the mechanism has failed. But the reality is more complex. Transmission operates through multiple channels—interest rates, wealth, credit, exchange rates, and expectations. At times, one channel weakens while others strengthen.</w:t>
        <w:br/>
        <w:br/>
        <w:t>Declaring the mechanism 'broken' undermines credibility. Instead, policymakers must identify which channels are active and adjust the stance or communication to maintain consistency with the inflation target. The FPAS Mark II approach formalizes this: monitor, analyze, and adapt rather than overreact.</w:t>
      </w:r>
    </w:p>
    <w:p>
      <w:pPr>
        <w:pStyle w:val="Heading3"/>
      </w:pPr>
      <w:r>
        <w:t>5) Policy Lessons</w:t>
      </w:r>
    </w:p>
    <w:p>
      <w:r>
        <w:t>• The mechanism is never broken—just delayed or dampened.</w:t>
        <w:br/>
        <w:t>• Wealth and fiscal dynamics can lengthen lags, as in the U.S.</w:t>
        <w:br/>
        <w:t>• Structural constraints can slow credit transmission, as in Armenia.</w:t>
        <w:br/>
        <w:t>• Central banks must act decisively enough to maintain the nominal anchor.</w:t>
        <w:br/>
        <w:br/>
        <w:t>The lesson is patience and persistence. Use the transmission mechanism you have—always. If it seems slow, find out why, communicate clearly, and adjust as needed.</w:t>
      </w:r>
    </w:p>
    <w:p>
      <w:pPr>
        <w:pStyle w:val="Heading3"/>
      </w:pPr>
      <w:r>
        <w:t>References</w:t>
      </w:r>
    </w:p>
    <w:p>
      <w:r>
        <w:t>Friedman, M. (1968). “The Role of Monetary Policy.” *American Economic Review*, 58(1).</w:t>
        <w:br/>
        <w:t>Kiley, M. (2023). “Prospects for a Soft Landing.” Board of Governors of the Federal Reserve System.</w:t>
        <w:br/>
        <w:t>Adrian, T., M. Obstfeld, &amp; D. Laxton. (2018). *Advancing the Frontiers of Monetary Policy.* IMF.</w:t>
        <w:br/>
        <w:t>Freedman, C., &amp; Laxton, D. (2009). “Why Inflation Targeting?” IMF Working Paper 09/86.</w:t>
        <w:br/>
        <w:t>Central Bank of Armenia. (2025). “CBA Academy Onboarding Platform: Monetary Policy.” Yerevan.</w:t>
      </w:r>
    </w:p>
    <w:p>
      <w:r>
        <w:br w:type="page"/>
      </w:r>
    </w:p>
    <w:p>
      <w:pPr>
        <w:pStyle w:val="Heading2"/>
      </w:pPr>
      <w:r>
        <w:t>Video Script for Susik</w:t>
      </w:r>
    </w:p>
    <w:p>
      <w:r>
        <w:t>Hi everyone, I’m Susik from the Central Bank of Armenia. In this bonus video, we’ll explore Milton Friedman’s classic idea of 'long and variable lags'—and why the monetary transmission mechanism isn’t broken, even when the economy doesn’t respond as quickly as expected.</w:t>
        <w:br/>
        <w:br/>
        <w:t>Let’s start with the United States. After COVID, the Federal Reserve waited too long to raise rates. It should have begun in 2021 but instead started in 2022—then increased rates by more than five hundred basis points. Normally, that kind of tightening, combined with an inverted yield curve, would mean a recession. But no recession came.</w:t>
        <w:br/>
        <w:br/>
        <w:t>Why not? Because the wealth channel was incredibly strong. Stock prices stayed high, people felt rich, and fiscal support from the pandemic still fueled spending. Real ten-year bond yields had fallen into negative territory, supporting both asset prices and consumption. As Michael Kiley’s research shows, these wealth effects delayed the downturn that traditional models predicted.</w:t>
        <w:br/>
        <w:br/>
        <w:t>Now let’s turn to Armenia. Here, we’ve seen the opposite pattern. The central bank has been cutting rates, but credit rates haven’t fallen much. This reflects the slower credit channel—banks remain cautious, and market depth is limited. So while the mechanism works, it operates with longer lags on the way down.</w:t>
        <w:br/>
        <w:br/>
        <w:t>The key lesson is this: transmission never stops working. It just changes speed. In some periods, wealth and expectations dominate. In others, credit and exchange rates take the lead. But the central bank must always use its instruments—otherwise, the system loses its nominal anchor.</w:t>
        <w:br/>
        <w:br/>
        <w:t>So, when policy seems to be taking too long to work, don’t say the mechanism is broken. Say the lags are longer, or the effects are smaller—but keep acting, keep analyzing, and keep explaining.</w:t>
        <w:br/>
        <w:br/>
        <w:t>Thanks for watching, and see you in the next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