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11 – FPAS Mark II: Credibility and Communication</w:t>
      </w:r>
    </w:p>
    <w:p>
      <w:pPr>
        <w:pStyle w:val="Heading2"/>
      </w:pPr>
      <w:r>
        <w:t>Part I – Economist Note</w:t>
      </w:r>
    </w:p>
    <w:p>
      <w:r>
        <w:t>Credibility and communication are at the core of FPAS Mark II. In the modern monetary policy environment, credibility is not achieved through the illusion of precision, but through disciplined transparency and consistent communication. The Central Bank of Armenia (CBA) has designed its entire decision-making process to ensure that communication is not an afterthought but a built-in element of the analytical and policy framework. In FPAS Mark II, the way the CBA communicates is an extension of how it thinks.</w:t>
      </w:r>
    </w:p>
    <w:p>
      <w:pPr>
        <w:pStyle w:val="Heading3"/>
      </w:pPr>
      <w:r>
        <w:t>1. Introduction – Why Communication Defines Credibility</w:t>
      </w:r>
    </w:p>
    <w:p>
      <w:r>
        <w:t>In FPAS Mark II, credibility is no longer measured by how accurately the central bank predicts short-term inflation outcomes. Instead, it is defined by how transparently it explains uncertainty, how consistently it applies its framework, and how responsibly it manages risks. Communication has evolved from a supporting function to a central part of the monetary policy process. This change reflects a deeper understanding: in a world defined by uncertainty, trust must be earned through clarity, not certainty.</w:t>
      </w:r>
    </w:p>
    <w:p>
      <w:pPr>
        <w:pStyle w:val="Heading3"/>
      </w:pPr>
      <w:r>
        <w:t>2. The Credibility Cycle</w:t>
      </w:r>
    </w:p>
    <w:p>
      <w:r>
        <w:t>Credibility in FPAS Mark II is dynamic—it is created, tested, and reinforced with every policy round. The CBA builds credibility through three mutually reinforcing pillars:</w:t>
      </w:r>
    </w:p>
    <w:p>
      <w:r>
        <w:t>• Consistency – maintaining coherence between the analytical framework, policy actions, and communication.</w:t>
        <w:br/>
        <w:t>• Transparency – clearly explaining uncertainty, trade-offs, and the rationale for decisions.</w:t>
        <w:br/>
        <w:t>• Accountability – regularly evaluating past projections and decisions and reporting the results to the public.</w:t>
      </w:r>
    </w:p>
    <w:p>
      <w:r>
        <w:t>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t>
      </w:r>
    </w:p>
    <w:p>
      <w:pPr>
        <w:pStyle w:val="Heading3"/>
      </w:pPr>
      <w:r>
        <w:t>3. How FPAS Mark II Structures Communication</w:t>
      </w:r>
    </w:p>
    <w:p>
      <w:r>
        <w:t>The CBA’s communication system under FPAS Mark II is designed to align perfectly with the analytical and decision-making framework. The Monetary Policy Report (MPR) is the main public document through which this alignment is demonstrated. It no longer serves as a mere forecast summary; it is a narrative explaining how the Board assessed risks, evaluated scenarios, and reached its decision.</w:t>
      </w:r>
    </w:p>
    <w:p>
      <w:r>
        <w:t>Each MPR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t>
      </w:r>
    </w:p>
    <w:p>
      <w:pPr>
        <w:pStyle w:val="Heading3"/>
      </w:pPr>
      <w:r>
        <w:t>4. Endogenous Credibility: How Communication Reinforces Policy</w:t>
      </w:r>
    </w:p>
    <w:p>
      <w:r>
        <w:t>Credibility under FPAS Mark II is endogenous—it grows out of the central bank’s behavior.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w:t>
      </w:r>
    </w:p>
    <w:p>
      <w:r>
        <w:t>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self-reinforcing—strong communication builds trust, which in turn enhances policy effectiveness.</w:t>
      </w:r>
    </w:p>
    <w:p>
      <w:pPr>
        <w:pStyle w:val="Heading3"/>
      </w:pPr>
      <w:r>
        <w:t>5. Institutional Design: Internal Accountability</w:t>
      </w:r>
    </w:p>
    <w:p>
      <w:r>
        <w:t>Communication within FPAS Mark II begins inside the institution. After each policy round, the CBA conducts a ‘Credibility Review,’ a structured meeting that assesses how forecasts 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w:t>
      </w:r>
    </w:p>
    <w:p>
      <w:r>
        <w:t>This disciplined approach ensures that the CBA’s external communication is always grounded in self-assessment and internal coherence. It eliminates the gap between what is said publicly and what is believed internally—a gap that often undermines credibility in other institutions.</w:t>
      </w:r>
    </w:p>
    <w:p>
      <w:pPr>
        <w:pStyle w:val="Heading3"/>
      </w:pPr>
      <w:r>
        <w:t>6. Comparative Perspective</w:t>
      </w:r>
    </w:p>
    <w:p>
      <w:r>
        <w:t>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stands in contrast—it integrates communication from the beginning of the policy round and aligns it with every analytical step.</w:t>
      </w:r>
    </w:p>
    <w:p>
      <w:r>
        <w:t>This proactive approach reflects a culture of transparency and institutional humility. It recognizes that credibility is not built by claiming omniscience but by demonstrating the capacity to manage uncertainty with discipline and openness.</w:t>
      </w:r>
    </w:p>
    <w:p>
      <w:pPr>
        <w:pStyle w:val="Heading3"/>
      </w:pPr>
      <w:r>
        <w:t>7. Conclusion – Credibility Through Clarity</w:t>
      </w:r>
    </w:p>
    <w:p>
      <w:r>
        <w: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t>
      </w:r>
    </w:p>
    <w:p>
      <w:pPr>
        <w:pStyle w:val="Heading3"/>
      </w:pPr>
      <w:r>
        <w:t>References</w:t>
      </w:r>
    </w:p>
    <w:p>
      <w:r>
        <w:t>Better Policy Project. (2023). The Prudent Risk Management Approach to Price Stability. Unpublished mimeograph.</w:t>
      </w:r>
    </w:p>
    <w:p>
      <w:r>
        <w:t>Freedman, C., &amp; Laxton, D. (2009). Why Inflation Targeting? IMF Working Paper WP/09/86.</w:t>
      </w:r>
    </w:p>
    <w:p>
      <w:r>
        <w:t>Debelle, G., &amp; Laxton, D. (1996). Is the Phillips Curve Really Convex? IMF Working Paper WP/96/111.</w:t>
      </w:r>
    </w:p>
    <w:p>
      <w:r>
        <w:t>Friedman, M. (1968). The Role of Monetary Policy. American Economic Review, 58(1).</w:t>
      </w:r>
    </w:p>
    <w:p>
      <w:r>
        <w:t>Bernanke, B. (2024). Forecasting for Monetary Policy Making and Communication at the Bank of England: A Review. Bank of England Independent Evaluation Office.</w:t>
      </w:r>
    </w:p>
    <w:p>
      <w:pPr>
        <w:pStyle w:val="Heading2"/>
      </w:pPr>
      <w:r>
        <w:t>Part II – Script (Susik)</w:t>
      </w:r>
    </w:p>
    <w:p>
      <w:r>
        <w:t>Hi, I’m Susik from the Central Bank of Armenia. In today’s episode, we’ll talk about how FPAS Mark II makes credibility and communication two sides of the same coin.</w:t>
        <w:br/>
        <w:br/>
        <w: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w:t>
        <w:br/>
        <w:br/>
        <w:t>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t>
        <w:br/>
        <w:br/>
        <w:t>Each Monetary Policy Report includes three scenarios — a baseline, an upside, and a downside. For each one, we explain what could happen to inflation and output, and how the Board evaluated those possibilities. This gives readers a clear view of how uncertainty shapes our choices. It turns complexity into clarity.</w:t>
        <w:br/>
        <w:br/>
        <w:t>We call this ‘transparency through structure.’ When people understand the structure, they understand the decision — even if the outcome changes later. That’s what builds lasting credibility. It’s about being consistent, transparent, and accountable.</w:t>
        <w:br/>
        <w:br/>
        <w:t>Inside the Bank, we also hold what we call a ‘credibility review’ after each policy round. We look at how our forecasts performed, how the markets reacted, and whether our messages were clear. That feedback becomes part of the next round. It’s how we keep improving.</w:t>
        <w:br/>
        <w:br/>
        <w:t>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t>
        <w:br/>
        <w:br/>
        <w:t>In FPAS Mark II, credibility and communication are inseparable. Transparency builds understanding, understanding builds trust, and trust is what anchors expectations — the ultimate goal of monetary policy.</w:t>
        <w:br/>
        <w:br/>
        <w:t>Independence gives us the authority to act. Credibility ensures that we act wisely. And clear communication is what ties it all together.</w:t>
      </w:r>
    </w:p>
    <w:p>
      <w:pPr>
        <w:pStyle w:val="Heading2"/>
      </w:pPr>
      <w:r>
        <w:t>Acknowledgements</w:t>
      </w:r>
    </w:p>
    <w:p>
      <w:r>
        <w:t>Thanks to Douglas Laxton, Jared Laxton, Asya Kostanyan, and Sophio Mkervalidze at the Global Forecasting School for their guidance and support in producing this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