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8095" w14:textId="77777777" w:rsidR="00937D95" w:rsidRPr="00937D95" w:rsidRDefault="00937D95" w:rsidP="00937D95">
      <w:r w:rsidRPr="00937D95">
        <w:t xml:space="preserve">Hello everyone, I’m </w:t>
      </w:r>
      <w:r w:rsidRPr="00937D95">
        <w:rPr>
          <w:b/>
          <w:bCs/>
        </w:rPr>
        <w:t>Susanna Grigoryan</w:t>
      </w:r>
      <w:r w:rsidRPr="00937D95">
        <w:t xml:space="preserve">, an economist at the </w:t>
      </w:r>
      <w:r w:rsidRPr="00937D95">
        <w:rPr>
          <w:b/>
          <w:bCs/>
        </w:rPr>
        <w:t>Central Bank of Armenia</w:t>
      </w:r>
      <w:r w:rsidRPr="00937D95">
        <w:t xml:space="preserve"> and a </w:t>
      </w:r>
      <w:r w:rsidRPr="00937D95">
        <w:rPr>
          <w:b/>
          <w:bCs/>
        </w:rPr>
        <w:t>Level One student at the Global Forecasting School</w:t>
      </w:r>
      <w:r w:rsidRPr="00937D95">
        <w:t xml:space="preserve">. In this video, we’ll turn to the first two principles that lie at the very heart of modern monetary policy frameworks — the principle of a </w:t>
      </w:r>
      <w:r w:rsidRPr="00937D95">
        <w:rPr>
          <w:b/>
          <w:bCs/>
        </w:rPr>
        <w:t>clear nominal anchor</w:t>
      </w:r>
      <w:r w:rsidRPr="00937D95">
        <w:t xml:space="preserve"> and the principle of </w:t>
      </w:r>
      <w:r w:rsidRPr="00937D95">
        <w:rPr>
          <w:b/>
          <w:bCs/>
        </w:rPr>
        <w:t>consistency among objectives</w:t>
      </w:r>
      <w:r w:rsidRPr="00937D95">
        <w:t>.</w:t>
      </w:r>
    </w:p>
    <w:p w14:paraId="43F9A55A" w14:textId="77777777" w:rsidR="00937D95" w:rsidRPr="00937D95" w:rsidRDefault="00937D95" w:rsidP="00937D95">
      <w:r w:rsidRPr="00937D95">
        <w:t xml:space="preserve">The success of modern monetary policy rests on a small set of guiding principles that make policy credible, consistent, and transparent. Among these, the first two are foundational. Without a well-understood anchor, monetary policy loses focus and credibility. And without consistency among objectives, even a credible anchor can lose its meaning over time. As </w:t>
      </w:r>
      <w:r w:rsidRPr="00937D95">
        <w:rPr>
          <w:b/>
          <w:bCs/>
        </w:rPr>
        <w:t>Freedman and Laxton (2009)</w:t>
      </w:r>
      <w:r w:rsidRPr="00937D95">
        <w:t xml:space="preserve"> emphasize, these principles are not theoretical — they form the operational backbone of successful inflation-targeting frameworks around the world.</w:t>
      </w:r>
    </w:p>
    <w:p w14:paraId="5B4943A3" w14:textId="77777777" w:rsidR="00937D95" w:rsidRPr="00937D95" w:rsidRDefault="00937D95" w:rsidP="00937D95">
      <w:r w:rsidRPr="00937D95">
        <w:t xml:space="preserve">Let’s begin with the first principle — </w:t>
      </w:r>
      <w:r w:rsidRPr="00937D95">
        <w:rPr>
          <w:b/>
          <w:bCs/>
        </w:rPr>
        <w:t>a clear nominal anchor</w:t>
      </w:r>
      <w:r w:rsidRPr="00937D95">
        <w:t xml:space="preserve">. Think of it as the compass of monetary policy — the fixed point that helps everyone navigate uncertainty. It’s what gives households, firms, and investors confidence about the future value of money. In an inflation-targeting regime, that anchor is the </w:t>
      </w:r>
      <w:r w:rsidRPr="00937D95">
        <w:rPr>
          <w:b/>
          <w:bCs/>
        </w:rPr>
        <w:t>publicly announced inflation target</w:t>
      </w:r>
      <w:r w:rsidRPr="00937D95">
        <w:t>, supported by credible communication and consistent actions.</w:t>
      </w:r>
    </w:p>
    <w:p w14:paraId="24B4AB2B" w14:textId="77777777" w:rsidR="00937D95" w:rsidRPr="00937D95" w:rsidRDefault="00937D95" w:rsidP="00937D95">
      <w:r w:rsidRPr="00937D95">
        <w:t>The anchor plays three essential roles. First, it shapes expectations by giving people a benchmark for wage and price setting. Second, it enforces discipline, limiting short-term political or opportunistic pressures. And third, it builds credibility by anchoring inflation expectations, which makes policy more effective and predictable.</w:t>
      </w:r>
    </w:p>
    <w:p w14:paraId="42175A20" w14:textId="77777777" w:rsidR="00937D95" w:rsidRPr="00937D95" w:rsidRDefault="00937D95" w:rsidP="00937D95">
      <w:r w:rsidRPr="00937D95">
        <w:t xml:space="preserve">According to </w:t>
      </w:r>
      <w:r w:rsidRPr="00937D95">
        <w:rPr>
          <w:b/>
          <w:bCs/>
        </w:rPr>
        <w:t>Freedman and Laxton (2009)</w:t>
      </w:r>
      <w:r w:rsidRPr="00937D95">
        <w:t xml:space="preserve">, an effective inflation target must be </w:t>
      </w:r>
      <w:r w:rsidRPr="00937D95">
        <w:rPr>
          <w:b/>
          <w:bCs/>
        </w:rPr>
        <w:t>numerical, symmetric, and forward-looking</w:t>
      </w:r>
      <w:r w:rsidRPr="00937D95">
        <w:t>. In practice, this often means specifying a range — for example, one to three percent — with a midpoint focus. This approach provides flexibility without losing credibility. When expectations are well anchored, both inflation and output volatility decline, creating measurable welfare gains.</w:t>
      </w:r>
    </w:p>
    <w:p w14:paraId="14E95EBC" w14:textId="77777777" w:rsidR="00937D95" w:rsidRPr="00937D95" w:rsidRDefault="00937D95" w:rsidP="00937D95">
      <w:r w:rsidRPr="00937D95">
        <w:t>Canada’s experience in the early 1990s illustrates this powerfully. Even before inflation had fully converged to the target, long-term interest rates began to fall because markets trusted that the Bank of Canada would deliver. That credibility made policy more effective. New Zealand’s experience followed a similar logic — while its early framework focused on institutional design, Canada refined the analytical process that supported it.</w:t>
      </w:r>
    </w:p>
    <w:p w14:paraId="57E4155B" w14:textId="77777777" w:rsidR="00937D95" w:rsidRPr="00937D95" w:rsidRDefault="00937D95" w:rsidP="00937D95">
      <w:r w:rsidRPr="00937D95">
        <w:t xml:space="preserve">Now, let’s move to the second principle — </w:t>
      </w:r>
      <w:r w:rsidRPr="00937D95">
        <w:rPr>
          <w:b/>
          <w:bCs/>
        </w:rPr>
        <w:t>consistency among objectives</w:t>
      </w:r>
      <w:r w:rsidRPr="00937D95">
        <w:t>. A central bank must ensure that all its goals work together rather than against each other. When inflation control serves as the foundation, other objectives — such as growth, employment, and financial stability — can be pursued sustainably. But when short-term goals compete with price stability, credibility is undermined and everyone loses.</w:t>
      </w:r>
    </w:p>
    <w:p w14:paraId="641433B3" w14:textId="77777777" w:rsidR="00937D95" w:rsidRPr="00937D95" w:rsidRDefault="00937D95" w:rsidP="00937D95">
      <w:r w:rsidRPr="00937D95">
        <w:rPr>
          <w:b/>
          <w:bCs/>
        </w:rPr>
        <w:lastRenderedPageBreak/>
        <w:t>Freedman and Laxton (2009)</w:t>
      </w:r>
      <w:r w:rsidRPr="00937D95">
        <w:t xml:space="preserve"> showed that successful inflation-targeting regimes align all objectives under a single overarching mandate: maintaining low, stable, and predictable inflation. In well-designed frameworks, short-term trade-offs are recognized, but long-term consistency is never sacrificed. It’s about being disciplined and flexible at the same time.</w:t>
      </w:r>
    </w:p>
    <w:p w14:paraId="76104C97" w14:textId="77777777" w:rsidR="00937D95" w:rsidRPr="00937D95" w:rsidRDefault="00937D95" w:rsidP="00937D95">
      <w:r w:rsidRPr="00937D95">
        <w:t xml:space="preserve">The </w:t>
      </w:r>
      <w:r w:rsidRPr="00937D95">
        <w:rPr>
          <w:b/>
          <w:bCs/>
        </w:rPr>
        <w:t>Bank of Canada’s framework</w:t>
      </w:r>
      <w:r w:rsidRPr="00937D95">
        <w:t xml:space="preserve"> demonstrates this principle vividly. By focusing on price stability as the path to long-run prosperity, the Bank avoided the temptation to fine-tune short-term outcomes. Similarly, the </w:t>
      </w:r>
      <w:r w:rsidRPr="00937D95">
        <w:rPr>
          <w:b/>
          <w:bCs/>
        </w:rPr>
        <w:t>Reserve Bank of New Zealand</w:t>
      </w:r>
      <w:r w:rsidRPr="00937D95">
        <w:t xml:space="preserve"> evolved toward a flexible inflation-targeting regime, allowing for temporary deviations from the target during shocks while maintaining its credibility and long-term anchor. This alignment of objectives has been key to maintaining stability — especially in small open economies where exchange-rate and output fluctuations can be large.</w:t>
      </w:r>
    </w:p>
    <w:p w14:paraId="6A5732A4" w14:textId="77777777" w:rsidR="00937D95" w:rsidRPr="00937D95" w:rsidRDefault="00937D95" w:rsidP="00937D95">
      <w:r w:rsidRPr="00937D95">
        <w:t xml:space="preserve">Empirical evidence supports these lessons. Countries with clear nominal anchors and consistent objectives — such as </w:t>
      </w:r>
      <w:r w:rsidRPr="00937D95">
        <w:rPr>
          <w:b/>
          <w:bCs/>
        </w:rPr>
        <w:t>Canada, New Zealand, the United Kingdom</w:t>
      </w:r>
      <w:r w:rsidRPr="00937D95">
        <w:t xml:space="preserve">, and later </w:t>
      </w:r>
      <w:r w:rsidRPr="00937D95">
        <w:rPr>
          <w:b/>
          <w:bCs/>
        </w:rPr>
        <w:t>the Czech Republic</w:t>
      </w:r>
      <w:r w:rsidRPr="00937D95">
        <w:t xml:space="preserve"> — have all experienced lower macroeconomic volatility and faster recoveries from shocks. Studies by </w:t>
      </w:r>
      <w:r w:rsidRPr="00937D95">
        <w:rPr>
          <w:b/>
          <w:bCs/>
        </w:rPr>
        <w:t>Freedman and Laxton (2009)</w:t>
      </w:r>
      <w:r w:rsidRPr="00937D95">
        <w:t xml:space="preserve"> show that the greatest gains in credibility occurred where targets were explicit, communication transparent, and objectives consistent with one another.</w:t>
      </w:r>
    </w:p>
    <w:p w14:paraId="2E3EAC19" w14:textId="77777777" w:rsidR="00937D95" w:rsidRPr="00937D95" w:rsidRDefault="00937D95" w:rsidP="00937D95">
      <w:r w:rsidRPr="00937D95">
        <w:t>These results remind us that clarity and coherence are not just principles of good design — they are measurable sources of public trust and economic welfare.</w:t>
      </w:r>
    </w:p>
    <w:p w14:paraId="355D11DA" w14:textId="77777777" w:rsidR="00937D95" w:rsidRPr="00937D95" w:rsidRDefault="00937D95" w:rsidP="00937D95">
      <w:r w:rsidRPr="00937D95">
        <w:t xml:space="preserve">Finally, let’s turn to what these principles mean for </w:t>
      </w:r>
      <w:r w:rsidRPr="00937D95">
        <w:rPr>
          <w:b/>
          <w:bCs/>
        </w:rPr>
        <w:t>Armenia’s FPAS Mark II framework</w:t>
      </w:r>
      <w:r w:rsidRPr="00937D95">
        <w:t xml:space="preserve">. In FPAS Mark II, these first two principles define the structure and purpose of the entire forecasting and decision-making process. The </w:t>
      </w:r>
      <w:r w:rsidRPr="00937D95">
        <w:rPr>
          <w:b/>
          <w:bCs/>
        </w:rPr>
        <w:t>nominal anchor</w:t>
      </w:r>
      <w:r w:rsidRPr="00937D95">
        <w:t xml:space="preserve">, expressed as a clear and forward-looking inflation objective, guides scenario design, forecast discussions, and communication. </w:t>
      </w:r>
      <w:r w:rsidRPr="00937D95">
        <w:rPr>
          <w:b/>
          <w:bCs/>
        </w:rPr>
        <w:t>Consistency across objectives</w:t>
      </w:r>
      <w:r w:rsidRPr="00937D95">
        <w:t xml:space="preserve"> ensures that the Central Bank’s messages to the public, government, and financial sector are coherent and aligned.</w:t>
      </w:r>
    </w:p>
    <w:p w14:paraId="4E8298B5" w14:textId="77777777" w:rsidR="00937D95" w:rsidRPr="00937D95" w:rsidRDefault="00937D95" w:rsidP="00937D95">
      <w:r w:rsidRPr="00937D95">
        <w:t xml:space="preserve">This disciplined yet flexible framework allows policymakers to make decisions that are both credible and adaptive to uncertainty. It embodies the broader philosophy of </w:t>
      </w:r>
      <w:r w:rsidRPr="00937D95">
        <w:rPr>
          <w:b/>
          <w:bCs/>
        </w:rPr>
        <w:t>prudent risk management</w:t>
      </w:r>
      <w:r w:rsidRPr="00937D95">
        <w:t xml:space="preserve"> that defines modern inflation-targeting practice.</w:t>
      </w:r>
    </w:p>
    <w:p w14:paraId="032940A8" w14:textId="77777777" w:rsidR="00937D95" w:rsidRPr="00937D95" w:rsidRDefault="00937D95" w:rsidP="00937D95">
      <w:r w:rsidRPr="00937D95">
        <w:t>To sum up, these first two principles — a clear nominal anchor and consistency among objectives — are what make monetary policy credible, coherent, and resilient. They ensure that even in uncertain times, central banks stay focused on what matters most: maintaining public trust and long-term stability.</w:t>
      </w:r>
    </w:p>
    <w:p w14:paraId="60A22BE5" w14:textId="77777777" w:rsidR="00937D95" w:rsidRPr="00937D95" w:rsidRDefault="00937D95" w:rsidP="00937D95">
      <w:r w:rsidRPr="00937D95">
        <w:t xml:space="preserve">In our next video, we’ll move on to </w:t>
      </w:r>
      <w:r w:rsidRPr="00937D95">
        <w:rPr>
          <w:b/>
          <w:bCs/>
        </w:rPr>
        <w:t>Principles Three and Four</w:t>
      </w:r>
      <w:r w:rsidRPr="00937D95">
        <w:t xml:space="preserve">, exploring how monetary policy interacts with fiscal policy and the real economy. Thank you for watching, and I look forward to seeing you in the next episode of the </w:t>
      </w:r>
      <w:r w:rsidRPr="00937D95">
        <w:rPr>
          <w:b/>
          <w:bCs/>
        </w:rPr>
        <w:t>CBA Academy</w:t>
      </w:r>
      <w:r w:rsidRPr="00937D95">
        <w:t>.</w:t>
      </w:r>
    </w:p>
    <w:p w14:paraId="66ED25DC" w14:textId="77777777" w:rsidR="00456F43" w:rsidRDefault="00456F43"/>
    <w:sectPr w:rsidR="00456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09"/>
    <w:rsid w:val="000064B8"/>
    <w:rsid w:val="003E0332"/>
    <w:rsid w:val="00456F43"/>
    <w:rsid w:val="00721C29"/>
    <w:rsid w:val="00937D95"/>
    <w:rsid w:val="00CB466F"/>
    <w:rsid w:val="00D14B09"/>
    <w:rsid w:val="00D6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C560D5-EDE7-4F43-9720-31F6B278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2</cp:revision>
  <dcterms:created xsi:type="dcterms:W3CDTF">2025-11-11T19:56:00Z</dcterms:created>
  <dcterms:modified xsi:type="dcterms:W3CDTF">2025-11-11T19:57:00Z</dcterms:modified>
</cp:coreProperties>
</file>