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33475" w14:textId="11E01437" w:rsidR="00456F43" w:rsidRDefault="0072308F" w:rsidP="0072308F">
      <w:pPr>
        <w:jc w:val="center"/>
        <w:rPr>
          <w:b/>
          <w:bCs/>
          <w:color w:val="156082" w:themeColor="accent1"/>
          <w:sz w:val="28"/>
          <w:szCs w:val="28"/>
        </w:rPr>
      </w:pPr>
      <w:r w:rsidRPr="0072308F">
        <w:rPr>
          <w:b/>
          <w:bCs/>
          <w:color w:val="156082" w:themeColor="accent1"/>
          <w:sz w:val="28"/>
          <w:szCs w:val="28"/>
        </w:rPr>
        <w:t>Welcome to the Central Bank of Armenia</w:t>
      </w:r>
    </w:p>
    <w:p w14:paraId="648BEAEB" w14:textId="77777777" w:rsidR="00B421EB" w:rsidRDefault="00B421EB" w:rsidP="0072308F">
      <w:pPr>
        <w:jc w:val="center"/>
        <w:rPr>
          <w:b/>
          <w:bCs/>
          <w:color w:val="156082" w:themeColor="accent1"/>
          <w:sz w:val="28"/>
          <w:szCs w:val="28"/>
        </w:rPr>
      </w:pPr>
    </w:p>
    <w:p w14:paraId="06487A37" w14:textId="77777777" w:rsidR="004171D3" w:rsidRPr="004171D3" w:rsidRDefault="004171D3" w:rsidP="004171D3">
      <w:r w:rsidRPr="004171D3">
        <w:rPr>
          <w:b/>
          <w:bCs/>
        </w:rPr>
        <w:t>Note</w:t>
      </w:r>
    </w:p>
    <w:p w14:paraId="25854003" w14:textId="4030806D" w:rsidR="004171D3" w:rsidRPr="004171D3" w:rsidRDefault="004171D3" w:rsidP="00F53F4C">
      <w:pPr>
        <w:jc w:val="both"/>
      </w:pPr>
      <w:r w:rsidRPr="004171D3">
        <w:t xml:space="preserve">Welcome to the Central Bank of Armenia and the </w:t>
      </w:r>
      <w:r w:rsidRPr="004171D3">
        <w:rPr>
          <w:b/>
          <w:bCs/>
        </w:rPr>
        <w:t>CBA Academy</w:t>
      </w:r>
      <w:r w:rsidRPr="004171D3">
        <w:t>!</w:t>
      </w:r>
      <w:r w:rsidR="00F53F4C">
        <w:t xml:space="preserve"> </w:t>
      </w:r>
      <w:r w:rsidRPr="004171D3">
        <w:t xml:space="preserve">This onboarding program introduces you to the ideas, principles, and practices that guide modern monetary policy and the CBA’s </w:t>
      </w:r>
      <w:r w:rsidRPr="004171D3">
        <w:rPr>
          <w:b/>
          <w:bCs/>
        </w:rPr>
        <w:t>Prudent Risk Management Approach (FPAS Mark II)</w:t>
      </w:r>
      <w:r w:rsidRPr="004171D3">
        <w:t>.</w:t>
      </w:r>
      <w:r w:rsidRPr="004171D3">
        <w:br/>
        <w:t>Through short, focused videos, you’ll explore how the CBA makes policy decisions under uncertainty—combining global lessons with Armenia’s own experience.</w:t>
      </w:r>
      <w:r w:rsidRPr="004171D3">
        <w:br/>
        <w:t>The goal is not technical mastery, but shared understanding, sound judgment, and a common language for effective decision-making.</w:t>
      </w:r>
    </w:p>
    <w:p w14:paraId="03F582A0" w14:textId="77777777" w:rsidR="004171D3" w:rsidRPr="004171D3" w:rsidRDefault="00000000" w:rsidP="00F53F4C">
      <w:pPr>
        <w:jc w:val="both"/>
      </w:pPr>
      <w:r>
        <w:pict w14:anchorId="040912B2">
          <v:rect id="_x0000_i1025" style="width:0;height:1.5pt" o:hralign="center" o:hrstd="t" o:hr="t" fillcolor="#a0a0a0" stroked="f"/>
        </w:pict>
      </w:r>
    </w:p>
    <w:p w14:paraId="74100935" w14:textId="77777777" w:rsidR="00F53F4C" w:rsidRDefault="00F53F4C" w:rsidP="00F53F4C">
      <w:pPr>
        <w:jc w:val="both"/>
        <w:rPr>
          <w:b/>
          <w:bCs/>
        </w:rPr>
      </w:pPr>
    </w:p>
    <w:p w14:paraId="11D8A0A1" w14:textId="558DB629" w:rsidR="00F53F4C" w:rsidRDefault="00F53F4C" w:rsidP="00F53F4C">
      <w:pPr>
        <w:rPr>
          <w:b/>
          <w:bCs/>
        </w:rPr>
      </w:pPr>
      <w:r w:rsidRPr="00F53F4C">
        <w:rPr>
          <w:b/>
          <w:bCs/>
        </w:rPr>
        <w:t>Welcome to the Central Bank of Armenia</w:t>
      </w:r>
    </w:p>
    <w:p w14:paraId="1C981B0F" w14:textId="5C9C00EF" w:rsidR="00F53F4C" w:rsidRDefault="004171D3" w:rsidP="00F53F4C">
      <w:pPr>
        <w:jc w:val="both"/>
      </w:pPr>
      <w:r w:rsidRPr="004171D3">
        <w:t xml:space="preserve">Hi, I’m </w:t>
      </w:r>
      <w:r w:rsidRPr="004171D3">
        <w:rPr>
          <w:b/>
          <w:bCs/>
        </w:rPr>
        <w:t>Va</w:t>
      </w:r>
      <w:r w:rsidR="006304E7">
        <w:rPr>
          <w:b/>
          <w:bCs/>
        </w:rPr>
        <w:t>z</w:t>
      </w:r>
      <w:r w:rsidRPr="004171D3">
        <w:rPr>
          <w:b/>
          <w:bCs/>
        </w:rPr>
        <w:t>gen Poghosyan</w:t>
      </w:r>
      <w:r w:rsidRPr="004171D3">
        <w:t>, Head of the Monetary Policy Department at the Central Bank of Armenia.</w:t>
      </w:r>
      <w:r w:rsidR="00F53F4C">
        <w:t xml:space="preserve"> </w:t>
      </w:r>
    </w:p>
    <w:p w14:paraId="4487192E" w14:textId="31C2E356" w:rsidR="004171D3" w:rsidRPr="004171D3" w:rsidRDefault="004171D3" w:rsidP="00F53F4C">
      <w:pPr>
        <w:jc w:val="both"/>
      </w:pPr>
      <w:r w:rsidRPr="004171D3">
        <w:t xml:space="preserve">I want to start by welcoming you to the Central Bank of Armenia and to this special learning platform we call the </w:t>
      </w:r>
      <w:r w:rsidRPr="004171D3">
        <w:rPr>
          <w:b/>
          <w:bCs/>
        </w:rPr>
        <w:t>CBA Academy</w:t>
      </w:r>
      <w:r w:rsidRPr="004171D3">
        <w:t>.</w:t>
      </w:r>
    </w:p>
    <w:p w14:paraId="0E0E7088" w14:textId="77777777" w:rsidR="00F53F4C" w:rsidRDefault="004171D3" w:rsidP="00F53F4C">
      <w:pPr>
        <w:jc w:val="both"/>
      </w:pPr>
      <w:r w:rsidRPr="004171D3">
        <w:t>Congratulations on your appointment!</w:t>
      </w:r>
      <w:r w:rsidR="00F53F4C">
        <w:t xml:space="preserve"> </w:t>
      </w:r>
    </w:p>
    <w:p w14:paraId="0DDDDF8B" w14:textId="0EFC6E29" w:rsidR="004171D3" w:rsidRPr="004171D3" w:rsidRDefault="004171D3" w:rsidP="00F53F4C">
      <w:pPr>
        <w:jc w:val="both"/>
      </w:pPr>
      <w:r w:rsidRPr="004171D3">
        <w:t xml:space="preserve">Joining the </w:t>
      </w:r>
      <w:r w:rsidR="00F53F4C">
        <w:t>Central Bank of Armenia</w:t>
      </w:r>
      <w:r w:rsidRPr="004171D3">
        <w:t xml:space="preserve"> is not just an </w:t>
      </w:r>
      <w:proofErr w:type="spellStart"/>
      <w:r w:rsidRPr="004171D3">
        <w:t>honor</w:t>
      </w:r>
      <w:proofErr w:type="spellEnd"/>
      <w:r w:rsidRPr="004171D3">
        <w:t>—it’s a responsibility. You’re stepping into a role that helps shape the future of Armenia’s economy, and we’re here to ensure you’re fully equipped for that task.</w:t>
      </w:r>
    </w:p>
    <w:p w14:paraId="13D58535" w14:textId="77777777" w:rsidR="004171D3" w:rsidRPr="004171D3" w:rsidRDefault="004171D3" w:rsidP="00F53F4C">
      <w:pPr>
        <w:jc w:val="both"/>
      </w:pPr>
      <w:r w:rsidRPr="004171D3">
        <w:t>This onboarding journey is about more than learning the mechanics of monetary policy.</w:t>
      </w:r>
      <w:r w:rsidRPr="004171D3">
        <w:br/>
        <w:t>It’s about building a shared mindset for making decisions under uncertainty—that’s what modern central banking is really about.</w:t>
      </w:r>
    </w:p>
    <w:p w14:paraId="7653FB91" w14:textId="77777777" w:rsidR="00F53F4C" w:rsidRDefault="004171D3" w:rsidP="00F53F4C">
      <w:pPr>
        <w:jc w:val="both"/>
      </w:pPr>
      <w:r w:rsidRPr="004171D3">
        <w:t xml:space="preserve">So, what is the </w:t>
      </w:r>
      <w:r w:rsidRPr="004171D3">
        <w:rPr>
          <w:b/>
          <w:bCs/>
        </w:rPr>
        <w:t>CBA Academy</w:t>
      </w:r>
      <w:r w:rsidRPr="004171D3">
        <w:t>?</w:t>
      </w:r>
      <w:r w:rsidR="00F53F4C">
        <w:t xml:space="preserve"> </w:t>
      </w:r>
    </w:p>
    <w:p w14:paraId="282CD134" w14:textId="77777777" w:rsidR="00F53F4C" w:rsidRDefault="004171D3" w:rsidP="00F53F4C">
      <w:pPr>
        <w:jc w:val="both"/>
      </w:pPr>
      <w:r w:rsidRPr="004171D3">
        <w:t>It’s our internal learning hub—a space to reflect, ask questions, and engage with the big ideas that guide our work.</w:t>
      </w:r>
      <w:r w:rsidR="00F53F4C">
        <w:t xml:space="preserve"> </w:t>
      </w:r>
    </w:p>
    <w:p w14:paraId="47325ADA" w14:textId="589A07DF" w:rsidR="004171D3" w:rsidRPr="004171D3" w:rsidRDefault="004171D3" w:rsidP="00F53F4C">
      <w:pPr>
        <w:jc w:val="both"/>
      </w:pPr>
      <w:r w:rsidRPr="004171D3">
        <w:t xml:space="preserve">We’ve designed this video series to help you connect the dots between </w:t>
      </w:r>
      <w:r w:rsidRPr="004171D3">
        <w:rPr>
          <w:b/>
          <w:bCs/>
        </w:rPr>
        <w:t>global monetary-policy thinking</w:t>
      </w:r>
      <w:r w:rsidRPr="004171D3">
        <w:t xml:space="preserve"> and the specific framework we use here in Armenia—a framework known as </w:t>
      </w:r>
      <w:r w:rsidRPr="004171D3">
        <w:rPr>
          <w:b/>
          <w:bCs/>
        </w:rPr>
        <w:t>FPAS Mark II</w:t>
      </w:r>
      <w:r w:rsidRPr="004171D3">
        <w:t xml:space="preserve">, or the </w:t>
      </w:r>
      <w:r w:rsidRPr="004171D3">
        <w:rPr>
          <w:b/>
          <w:bCs/>
        </w:rPr>
        <w:t>Prudent Risk Management Approach</w:t>
      </w:r>
      <w:r w:rsidRPr="004171D3">
        <w:t>.</w:t>
      </w:r>
    </w:p>
    <w:p w14:paraId="71D4372E" w14:textId="77777777" w:rsidR="004171D3" w:rsidRPr="004171D3" w:rsidRDefault="004171D3" w:rsidP="00F53F4C">
      <w:pPr>
        <w:jc w:val="both"/>
      </w:pPr>
      <w:r w:rsidRPr="004171D3">
        <w:lastRenderedPageBreak/>
        <w:t>The structure is simple:</w:t>
      </w:r>
    </w:p>
    <w:p w14:paraId="7555E5AE" w14:textId="77777777" w:rsidR="004171D3" w:rsidRPr="004171D3" w:rsidRDefault="004171D3" w:rsidP="00F53F4C">
      <w:pPr>
        <w:numPr>
          <w:ilvl w:val="0"/>
          <w:numId w:val="3"/>
        </w:numPr>
        <w:jc w:val="both"/>
      </w:pPr>
      <w:r w:rsidRPr="004171D3">
        <w:rPr>
          <w:b/>
          <w:bCs/>
        </w:rPr>
        <w:t>We begin with history</w:t>
      </w:r>
      <w:r w:rsidRPr="004171D3">
        <w:t>—lessons from past policy failures and successes.</w:t>
      </w:r>
    </w:p>
    <w:p w14:paraId="7B593BB8" w14:textId="77777777" w:rsidR="004171D3" w:rsidRPr="004171D3" w:rsidRDefault="004171D3" w:rsidP="00F53F4C">
      <w:pPr>
        <w:numPr>
          <w:ilvl w:val="0"/>
          <w:numId w:val="3"/>
        </w:numPr>
        <w:jc w:val="both"/>
      </w:pPr>
      <w:r w:rsidRPr="004171D3">
        <w:t xml:space="preserve">Then we walk through the </w:t>
      </w:r>
      <w:r w:rsidRPr="004171D3">
        <w:rPr>
          <w:b/>
          <w:bCs/>
        </w:rPr>
        <w:t>core principles of inflation targeting</w:t>
      </w:r>
      <w:r w:rsidRPr="004171D3">
        <w:t>: establishing clear nominal anchors, strengthening communication, and designing resilient institutions.</w:t>
      </w:r>
    </w:p>
    <w:p w14:paraId="2954F742" w14:textId="77777777" w:rsidR="004171D3" w:rsidRPr="004171D3" w:rsidRDefault="004171D3" w:rsidP="00F53F4C">
      <w:pPr>
        <w:numPr>
          <w:ilvl w:val="0"/>
          <w:numId w:val="3"/>
        </w:numPr>
        <w:jc w:val="both"/>
      </w:pPr>
      <w:r w:rsidRPr="004171D3">
        <w:t xml:space="preserve">From there, we examine the </w:t>
      </w:r>
      <w:r w:rsidRPr="004171D3">
        <w:rPr>
          <w:b/>
          <w:bCs/>
        </w:rPr>
        <w:t>limits of FPAS Mark I</w:t>
      </w:r>
      <w:r w:rsidRPr="004171D3">
        <w:t xml:space="preserve"> and how </w:t>
      </w:r>
      <w:r w:rsidRPr="004171D3">
        <w:rPr>
          <w:b/>
          <w:bCs/>
        </w:rPr>
        <w:t>FPAS Mark II</w:t>
      </w:r>
      <w:r w:rsidRPr="004171D3">
        <w:t xml:space="preserve"> evolved to address a more uncertain and complex world.</w:t>
      </w:r>
    </w:p>
    <w:p w14:paraId="61ACF286" w14:textId="77777777" w:rsidR="004171D3" w:rsidRPr="004171D3" w:rsidRDefault="004171D3" w:rsidP="00F53F4C">
      <w:pPr>
        <w:jc w:val="both"/>
      </w:pPr>
      <w:r w:rsidRPr="004171D3">
        <w:t xml:space="preserve">We’ll also walk you through our </w:t>
      </w:r>
      <w:r w:rsidRPr="004171D3">
        <w:rPr>
          <w:b/>
          <w:bCs/>
        </w:rPr>
        <w:t>decision-making cycle</w:t>
      </w:r>
      <w:r w:rsidRPr="004171D3">
        <w:t xml:space="preserve">, the scenarios we use, and how staff and Board roles are designed to support </w:t>
      </w:r>
      <w:r w:rsidRPr="004171D3">
        <w:rPr>
          <w:b/>
          <w:bCs/>
        </w:rPr>
        <w:t>high-quality judgment</w:t>
      </w:r>
      <w:r w:rsidRPr="004171D3">
        <w:t>.</w:t>
      </w:r>
    </w:p>
    <w:p w14:paraId="42E0F990" w14:textId="77777777" w:rsidR="004171D3" w:rsidRPr="004171D3" w:rsidRDefault="004171D3" w:rsidP="00F53F4C">
      <w:pPr>
        <w:jc w:val="both"/>
      </w:pPr>
      <w:r w:rsidRPr="004171D3">
        <w:t>These are short videos—five to ten minutes each—but don’t mistake brevity for simplicity.</w:t>
      </w:r>
      <w:r w:rsidRPr="004171D3">
        <w:br/>
        <w:t xml:space="preserve">The goal isn’t to give you a checklist; it’s to build </w:t>
      </w:r>
      <w:r w:rsidRPr="004171D3">
        <w:rPr>
          <w:b/>
          <w:bCs/>
        </w:rPr>
        <w:t>intuition</w:t>
      </w:r>
      <w:r w:rsidRPr="004171D3">
        <w:t>—a way of thinking, a toolkit for navigating complexity.</w:t>
      </w:r>
    </w:p>
    <w:p w14:paraId="4BD2DEF5" w14:textId="77777777" w:rsidR="004171D3" w:rsidRPr="004171D3" w:rsidRDefault="004171D3" w:rsidP="00F53F4C">
      <w:pPr>
        <w:jc w:val="both"/>
      </w:pPr>
      <w:r w:rsidRPr="004171D3">
        <w:t xml:space="preserve">There are no exams, no equations—just meaningful conversations backed by </w:t>
      </w:r>
      <w:r w:rsidRPr="004171D3">
        <w:rPr>
          <w:b/>
          <w:bCs/>
        </w:rPr>
        <w:t>practical experience</w:t>
      </w:r>
      <w:r w:rsidRPr="004171D3">
        <w:t xml:space="preserve"> and </w:t>
      </w:r>
      <w:r w:rsidRPr="004171D3">
        <w:rPr>
          <w:b/>
          <w:bCs/>
        </w:rPr>
        <w:t>modern institutional thinking</w:t>
      </w:r>
      <w:r w:rsidRPr="004171D3">
        <w:t xml:space="preserve"> from Armenia and beyond.</w:t>
      </w:r>
    </w:p>
    <w:p w14:paraId="73C02814" w14:textId="77777777" w:rsidR="004171D3" w:rsidRPr="004171D3" w:rsidRDefault="004171D3" w:rsidP="00F53F4C">
      <w:pPr>
        <w:jc w:val="both"/>
      </w:pPr>
      <w:r w:rsidRPr="004171D3">
        <w:t xml:space="preserve">As you watch, I encourage you to think not only about the technical content, but also about </w:t>
      </w:r>
      <w:r w:rsidRPr="004171D3">
        <w:rPr>
          <w:b/>
          <w:bCs/>
        </w:rPr>
        <w:t>how we make decisions together</w:t>
      </w:r>
      <w:r w:rsidRPr="004171D3">
        <w:t>.</w:t>
      </w:r>
    </w:p>
    <w:p w14:paraId="4419DA51" w14:textId="77777777" w:rsidR="00F53F4C" w:rsidRDefault="004171D3" w:rsidP="00F53F4C">
      <w:pPr>
        <w:jc w:val="both"/>
      </w:pPr>
      <w:r w:rsidRPr="004171D3">
        <w:t xml:space="preserve">At the CBA, we take pride in being a </w:t>
      </w:r>
      <w:r w:rsidRPr="004171D3">
        <w:rPr>
          <w:b/>
          <w:bCs/>
        </w:rPr>
        <w:t>learning organization</w:t>
      </w:r>
      <w:r w:rsidRPr="004171D3">
        <w:t>.</w:t>
      </w:r>
      <w:r w:rsidR="00F53F4C">
        <w:t xml:space="preserve"> </w:t>
      </w:r>
    </w:p>
    <w:p w14:paraId="2DCE879F" w14:textId="657B3E81" w:rsidR="004171D3" w:rsidRPr="004171D3" w:rsidRDefault="004171D3" w:rsidP="00F53F4C">
      <w:pPr>
        <w:jc w:val="both"/>
      </w:pPr>
      <w:r w:rsidRPr="004171D3">
        <w:t>That means we expect questions, welcome diverse views, and value reflection just as much as action.</w:t>
      </w:r>
    </w:p>
    <w:p w14:paraId="61B56739" w14:textId="77777777" w:rsidR="00F53F4C" w:rsidRDefault="004171D3" w:rsidP="00F53F4C">
      <w:pPr>
        <w:jc w:val="both"/>
      </w:pPr>
      <w:r w:rsidRPr="004171D3">
        <w:t>This series is only the beginning—it’s designed to get us on the same page and build a shared foundation.</w:t>
      </w:r>
    </w:p>
    <w:p w14:paraId="51D2AB3D" w14:textId="576BE823" w:rsidR="004171D3" w:rsidRPr="004171D3" w:rsidRDefault="004171D3" w:rsidP="00F53F4C">
      <w:pPr>
        <w:jc w:val="both"/>
      </w:pPr>
      <w:r w:rsidRPr="004171D3">
        <w:t xml:space="preserve">But the real learning will happen in the conversations you have with staff, </w:t>
      </w:r>
      <w:r w:rsidR="00F53F4C">
        <w:t xml:space="preserve"> </w:t>
      </w:r>
      <w:r w:rsidRPr="004171D3">
        <w:t xml:space="preserve">Board members, and—most importantly—in the </w:t>
      </w:r>
      <w:r w:rsidRPr="004171D3">
        <w:rPr>
          <w:b/>
          <w:bCs/>
        </w:rPr>
        <w:t>decisions you help make</w:t>
      </w:r>
      <w:r w:rsidRPr="004171D3">
        <w:t>.</w:t>
      </w:r>
    </w:p>
    <w:p w14:paraId="54B8F06B" w14:textId="77777777" w:rsidR="00F53F4C" w:rsidRDefault="004171D3" w:rsidP="00F53F4C">
      <w:pPr>
        <w:jc w:val="both"/>
      </w:pPr>
      <w:r w:rsidRPr="004171D3">
        <w:t xml:space="preserve">So once again, </w:t>
      </w:r>
      <w:r w:rsidRPr="004171D3">
        <w:rPr>
          <w:b/>
          <w:bCs/>
        </w:rPr>
        <w:t>welcome to the CBA</w:t>
      </w:r>
      <w:r w:rsidRPr="004171D3">
        <w:t>.</w:t>
      </w:r>
    </w:p>
    <w:p w14:paraId="1A002E9C" w14:textId="15C313A4" w:rsidR="004171D3" w:rsidRDefault="004171D3" w:rsidP="00F53F4C">
      <w:pPr>
        <w:jc w:val="both"/>
      </w:pPr>
      <w:r w:rsidRPr="004171D3">
        <w:t xml:space="preserve">I’m </w:t>
      </w:r>
      <w:r w:rsidRPr="004171D3">
        <w:rPr>
          <w:b/>
          <w:bCs/>
        </w:rPr>
        <w:t>Va</w:t>
      </w:r>
      <w:r w:rsidR="000E5C6A">
        <w:rPr>
          <w:b/>
          <w:bCs/>
        </w:rPr>
        <w:t>z</w:t>
      </w:r>
      <w:r w:rsidRPr="004171D3">
        <w:rPr>
          <w:b/>
          <w:bCs/>
        </w:rPr>
        <w:t>gen Poghosyan</w:t>
      </w:r>
      <w:r w:rsidRPr="004171D3">
        <w:t>, and I look forward to learning and growing together in the next episodes.</w:t>
      </w:r>
    </w:p>
    <w:p w14:paraId="5F3FE323" w14:textId="77777777" w:rsidR="00F53F4C" w:rsidRPr="004171D3" w:rsidRDefault="00F53F4C" w:rsidP="00F53F4C">
      <w:pPr>
        <w:jc w:val="both"/>
      </w:pPr>
    </w:p>
    <w:p w14:paraId="744CF77B" w14:textId="54D19EF9" w:rsidR="0072308F" w:rsidRPr="00B421EB" w:rsidRDefault="00B421EB">
      <w:pPr>
        <w:rPr>
          <w:b/>
          <w:bCs/>
        </w:rPr>
      </w:pPr>
      <w:r w:rsidRPr="00B421EB">
        <w:rPr>
          <w:b/>
          <w:bCs/>
        </w:rPr>
        <w:t>Literature &amp; Further Reading</w:t>
      </w:r>
    </w:p>
    <w:p w14:paraId="547D8E8A" w14:textId="77777777" w:rsidR="00B421EB" w:rsidRPr="00B421EB" w:rsidRDefault="00B421EB" w:rsidP="00B421EB">
      <w:pPr>
        <w:numPr>
          <w:ilvl w:val="0"/>
          <w:numId w:val="2"/>
        </w:numPr>
      </w:pPr>
      <w:hyperlink r:id="rId7" w:tgtFrame="_blank" w:history="1">
        <w:r w:rsidRPr="00B421EB">
          <w:rPr>
            <w:rStyle w:val="Hyperlink"/>
          </w:rPr>
          <w:t>Central Bank of Armenia — Official Website</w:t>
        </w:r>
      </w:hyperlink>
    </w:p>
    <w:p w14:paraId="6FD23293" w14:textId="77777777" w:rsidR="00B421EB" w:rsidRPr="00B421EB" w:rsidRDefault="00B421EB" w:rsidP="00B421EB">
      <w:pPr>
        <w:numPr>
          <w:ilvl w:val="0"/>
          <w:numId w:val="2"/>
        </w:numPr>
      </w:pPr>
      <w:hyperlink r:id="rId8" w:tgtFrame="_blank" w:history="1">
        <w:r w:rsidRPr="00B421EB">
          <w:rPr>
            <w:rStyle w:val="Hyperlink"/>
          </w:rPr>
          <w:t>The Better Policy Project</w:t>
        </w:r>
      </w:hyperlink>
    </w:p>
    <w:p w14:paraId="6DEB2790" w14:textId="77777777" w:rsidR="00B421EB" w:rsidRPr="00B421EB" w:rsidRDefault="00B421EB" w:rsidP="00B421EB">
      <w:pPr>
        <w:numPr>
          <w:ilvl w:val="0"/>
          <w:numId w:val="2"/>
        </w:numPr>
      </w:pPr>
      <w:hyperlink r:id="rId9" w:tgtFrame="_blank" w:history="1">
        <w:r w:rsidRPr="00B421EB">
          <w:rPr>
            <w:rStyle w:val="Hyperlink"/>
          </w:rPr>
          <w:t>Prudent Risk Management Approach to Monetary Policy (Book)</w:t>
        </w:r>
      </w:hyperlink>
    </w:p>
    <w:p w14:paraId="7159AA62" w14:textId="77777777" w:rsidR="00B421EB" w:rsidRPr="00B421EB" w:rsidRDefault="00B421EB" w:rsidP="00B421EB">
      <w:pPr>
        <w:numPr>
          <w:ilvl w:val="0"/>
          <w:numId w:val="2"/>
        </w:numPr>
      </w:pPr>
      <w:hyperlink r:id="rId10" w:tgtFrame="_blank" w:history="1">
        <w:r w:rsidRPr="00B421EB">
          <w:rPr>
            <w:rStyle w:val="Hyperlink"/>
          </w:rPr>
          <w:t>FPAS Mark II: Avoiding Dark Corners and Eliminating the Folly in Baselines and Local Approximations</w:t>
        </w:r>
      </w:hyperlink>
    </w:p>
    <w:p w14:paraId="29A63258" w14:textId="77777777" w:rsidR="00B421EB" w:rsidRDefault="00B421EB"/>
    <w:sectPr w:rsidR="00B421EB" w:rsidSect="0072308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4C180D" w14:textId="77777777" w:rsidR="00F7297D" w:rsidRDefault="00F7297D" w:rsidP="0072308F">
      <w:pPr>
        <w:spacing w:after="0" w:line="240" w:lineRule="auto"/>
      </w:pPr>
      <w:r>
        <w:separator/>
      </w:r>
    </w:p>
  </w:endnote>
  <w:endnote w:type="continuationSeparator" w:id="0">
    <w:p w14:paraId="6D761CB7" w14:textId="77777777" w:rsidR="00F7297D" w:rsidRDefault="00F7297D" w:rsidP="00723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15DD0" w14:textId="77777777" w:rsidR="0072308F" w:rsidRDefault="0072308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9552D" w14:textId="77777777" w:rsidR="0072308F" w:rsidRDefault="0072308F">
    <w:pPr>
      <w:pStyle w:val="Footer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75CE2ABF" w14:textId="77777777" w:rsidR="0072308F" w:rsidRDefault="0072308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769F9" w14:textId="77777777" w:rsidR="0072308F" w:rsidRDefault="007230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85BEB" w14:textId="77777777" w:rsidR="00F7297D" w:rsidRDefault="00F7297D" w:rsidP="0072308F">
      <w:pPr>
        <w:spacing w:after="0" w:line="240" w:lineRule="auto"/>
      </w:pPr>
      <w:r>
        <w:separator/>
      </w:r>
    </w:p>
  </w:footnote>
  <w:footnote w:type="continuationSeparator" w:id="0">
    <w:p w14:paraId="4F36AD9D" w14:textId="77777777" w:rsidR="00F7297D" w:rsidRDefault="00F7297D" w:rsidP="007230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512AB" w14:textId="77777777" w:rsidR="0072308F" w:rsidRDefault="007230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08"/>
      <w:gridCol w:w="4508"/>
    </w:tblGrid>
    <w:tr w:rsidR="0072308F" w14:paraId="4FF94FDD" w14:textId="77777777" w:rsidTr="0072308F">
      <w:tc>
        <w:tcPr>
          <w:tcW w:w="4508" w:type="dxa"/>
        </w:tcPr>
        <w:p w14:paraId="7E8B976A" w14:textId="52742C5B" w:rsidR="0072308F" w:rsidRDefault="0072308F">
          <w:pPr>
            <w:spacing w:line="264" w:lineRule="auto"/>
          </w:pPr>
          <w:r>
            <w:rPr>
              <w:noProof/>
            </w:rPr>
            <w:drawing>
              <wp:inline distT="0" distB="0" distL="0" distR="0" wp14:anchorId="4DD67A05" wp14:editId="79E9C5C3">
                <wp:extent cx="985837" cy="718131"/>
                <wp:effectExtent l="0" t="0" r="5080" b="6350"/>
                <wp:docPr id="4301005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8910838" name="Picture 53891083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4982" cy="7320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08" w:type="dxa"/>
        </w:tcPr>
        <w:p w14:paraId="4C3CB505" w14:textId="28E1B944" w:rsidR="0072308F" w:rsidRDefault="0072308F" w:rsidP="0072308F">
          <w:pPr>
            <w:spacing w:line="264" w:lineRule="auto"/>
            <w:jc w:val="right"/>
          </w:pPr>
          <w:r>
            <w:rPr>
              <w:noProof/>
            </w:rPr>
            <w:drawing>
              <wp:inline distT="0" distB="0" distL="0" distR="0" wp14:anchorId="768D2550" wp14:editId="709BD820">
                <wp:extent cx="809625" cy="809625"/>
                <wp:effectExtent l="0" t="0" r="9525" b="9525"/>
                <wp:docPr id="135099171" name="Picture 2" descr="A globe with a world map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71183935" name="Picture 2" descr="A globe with a world map&#10;&#10;AI-generated content may be incorrect.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4760" cy="814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00EC4AC4" w14:textId="5701E787" w:rsidR="0072308F" w:rsidRDefault="0072308F" w:rsidP="0072308F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FD75DD" wp14:editId="1D9F683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6B2A020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F1CDE" w14:textId="77777777" w:rsidR="0072308F" w:rsidRDefault="007230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E19FE"/>
    <w:multiLevelType w:val="multilevel"/>
    <w:tmpl w:val="9AC4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463008"/>
    <w:multiLevelType w:val="multilevel"/>
    <w:tmpl w:val="A4B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412D5B"/>
    <w:multiLevelType w:val="multilevel"/>
    <w:tmpl w:val="727A4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6826114">
    <w:abstractNumId w:val="0"/>
  </w:num>
  <w:num w:numId="2" w16cid:durableId="1737051266">
    <w:abstractNumId w:val="1"/>
  </w:num>
  <w:num w:numId="3" w16cid:durableId="21085720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90D"/>
    <w:rsid w:val="000064B8"/>
    <w:rsid w:val="00087444"/>
    <w:rsid w:val="000E5C6A"/>
    <w:rsid w:val="0025309E"/>
    <w:rsid w:val="003E0332"/>
    <w:rsid w:val="004047B2"/>
    <w:rsid w:val="004171D3"/>
    <w:rsid w:val="00456F43"/>
    <w:rsid w:val="004B4DD7"/>
    <w:rsid w:val="006304E7"/>
    <w:rsid w:val="00721C29"/>
    <w:rsid w:val="0072308F"/>
    <w:rsid w:val="007F690D"/>
    <w:rsid w:val="00B421EB"/>
    <w:rsid w:val="00BC2A6B"/>
    <w:rsid w:val="00CB466F"/>
    <w:rsid w:val="00F46733"/>
    <w:rsid w:val="00F53F4C"/>
    <w:rsid w:val="00F72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2A9C4B"/>
  <w15:chartTrackingRefBased/>
  <w15:docId w15:val="{06F01EE7-ED29-42F3-9059-F272FF826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9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9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9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9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9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30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308F"/>
  </w:style>
  <w:style w:type="paragraph" w:styleId="Footer">
    <w:name w:val="footer"/>
    <w:basedOn w:val="Normal"/>
    <w:link w:val="FooterChar"/>
    <w:uiPriority w:val="99"/>
    <w:unhideWhenUsed/>
    <w:rsid w:val="007230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308F"/>
  </w:style>
  <w:style w:type="table" w:styleId="TableGrid">
    <w:name w:val="Table Grid"/>
    <w:basedOn w:val="TableNormal"/>
    <w:uiPriority w:val="39"/>
    <w:rsid w:val="007230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230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30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betterpolicyproject.org/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cba.am/en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hyperlink" Target="https://www.thebetterpolicyproject.org/_files/ugd/bf672a_6ae27711ba7b4e0e9bd2a0c1b3557289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hebetterpolicyproject.org/_files/ugd/bf672a_44316592afd24e26add8648beeb507a2.pdf" TargetMode="Externa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1550</TotalTime>
  <Pages>3</Pages>
  <Words>621</Words>
  <Characters>3250</Characters>
  <Application>Microsoft Office Word</Application>
  <DocSecurity>0</DocSecurity>
  <Lines>70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Asya Kostanyan</dc:creator>
  <cp:keywords/>
  <dc:description/>
  <cp:lastModifiedBy>Asya Kostanyan</cp:lastModifiedBy>
  <cp:revision>7</cp:revision>
  <cp:lastPrinted>2025-11-09T13:12:00Z</cp:lastPrinted>
  <dcterms:created xsi:type="dcterms:W3CDTF">2025-11-07T14:25:00Z</dcterms:created>
  <dcterms:modified xsi:type="dcterms:W3CDTF">2025-11-09T13:15:00Z</dcterms:modified>
</cp:coreProperties>
</file>