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MUH. NUR RAHMAT SALEH</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Aplikasi, Budidaya, Monitoring, Padi, Pembelajaran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likasi, Budidaya, Monitoring, Padi, Pembelajaran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