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color w:val="1f3863"/>
          <w:sz w:val="20"/>
          <w:szCs w:val="20"/>
        </w:rPr>
      </w:pPr>
      <w:r w:rsidDel="00000000" w:rsidR="00000000" w:rsidRPr="00000000">
        <w:rPr>
          <w:b w:val="1"/>
          <w:color w:val="1f3863"/>
          <w:sz w:val="20"/>
          <w:szCs w:val="20"/>
          <w:rtl w:val="0"/>
        </w:rPr>
        <w:t xml:space="preserve">El Proyecto APT, orientado a la "Tribu de Mamás", busca desarrollar una plataforma que automatice la gestión de suscripciones, eventos y beneficios, mejorando la comunicación entre usuarios. Hasta la fecha, el equipo ha completado parcialmente los primeros dos sprints, enfrentando dificultades relacionadas con la adaptación a nuevas tecnologías como React y Tailwind, lo que causó un retraso en el Sprint 1. Sin embargo, mediante reuniones regulares y ajustes en los plazos, el equipo ha logrado mantener el avance, priorizando la calidad y la funcionalidad del sistema.</w:t>
      </w:r>
    </w:p>
    <w:p w:rsidR="00000000" w:rsidDel="00000000" w:rsidP="00000000" w:rsidRDefault="00000000" w:rsidRPr="00000000" w14:paraId="0000000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-5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ind w:left="100" w:right="100" w:firstLine="0"/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ind w:left="100" w:right="100" w:firstLine="0"/>
              <w:jc w:val="both"/>
              <w:rPr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Examina cuidadosamente tu plan de trabajo, </w:t>
            </w: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enfocándote</w:t>
            </w: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 especialmente en la columna de estado de avance y ajustes.</w:t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59.0" w:type="dxa"/>
        <w:jc w:val="left"/>
        <w:tblInd w:w="-12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410"/>
        <w:gridCol w:w="1245"/>
        <w:gridCol w:w="1224.0000000000005"/>
        <w:gridCol w:w="1134.0000000000005"/>
        <w:gridCol w:w="1865.9999999999995"/>
        <w:gridCol w:w="1290"/>
        <w:gridCol w:w="1110"/>
        <w:tblGridChange w:id="0">
          <w:tblGrid>
            <w:gridCol w:w="1680"/>
            <w:gridCol w:w="1410"/>
            <w:gridCol w:w="1245"/>
            <w:gridCol w:w="1224.0000000000005"/>
            <w:gridCol w:w="1134.0000000000005"/>
            <w:gridCol w:w="1865.9999999999995"/>
            <w:gridCol w:w="1290"/>
            <w:gridCol w:w="1110"/>
          </w:tblGrid>
        </w:tblGridChange>
      </w:tblGrid>
      <w:tr>
        <w:trPr>
          <w:cantSplit w:val="0"/>
          <w:trHeight w:val="744.7265625" w:hRule="atLeast"/>
          <w:tblHeader w:val="0"/>
        </w:trPr>
        <w:tc>
          <w:tcPr>
            <w:gridSpan w:val="8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ind w:left="140" w:right="140" w:firstLine="0"/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ind w:left="140" w:right="140" w:firstLine="0"/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ind w:left="140" w:right="140" w:firstLine="0"/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ind w:left="140" w:right="140" w:firstLine="0"/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ind w:left="140" w:right="140" w:firstLine="0"/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ind w:left="140" w:right="140" w:firstLine="0"/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Responsable[1]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ind w:left="140" w:right="140" w:firstLine="0"/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ind w:left="140" w:right="140" w:firstLine="0"/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ind w:left="140" w:right="140" w:firstLine="0"/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Análisis de Requerimientos.</w:t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jc w:val="both"/>
                    <w:rPr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Entrevistas, herramientas de análisis.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2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3 semana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2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Encargada: Nelly Becerra.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Ayudantes: Vladimir Chamorro, 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Felipe Cáceres.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comprensión clara de los requerimientos es clave para el éxito de cada sprint; se recomienda realizar reuniones con el Product Owner antes de cada sprint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140" w:right="140" w:hanging="14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2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2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Sprint 1: Desarrollo del CRUD y Autenticación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2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SGBD (MySQL), lenguajes de programación:JavaScript,Python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3 semanas.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3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Encargado: Felipe Cáceres.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Ayudantes: Vladimir Chamorro,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Nelly Becerra.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Este sprint sienta las bases del sistema; cualquier problema en esta fase podría afectar a los siguientes sprints.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140" w:right="14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 curso/ Ajustada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Ajuste: Se aplazó la entrega 1 semana, haciendo el SPRINT de 4 semanas.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3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  <w:tab/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Sprint 2: Vista de Administración</w:t>
              <w:tab/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Framework frontend (React.js), herramientas de análisis de métricas</w:t>
              <w:tab/>
              <w:t xml:space="preserve">Framework back end django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3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Encargado: Felipe Cáceres.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Ayudantes: Vladimir Chamorro, 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Nelly Becerra.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3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 esencial asegurar la facilidad de uso y la funcionalidad completa del dashboard para que los administradores gestionen eficazmente los eventos.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ind w:left="140" w:right="14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 curso/ Ajustada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Ajuste: Se redujo la duración del SPRINT en una semana, quedando en 2 semanas.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4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Sprint 3: Cupones y alianzas.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4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Lenguajes de programación: JavaScript, Framework: React.js, API para la gestión de cupones y alianzas. Django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4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4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Encargado: Felipe Cáceres.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Ayudantes: Vladimir Chamorro, 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Nelly Becerra.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correcta implementación del sistema de cupones y alianzas es crucial para fomentar la participación y retención de usuarios en la plataforma. Se debe asegurar que los cupones se apliquen de manera precisa y que las alianzas se gestionen eficazmente.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140" w:right="14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iniciado/ Ajustada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Ajuste: se ajustó la semana la cual comienza y termina el SPRINT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Sprint 4: Carrito de Compras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4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Lenguajes de programación: JavaScript, FrameWork:React Django.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4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semanas.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4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Encargado: Felipe Cáceres.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Ayudantes: Vladimir Chamorro, 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Nelly Becerra.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5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integración del carrito de compras es crítica para la funcionalidad de la plataforma; la usabilidad debe ser una prioridad.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ind w:left="140" w:right="14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iniciado/ Ajustada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Ajuste: se ajustó la semana la cual comienza y termina el SPRINT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5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Sprint 5: Métodos de Pago</w:t>
              <w:tab/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5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API de pago, lenguajes de programación: python 3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5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semanas.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5B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Encargado: Felipe Cáceres.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Ayudantes: Vladimir Chamorro, 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Nelly Becerra.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5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Asegurarse de la seguridad y confiabilidad en el manejo de los datos de pago es fundamental; se recomienda realizar pruebas exhaustivas de integración.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ind w:left="140" w:right="14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iniciado/ Ajustada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Ajuste: se ajustó la semana la cual comienza y termina el SPRINT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6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Realizar pruebas de calidad tanto de los productos como de los procesos utilizando buenas prácticas definidas por la industria.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6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Pruebas de Integración y Calidad</w:t>
              <w:tab/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6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Herramientas de prueba (JMeter, Postman)</w:t>
              <w:tab/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65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2 semanas.</w:t>
              <w:tab/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66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Encargado: Vladimir Chamorro.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Ayudante: Nelly Becerra.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6A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Realizar revisiones de código y pruebas de integración continuas al final de cada sprint es esencial para mantener la calidad del producto final.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ind w:left="140" w:right="14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No iniciado/ Ajustada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Ajuste: se redujo el tiempo de las Pruebas de Integración y Calidad a 1 semana.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6D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con los requerimientos de la organización.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6E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Retrospectiva del Sprint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6F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Herramientas de gestión de proyectos (Trello)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70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 días (al final de cada sprint)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71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Encargado: Vladimir Chamorro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Ayudante: Nelly Becerra.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74">
            <w:pPr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Es importante realizar retrospectivas al final de cada sprint para mejorar el proceso y resolver problemas que hayan surgido.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75">
            <w:pPr>
              <w:spacing w:after="240" w:before="240" w:line="240" w:lineRule="auto"/>
              <w:ind w:left="140" w:right="14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7b7b7" w:space="0" w:sz="8" w:val="single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40" w:lineRule="auto"/>
              <w:ind w:left="140" w:right="14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abordarás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7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b w:val="1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Hasta ahora, hemos enfrentado algunos obstáculos, pero también hemos tenido varios factores que han facilitado la ejecución de nuestras actividades.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b w:val="1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Facilidades</w:t>
            </w: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0">
            <w:pPr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Colaboración efectiva:</w:t>
            </w: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 La buena comunicación y el apoyo entre todos los miembros del equipo han sido fundamentales. Esto nos ha permitido resolver problemas rápidamente y mantenernos motivados.</w:t>
            </w:r>
          </w:p>
          <w:p w:rsidR="00000000" w:rsidDel="00000000" w:rsidP="00000000" w:rsidRDefault="00000000" w:rsidRPr="00000000" w14:paraId="00000081">
            <w:pPr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b w:val="1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Dificultades::</w:t>
            </w:r>
          </w:p>
          <w:p w:rsidR="00000000" w:rsidDel="00000000" w:rsidP="00000000" w:rsidRDefault="00000000" w:rsidRPr="00000000" w14:paraId="00000083">
            <w:pPr>
              <w:rPr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Adaptación a nuevas tecnologías:</w:t>
            </w: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 La curva de aprendizaje con React y Tailwind CSS ha sido más dificultosa de lo que esperaba, lo que ha retrasado la entrega del Sprint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Coordinación del equipo:</w:t>
            </w: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 A pesar de que la organización ha sido adecuada, ha sido raro encontrar momentos en los que todo el equipo esté conectado trabajando simultáneamente. Esto </w:t>
            </w: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dificultó</w:t>
            </w: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 el progreso al inicio, especialmente cuando nos estábamos adaptando a las nuevas tecnologías.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color w:val="1f3863"/>
                <w:sz w:val="20"/>
                <w:szCs w:val="20"/>
              </w:rPr>
            </w:pPr>
            <w:r w:rsidDel="00000000" w:rsidR="00000000" w:rsidRPr="00000000">
              <w:rPr>
                <w:color w:val="1f3863"/>
                <w:sz w:val="20"/>
                <w:szCs w:val="20"/>
                <w:rtl w:val="0"/>
              </w:rPr>
              <w:t xml:space="preserve">Para enfrentar estos obstáculos, he tomado las siguientes acciones: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color w:val="1f386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3"/>
                <w:sz w:val="20"/>
                <w:szCs w:val="20"/>
                <w:rtl w:val="0"/>
              </w:rPr>
              <w:t xml:space="preserve">Reuniones de equipo:</w:t>
            </w:r>
            <w:r w:rsidDel="00000000" w:rsidR="00000000" w:rsidRPr="00000000">
              <w:rPr>
                <w:color w:val="1f3863"/>
                <w:sz w:val="20"/>
                <w:szCs w:val="20"/>
                <w:rtl w:val="0"/>
              </w:rPr>
              <w:t xml:space="preserve"> Hemos realizado reuniones regulares para discutir los desafíos técnicos y compartir conocimientos sobre las nuevas herramientas, lo que nos ha facilitado la adaptación.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color w:val="1f386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3"/>
                <w:sz w:val="20"/>
                <w:szCs w:val="20"/>
                <w:rtl w:val="0"/>
              </w:rPr>
              <w:t xml:space="preserve">Plan de contingencia:</w:t>
            </w:r>
            <w:r w:rsidDel="00000000" w:rsidR="00000000" w:rsidRPr="00000000">
              <w:rPr>
                <w:color w:val="1f3863"/>
                <w:sz w:val="20"/>
                <w:szCs w:val="20"/>
                <w:rtl w:val="0"/>
              </w:rPr>
              <w:t xml:space="preserve"> Tuvimos en cuenta un respaldo en nuestra carta Gantt de una semana, lo que nos ha dado margen para gestionar el retraso sin comprometer los plazos futuros.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color w:val="1f38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8C">
            <w:pPr>
              <w:ind w:lef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Ajuste del Tiempo del Sprint 1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 Se agregó una semana al tiempo de entrega del Sprint 1 para permitir una mejor adaptación a React y Tailwind, asegurando la calidad del trabajo y más tiempo para pruebas.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Ajuste de la Actividad "Retrospective"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 Se modificaron las fechas de esta actividad para garantizar la participación de todos los miembros del equipo, lo que facilitó una retroalimentación más completa.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Adición de la Actividad "Preparación"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 Se incorporó una semana de preparación entre la entrega del informe final y la presentación. Este tiempo adicional permitirá al equipo revisar el trabajo, afinar detalles y asegurar una presentación más efectiva.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utilizarás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para avanzar en dichas actividades y no afectar tu proyecto APT. 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Actividades retrasadas:</w:t>
            </w:r>
            <w:r w:rsidDel="00000000" w:rsidR="00000000" w:rsidRPr="00000000">
              <w:rPr>
                <w:color w:val="1f3864"/>
                <w:sz w:val="20"/>
                <w:szCs w:val="20"/>
                <w:rtl w:val="0"/>
              </w:rPr>
              <w:t xml:space="preserve"> El SPRINT 2 se inició parcialmente, ya que no se pudo cumplir los plazos de entrega debido a que se produjo un retraso con la entrega del SPRINT 1, se decidió terminar el SPRINT 1 sumándole una semana de duración a esté, gracias a que en el Cronograma se tenía en cuenta posibles retrasos no debería afectar significativamente con los tiempos de entrega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9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Alh+Gt8l/UpTkkiy6Z/+H/s3jw==">CgMxLjAyCGguZ2pkZ3hzOAByITE3NFFCWU95RE1HVkpsaFl1UUZ1RDZpMFlNZ1ZVZkVRVg==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