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</w:pPr>
      <w:r>
        <w:rPr>
          <w:rFonts w:ascii="Calibri" w:hAnsi="Calibri"/>
          <w:b/>
          <w:color w:val="5C6773"/>
          <w:sz w:val="20"/>
        </w:rPr>
        <w:t>Operational Flow</w:t>
      </w:r>
    </w:p>
    <w:p>
      <w:pPr>
        <w:spacing w:before="0" w:after="40" w:line="259" w:lineRule="auto"/>
      </w:pPr>
      <w:r>
        <w:rPr>
          <w:rFonts w:ascii="Calibri" w:hAnsi="Calibri"/>
          <w:b/>
          <w:color w:val="141F2B"/>
          <w:sz w:val="50"/>
        </w:rPr>
        <w:t>LendSignal User Data Flow</w:t>
      </w:r>
    </w:p>
    <w:p>
      <w:pPr>
        <w:spacing w:before="0" w:after="240" w:line="259" w:lineRule="auto"/>
      </w:pPr>
      <w:r>
        <w:rPr>
          <w:rFonts w:ascii="Calibri" w:hAnsi="Calibri"/>
          <w:b w:val="0"/>
          <w:color w:val="1F4D78"/>
          <w:sz w:val="25"/>
        </w:rPr>
        <w:t>From business onboarding to an ENS-indexed Credit Certificate</w:t>
      </w:r>
    </w:p>
    <w:p>
      <w:pPr>
        <w:spacing w:before="0" w:after="200" w:line="259" w:lineRule="auto"/>
      </w:pPr>
      <w:r>
        <w:rPr>
          <w:rFonts w:ascii="Calibri" w:hAnsi="Calibri"/>
          <w:b/>
          <w:color w:val="141F2B"/>
          <w:sz w:val="22"/>
        </w:rPr>
        <w:t>The user submits business data, documents and wallet identity. LendSignal processes that information offchain, generates a credit score, updates the CreditCertificateRegistry, and indexes the certificate through ENS records.</w:t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1. What The User Fills In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4360"/>
        <w:gridCol w:w="2900"/>
      </w:tblGrid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Fields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MVP Handling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Wallet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business wallet, network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Connected wallet becomes credit identity.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Business profile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legal name, country, industry, revenue band, requested loan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Saved in app state/mock backend.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Documents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registration, tax record, statements, invoices, signer auth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Mock upload/checklist; raw files stay offchain.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KYC/KYB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business verified, signer verified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Mock passed/pending/failed status.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ENS</w:t>
            </w:r>
          </w:p>
        </w:tc>
        <w:tc>
          <w:tcPr>
            <w:tcW w:type="dxa" w:w="43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business ENS name</w:t>
            </w:r>
          </w:p>
        </w:tc>
        <w:tc>
          <w:tcPr>
            <w:tcW w:type="dxa" w:w="29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Resolved and later used for certificate discovery.</w:t>
            </w:r>
          </w:p>
        </w:tc>
      </w:tr>
    </w:tbl>
    <w:p>
      <w:pPr>
        <w:spacing w:before="0" w:after="0" w:line="259" w:lineRule="auto"/>
      </w:pPr>
      <w:r>
        <w:rPr>
          <w:rFonts w:ascii="Calibri" w:hAnsi="Calibri"/>
          <w:b w:val="0"/>
          <w:color w:val="141F2B"/>
          <w:sz w:val="21"/>
        </w:rPr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2. Processing Pipeline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3650"/>
        <w:gridCol w:w="3610"/>
      </w:tblGrid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Layer</w:t>
            </w:r>
          </w:p>
        </w:tc>
        <w:tc>
          <w:tcPr>
            <w:tcW w:type="dxa" w:w="365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Input</w:t>
            </w:r>
          </w:p>
        </w:tc>
        <w:tc>
          <w:tcPr>
            <w:tcW w:type="dxa" w:w="361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Output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CRS Adapter</w:t>
            </w:r>
          </w:p>
        </w:tc>
        <w:tc>
          <w:tcPr>
            <w:tcW w:type="dxa" w:w="365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business profile + principal metadata</w:t>
            </w:r>
          </w:p>
        </w:tc>
        <w:tc>
          <w:tcPr>
            <w:tcW w:type="dxa" w:w="361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bureau score, payment risk, fraud risk, CRS report hash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Chainlink AI</w:t>
            </w:r>
          </w:p>
        </w:tc>
        <w:tc>
          <w:tcPr>
            <w:tcW w:type="dxa" w:w="365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documents + profile + prompt</w:t>
            </w:r>
          </w:p>
        </w:tc>
        <w:tc>
          <w:tcPr>
            <w:tcW w:type="dxa" w:w="361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AI score, risk tier, attestation hash, evidence digest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Wallet Analyzer</w:t>
            </w:r>
          </w:p>
        </w:tc>
        <w:tc>
          <w:tcPr>
            <w:tcW w:type="dxa" w:w="365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wallet activity</w:t>
            </w:r>
          </w:p>
        </w:tc>
        <w:tc>
          <w:tcPr>
            <w:tcW w:type="dxa" w:w="361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wallet behavior score and risk flags</w:t>
            </w:r>
          </w:p>
        </w:tc>
      </w:tr>
      <w:tr>
        <w:tc>
          <w:tcPr>
            <w:tcW w:type="dxa" w:w="2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Score Combiner</w:t>
            </w:r>
          </w:p>
        </w:tc>
        <w:tc>
          <w:tcPr>
            <w:tcW w:type="dxa" w:w="365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AI 60% + CRS 25% + wallet 15%</w:t>
            </w:r>
          </w:p>
        </w:tc>
        <w:tc>
          <w:tcPr>
            <w:tcW w:type="dxa" w:w="361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combined score and final risk tier</w:t>
            </w:r>
          </w:p>
        </w:tc>
      </w:tr>
    </w:tbl>
    <w:p>
      <w:pPr>
        <w:spacing w:before="0" w:after="0" w:line="259" w:lineRule="auto"/>
      </w:pPr>
      <w:r>
        <w:rPr>
          <w:rFonts w:ascii="Calibri" w:hAnsi="Calibri"/>
          <w:b w:val="0"/>
          <w:color w:val="141F2B"/>
          <w:sz w:val="21"/>
        </w:rPr>
      </w:r>
    </w:p>
    <w:p>
      <w:r>
        <w:br w:type="page"/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3. Certificate Update</w:t>
      </w:r>
    </w:p>
    <w:p>
      <w:pPr>
        <w:spacing w:before="0" w:after="100" w:line="259" w:lineRule="auto"/>
      </w:pPr>
      <w:r>
        <w:rPr>
          <w:rFonts w:ascii="Calibri" w:hAnsi="Calibri"/>
          <w:b w:val="0"/>
          <w:color w:val="141F2B"/>
          <w:sz w:val="21"/>
        </w:rPr>
        <w:t>CreditCertificateRegistry receives only public-safe processed information.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Stored Onchain</w:t>
            </w:r>
          </w:p>
        </w:tc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Never Stored Onchain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business wallet</w:t>
            </w:r>
          </w:p>
        </w:tc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raw PDFs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combined score and risk tier</w:t>
            </w:r>
          </w:p>
        </w:tc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full CRS report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certificate status and expiration</w:t>
            </w:r>
          </w:p>
        </w:tc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bank statements or tax records</w:t>
            </w:r>
          </w:p>
        </w:tc>
      </w:tr>
      <w:tr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attestation hash, CRS hash, evidence digest</w:t>
            </w:r>
          </w:p>
        </w:tc>
        <w:tc>
          <w:tcPr>
            <w:tcW w:type="dxa" w:w="468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KYC/KYB documents or personal identity files</w:t>
            </w:r>
          </w:p>
        </w:tc>
      </w:tr>
    </w:tbl>
    <w:p>
      <w:pPr>
        <w:spacing w:before="0" w:after="0" w:line="259" w:lineRule="auto"/>
      </w:pPr>
      <w:r>
        <w:rPr>
          <w:rFonts w:ascii="Calibri" w:hAnsi="Calibri"/>
          <w:b w:val="0"/>
          <w:color w:val="141F2B"/>
          <w:sz w:val="21"/>
        </w:rPr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4. ENS Indexing</w:t>
      </w:r>
    </w:p>
    <w:p>
      <w:pPr>
        <w:spacing w:before="0" w:after="100" w:line="259" w:lineRule="auto"/>
      </w:pPr>
      <w:r>
        <w:rPr>
          <w:rFonts w:ascii="Calibri" w:hAnsi="Calibri"/>
          <w:b/>
          <w:color w:val="141F2B"/>
          <w:sz w:val="21"/>
        </w:rPr>
        <w:t>ENS is the discovery layer. CreditCertificateRegistry remains the source of truth.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ENS Text Record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lendsignal.registry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&lt;CreditCertificateRegistry address&gt;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lendsignal.certificate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&lt;certificate id&gt;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lendsignal.attestation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&lt;Chainlink attestation hash&gt;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lendsignal.crs-report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&lt;CRS report hash&gt;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lendsignal.risk-tier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&lt;risk tier&gt;</w:t>
            </w:r>
          </w:p>
        </w:tc>
      </w:tr>
      <w:tr>
        <w:tc>
          <w:tcPr>
            <w:tcW w:type="dxa" w:w="31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lendsignal.agent</w:t>
            </w:r>
          </w:p>
        </w:tc>
        <w:tc>
          <w:tcPr>
            <w:tcW w:type="dxa" w:w="62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&lt;LendSignal agent ENS name&gt;</w:t>
            </w:r>
          </w:p>
        </w:tc>
      </w:tr>
    </w:tbl>
    <w:p>
      <w:pPr>
        <w:spacing w:before="0" w:after="0" w:line="259" w:lineRule="auto"/>
      </w:pPr>
      <w:r>
        <w:rPr>
          <w:rFonts w:ascii="Calibri" w:hAnsi="Calibri"/>
          <w:b w:val="0"/>
          <w:color w:val="141F2B"/>
          <w:sz w:val="21"/>
        </w:rPr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5. Lending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Pass Condition</w:t>
            </w:r>
          </w:p>
        </w:tc>
      </w:tr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ENS resolution + records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Name resolves to borrower wallet and points to registry/certificate.</w:t>
            </w:r>
          </w:p>
        </w:tc>
      </w:tr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Certificate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Active and not expired.</w:t>
            </w:r>
          </w:p>
        </w:tc>
      </w:tr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Score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Combined score above lending threshold.</w:t>
            </w:r>
          </w:p>
        </w:tc>
      </w:tr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Risk tier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Low or medium default risk.</w:t>
            </w:r>
          </w:p>
        </w:tc>
      </w:tr>
      <w:tr>
        <w:tc>
          <w:tcPr>
            <w:tcW w:type="dxa" w:w="280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17"/>
              </w:rPr>
              <w:t>Liquidity</w:t>
            </w:r>
          </w:p>
        </w:tc>
        <w:tc>
          <w:tcPr>
            <w:tcW w:type="dxa" w:w="6560"/>
            <w:vAlign w:val="center"/>
            <w:tcMar>
              <w:top w:w="55" w:type="dxa"/>
              <w:bottom w:w="55" w:type="dxa"/>
              <w:start w:w="105" w:type="dxa"/>
              <w:end w:w="105" w:type="dxa"/>
            </w:tcMar>
            <w:tcBorders>
              <w:top w:val="single" w:sz="6" w:space="0" w:color="B7C2D0"/>
              <w:left w:val="single" w:sz="6" w:space="0" w:color="B7C2D0"/>
              <w:bottom w:val="single" w:sz="6" w:space="0" w:color="B7C2D0"/>
              <w:right w:val="single" w:sz="6" w:space="0" w:color="B7C2D0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41F2B"/>
                <w:sz w:val="17"/>
              </w:rPr>
              <w:t>Vault has enough available funds.</w:t>
            </w:r>
          </w:p>
        </w:tc>
      </w:tr>
    </w:tbl>
    <w:p>
      <w:pPr>
        <w:spacing w:before="0" w:after="0" w:line="259" w:lineRule="auto"/>
      </w:pPr>
      <w:r>
        <w:rPr>
          <w:rFonts w:ascii="Calibri" w:hAnsi="Calibri"/>
          <w:b w:val="0"/>
          <w:color w:val="141F2B"/>
          <w:sz w:val="21"/>
        </w:rPr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6. Update Triggers</w:t>
      </w:r>
    </w:p>
    <w:p>
      <w:pPr>
        <w:spacing w:before="0" w:after="60" w:line="259" w:lineRule="auto"/>
      </w:pPr>
      <w:r>
        <w:rPr>
          <w:rFonts w:ascii="Calibri" w:hAnsi="Calibri"/>
          <w:b w:val="0"/>
          <w:color w:val="141F2B"/>
          <w:sz w:val="19"/>
        </w:rPr>
        <w:t>New documents, refreshed CRS report, re-run Chainlink AI review, wallet behavior changes, repayment/default events, or KYC/KYB status changes.</w:t>
      </w:r>
    </w:p>
    <w:p>
      <w:pPr>
        <w:spacing w:before="160" w:after="60" w:line="259" w:lineRule="auto"/>
      </w:pPr>
      <w:r>
        <w:rPr>
          <w:rFonts w:ascii="Calibri" w:hAnsi="Calibri"/>
          <w:b/>
          <w:color w:val="2E74B5"/>
          <w:sz w:val="28"/>
        </w:rPr>
        <w:t>Hackathon Version</w:t>
      </w:r>
    </w:p>
    <w:p>
      <w:pPr>
        <w:spacing w:before="0" w:after="100" w:line="259" w:lineRule="auto"/>
      </w:pPr>
      <w:r>
        <w:rPr>
          <w:rFonts w:ascii="Calibri" w:hAnsi="Calibri"/>
          <w:b/>
          <w:color w:val="1F5F4A"/>
          <w:sz w:val="20"/>
        </w:rPr>
        <w:t>Use mocked documents, mocked KYC/KYB, CRS_USE_MOCK=true, and real or mocked Chainlink AI depending on API key availability. The demo should still update CreditCertificateRegistry and show ENS records pointing to the active certificate.</w:t>
      </w:r>
    </w:p>
    <w:sectPr w:rsidR="00FC693F" w:rsidRPr="0006063C" w:rsidSect="00034616">
      <w:footerReference w:type="default" r:id="rId9"/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773"/>
        <w:sz w:val="18"/>
      </w:rPr>
      <w:t>LendSignal user data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