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TramFlow</w:t>
      </w:r>
    </w:p>
    <w:p>
      <w:pPr>
        <w:pStyle w:val="Heading1"/>
      </w:pPr>
      <w:r>
        <w:t>Нагрузочное тестирование API</w:t>
      </w:r>
    </w:p>
    <w:p>
      <w:pPr>
        <w:pStyle w:val="Kicker"/>
      </w:pPr>
      <w:r>
        <w:t>Итоговый отчёт · 3 октября 2026</w:t>
      </w:r>
    </w:p>
    <w:p>
      <w:r>
        <w:rPr>
          <w:b/>
          <w:color w:val="176B70"/>
          <w:sz w:val="34"/>
        </w:rPr>
        <w:t>400 RPS в течение 45 минут</w:t>
      </w:r>
    </w:p>
    <w:p>
      <w:r>
        <w:rPr>
          <w:b/>
          <w:color w:val="176B70"/>
          <w:sz w:val="24"/>
        </w:rPr>
        <w:t>1 080 000 успешных запросов · p95 9,15 мс · p99 16,98 мс</w:t>
      </w:r>
    </w:p>
    <w:p>
      <w:r>
        <w:t>Длительный смешанный прогон завершился в пределах заданных критериев: из 1 080 001 бизнес-запроса один не прошёл проверку, пропущенных итераций нет. Это подтверждённая рабочая точка данного стенда, а не универсальный предел производительности. [R18]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right w:val="nil"/>
          <w:insideV w:val="nil"/>
          <w:bottom w:val="single" w:sz="3" w:color="D8E1E7"/>
          <w:insideH w:val="single" w:sz="3" w:color="D8E1E7"/>
        </w:tblBorders>
      </w:tblPr>
      <w:tblGrid>
        <w:gridCol w:w="2520"/>
        <w:gridCol w:w="2592"/>
        <w:gridCol w:w="4334"/>
      </w:tblGrid>
      <w:tr>
        <w:trPr>
          <w:tblHeader w:val="true"/>
        </w:trPr>
        <w:tc>
          <w:tcPr>
            <w:tcW w:type="dxa" w:w="2520"/>
            <w:shd w:fill="17324D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>Проверка</w:t>
            </w:r>
          </w:p>
        </w:tc>
        <w:tc>
          <w:tcPr>
            <w:tcW w:type="dxa" w:w="2592"/>
            <w:shd w:fill="17324D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color w:val="FFFFFF"/>
              </w:rPr>
              <w:t>Результат</w:t>
            </w:r>
          </w:p>
        </w:tc>
        <w:tc>
          <w:tcPr>
            <w:tcW w:type="dxa" w:w="4334"/>
            <w:shd w:fill="17324D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color w:val="FFFFFF"/>
              </w:rPr>
              <w:t>Интерпретация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Soak · 400 RPS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PASS · 45 мин</w:t>
            </w:r>
          </w:p>
        </w:tc>
        <w:tc>
          <w:tcPr>
            <w:tcW w:type="dxa" w:w="433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Длительная рабочая точка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Mixed · 500 RPS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PASS · 3 мин</w:t>
            </w:r>
          </w:p>
        </w:tc>
        <w:tc>
          <w:tcPr>
            <w:tcW w:type="dxa" w:w="433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Максимальная прошедшая короткая точка</w:t>
            </w:r>
          </w:p>
        </w:tc>
      </w:tr>
      <w:tr>
        <w:trPr>
          <w:cantSplit/>
        </w:trPr>
        <w:tc>
          <w:tcPr>
            <w:tcW w:type="dxa" w:w="252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Mixed · 600 RPS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FAIL · 180 ошибок</w:t>
            </w:r>
          </w:p>
        </w:tc>
        <w:tc>
          <w:tcPr>
            <w:tcW w:type="dxa" w:w="433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Превышен порог ошибок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pStyle w:val="Heading2"/>
      </w:pPr>
      <w:r>
        <w:t>Главные выводы</w:t>
      </w:r>
    </w:p>
    <w:p>
      <w:r>
        <w:t>В коротком тесте одна API-реплика выдержала 500 RPS без ошибок. На 600 RPS темп запросов сохранялся, но 180 запросов не прошли проверку: доля ошибок 0,1667% превысила лимит 0,1%. Отказ произошёл по критерию ошибок, а не по порогу p95. [R14–R15]</w:t>
      </w:r>
    </w:p>
    <w:p>
      <w:r>
        <w:t>Во время soak память API оставалась в узком диапазоне по Docker working set. Одновременно память генератора k6 росла; это отдельное ограничение тестовой инфраструктуры. Тесты с двумя API-репликами не подтверждают выигрыш от масштабирования: ресурсы показывают выраженный перекос нагрузки. [R16–R18]</w:t>
      </w:r>
    </w:p>
    <w:p>
      <w:pPr>
        <w:spacing w:before="100" w:after="200"/>
        <w:ind w:left="230" w:right="230"/>
        <w:shd w:fill="FFFFFF"/>
      </w:pPr>
      <w:r>
        <w:rPr>
          <w:color w:val="176B70"/>
        </w:rPr>
        <w:t>Область применимости: synthetic_mock, прогретый кэш и тестовый snapshot. Результаты характеризуют обслуживание HTTP-запросов, но не скорость обученной ONNX-модели, качество прогнозов или поведение production-данных. [R02–R18]</w:t>
      </w:r>
    </w:p>
    <w:p>
      <w:r>
        <w:t>Основание отчёта: 18 прогонов, в том числе 17 нагрузочных и один функциональный login; 26 скриншотов Grafana. Для нагрузочных прогонов проверены согласованность счётчиков, ошибок, задержек и ресурсных выборок между JSON и CSV. Реестр источников приведён в конце отчёта.</w:t>
      </w:r>
    </w:p>
    <w:p>
      <w:pPr>
        <w:pStyle w:val="Heading1"/>
        <w:pageBreakBefore/>
      </w:pPr>
      <w:r>
        <w:t>1. Стенд и границы измерений</w:t>
      </w:r>
    </w:p>
    <w:p>
      <w:pPr>
        <w:pStyle w:val="Heading2"/>
      </w:pPr>
      <w:r>
        <w:t>Измеренные ограничения контейнеров</w:t>
      </w:r>
    </w:p>
    <w:p>
      <w:r>
        <w:t>Лимиты ниже извлечены из system.csv. Они описывают квоты контейнеров, а не физические характеристики машины. В прогонах с двумя репликами лимит API применяется к каждой реплике отдельно. [R02–R18]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right w:val="nil"/>
          <w:insideV w:val="nil"/>
          <w:bottom w:val="single" w:sz="3" w:color="D8E1E7"/>
          <w:insideH w:val="single" w:sz="3" w:color="D8E1E7"/>
        </w:tblBorders>
      </w:tblPr>
      <w:tblGrid>
        <w:gridCol w:w="3888"/>
        <w:gridCol w:w="2736"/>
        <w:gridCol w:w="2822"/>
      </w:tblGrid>
      <w:tr>
        <w:trPr>
          <w:tblHeader w:val="true"/>
        </w:trPr>
        <w:tc>
          <w:tcPr>
            <w:tcW w:type="dxa" w:w="3888"/>
            <w:shd w:fill="17324D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>Компонент</w:t>
            </w:r>
          </w:p>
        </w:tc>
        <w:tc>
          <w:tcPr>
            <w:tcW w:type="dxa" w:w="2736"/>
            <w:shd w:fill="17324D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color w:val="FFFFFF"/>
              </w:rPr>
              <w:t>CPU, ядер</w:t>
            </w:r>
          </w:p>
        </w:tc>
        <w:tc>
          <w:tcPr>
            <w:tcW w:type="dxa" w:w="2822"/>
            <w:shd w:fill="17324D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color w:val="FFFFFF"/>
              </w:rPr>
              <w:t>Лимит RAM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API, каждая реплика</w:t>
            </w:r>
          </w:p>
        </w:tc>
        <w:tc>
          <w:tcPr>
            <w:tcW w:type="dxa" w:w="2736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2</w:t>
            </w:r>
          </w:p>
        </w:tc>
        <w:tc>
          <w:tcPr>
            <w:tcW w:type="dxa" w:w="282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2 GiB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PostgreSQL</w:t>
            </w:r>
          </w:p>
        </w:tc>
        <w:tc>
          <w:tcPr>
            <w:tcW w:type="dxa" w:w="2736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2</w:t>
            </w:r>
          </w:p>
        </w:tc>
        <w:tc>
          <w:tcPr>
            <w:tcW w:type="dxa" w:w="282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1 GiB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k6</w:t>
            </w:r>
          </w:p>
        </w:tc>
        <w:tc>
          <w:tcPr>
            <w:tcW w:type="dxa" w:w="2736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2</w:t>
            </w:r>
          </w:p>
        </w:tc>
        <w:tc>
          <w:tcPr>
            <w:tcW w:type="dxa" w:w="282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2 GiB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Gateway</w:t>
            </w:r>
          </w:p>
        </w:tc>
        <w:tc>
          <w:tcPr>
            <w:tcW w:type="dxa" w:w="2736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1</w:t>
            </w:r>
          </w:p>
        </w:tc>
        <w:tc>
          <w:tcPr>
            <w:tcW w:type="dxa" w:w="282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128 MiB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Prometheus</w:t>
            </w:r>
          </w:p>
        </w:tc>
        <w:tc>
          <w:tcPr>
            <w:tcW w:type="dxa" w:w="2736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1</w:t>
            </w:r>
          </w:p>
        </w:tc>
        <w:tc>
          <w:tcPr>
            <w:tcW w:type="dxa" w:w="282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512 MiB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Grafana</w:t>
            </w:r>
          </w:p>
        </w:tc>
        <w:tc>
          <w:tcPr>
            <w:tcW w:type="dxa" w:w="2736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Без CPU-квоты</w:t>
            </w:r>
          </w:p>
        </w:tc>
        <w:tc>
          <w:tcPr>
            <w:tcW w:type="dxa" w:w="282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384 MiB</w:t>
            </w:r>
          </w:p>
        </w:tc>
      </w:tr>
      <w:tr>
        <w:trPr>
          <w:cantSplit/>
        </w:trPr>
        <w:tc>
          <w:tcPr>
            <w:tcW w:type="dxa" w:w="388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postgres-exporter</w:t>
            </w:r>
          </w:p>
        </w:tc>
        <w:tc>
          <w:tcPr>
            <w:tcW w:type="dxa" w:w="2736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Без CPU-квоты</w:t>
            </w:r>
          </w:p>
        </w:tc>
        <w:tc>
          <w:tcPr>
            <w:tcW w:type="dxa" w:w="282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128 MiB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CPU в процентах квоты рассчитывается как Docker CPU% / число выделенных CPU. Например, 25,97% квоты API в soak соответствует примерно 0,52 занятого ядра из двух. Показатели CPU без установленной квоты не представлены как «процент лимита». [R18]</w:t>
      </w:r>
    </w:p>
    <w:p>
      <w:pPr>
        <w:pStyle w:val="Heading2"/>
      </w:pPr>
      <w:r>
        <w:t>Данные и версия приложения</w:t>
      </w:r>
    </w:p>
    <w:p>
      <w:r>
        <w:t xml:space="preserve">Для всех 17 нагрузочных отчётов указан runtime_mode </w:t>
      </w:r>
      <w:r>
        <w:rPr>
          <w:b/>
        </w:rPr>
        <w:t>synthetic_mock</w:t>
      </w:r>
      <w:r>
        <w:t xml:space="preserve">, модель </w:t>
      </w:r>
      <w:r>
        <w:rPr>
          <w:b/>
        </w:rPr>
        <w:t>synthetic-stress-256-v1</w:t>
      </w:r>
      <w:r>
        <w:t xml:space="preserve"> и snapshot </w:t>
      </w:r>
      <w:r>
        <w:rPr>
          <w:b/>
        </w:rPr>
        <w:t>stress-october-2026-v1</w:t>
      </w:r>
      <w:r>
        <w:t>. В активных forecast-прогонах рассчитанный cache hit ratio равен 1,0. Это тест прогретого пути обслуживания, а не постоянной генерации новых предсказаний. [R02–R18]</w:t>
      </w:r>
    </w:p>
    <w:p>
      <w:r>
        <w:t xml:space="preserve">Во всех этих отчётах записан commit </w:t>
      </w:r>
      <w:r>
        <w:rPr>
          <w:b/>
        </w:rPr>
        <w:t>b5602c89aca60ec09b6b6acc377935b346ebfccf</w:t>
      </w:r>
      <w:r>
        <w:t xml:space="preserve"> и dirty working tree. У коротких тестов и soak разные source SHA-256. Поэтому soak является отдельным измерением изменённого рабочего дерева; полностью идентичная сборка между сериями не установлена. Точные хэши — в разделе 14. [R02–R18]</w:t>
      </w:r>
    </w:p>
    <w:p>
      <w:pPr>
        <w:pStyle w:val="Heading2"/>
      </w:pPr>
      <w:r>
        <w:t>Что ограничивает переносимость результатов</w:t>
      </w:r>
    </w:p>
    <w:p>
      <w:r>
        <w:t>Схема runner размещает k6, API, PostgreSQL и мониторинг на одном Docker-хосте. Изолированный удалённый генератор не использовался в этой схеме. Модель CPU, физическая RAM, версии ядра и Docker, закреплённые image digests не зафиксированы в экспортированном наборе: environment.json в нём отсутствует. Контейнерные квоты не заменяют эти сведения. [C1; R02–R18]</w:t>
      </w:r>
    </w:p>
    <w:p>
      <w:r>
        <w:t>Измеряется HTTP-путь через gateway; это не браузерный end-to-end тест. Латентность интерфейса, внешней сети, публичного TLS и пользовательского устройства в опубликованные p95/p99 не входит. [C1–C2]</w:t>
      </w:r>
    </w:p>
    <w:p>
      <w:pPr>
        <w:pStyle w:val="Heading1"/>
        <w:pageBreakBefore/>
      </w:pPr>
      <w:r>
        <w:t>2. Методика и критерии приёмки</w:t>
      </w:r>
    </w:p>
    <w:p>
      <w:pPr>
        <w:pStyle w:val="Heading2"/>
      </w:pPr>
      <w:r>
        <w:t>Профиль нагрузки</w:t>
      </w:r>
    </w:p>
    <w:p>
      <w:r>
        <w:t>Основные сценарии используют constant-arrival-rate: k6 планирует фиксированное число итераций в секунду независимо от времени ответа. В реализации проекта одна измеряемая итерация выполняет один бизнес-запрос. Аутентификация, подготовка и warmup исключены из бизнес-процентилей; повторных попыток в бизнес-операции нет. [C2; D1]</w:t>
      </w:r>
    </w:p>
    <w:p>
      <w:r>
        <w:t>Отдельные endpoint-тесты выполнены на 50 RPS: bootstrap, geometry и summary — по 2 минуты после 30 секунд warmup; day, week, month и scenario — по 3 минуты после минуты warmup. Mixed sweep и тесты двух реплик — 3 минуты измерения и 1 минута warmup. Soak — 45 минут и 2 минуты warmup. Между warmup и измерением runner k6 задаёт 15-секундный интервал завершения прогрева. [R02–R18; C2]</w:t>
      </w:r>
    </w:p>
    <w:p>
      <w:r>
        <w:rPr>
          <w:b/>
        </w:rPr>
        <w:t>Состав mixed workload по фактическим счётчикам:</w:t>
      </w:r>
      <w:r>
        <w:t xml:space="preserve"> day — около 60%; scenario — 15%; bootstrap, routes и geometry — по 5%; month и export — по 3%; week и summary — по 2%. Это фиксированная тестовая смесь, не статистика реального пользовательского трафика. [R09–R18]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right w:val="nil"/>
          <w:insideV w:val="nil"/>
          <w:bottom w:val="single" w:sz="3" w:color="D8E1E7"/>
          <w:insideH w:val="single" w:sz="3" w:color="D8E1E7"/>
        </w:tblBorders>
      </w:tblPr>
      <w:tblGrid>
        <w:gridCol w:w="5760"/>
        <w:gridCol w:w="3686"/>
      </w:tblGrid>
      <w:tr>
        <w:trPr>
          <w:tblHeader w:val="true"/>
        </w:trPr>
        <w:tc>
          <w:tcPr>
            <w:tcW w:type="dxa" w:w="5760"/>
            <w:shd w:fill="17324D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>Критерий measurement</w:t>
            </w:r>
          </w:p>
        </w:tc>
        <w:tc>
          <w:tcPr>
            <w:tcW w:type="dxa" w:w="3686"/>
            <w:shd w:fill="17324D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color w:val="FFFFFF"/>
              </w:rPr>
              <w:t>Условие</w:t>
            </w:r>
          </w:p>
        </w:tc>
      </w:tr>
      <w:tr>
        <w:trPr>
          <w:cantSplit/>
        </w:trPr>
        <w:tc>
          <w:tcPr>
            <w:tcW w:type="dxa" w:w="576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Общая и endpoint-доля бизнес-ошибок</w:t>
            </w:r>
          </w:p>
        </w:tc>
        <w:tc>
          <w:tcPr>
            <w:tcW w:type="dxa" w:w="3686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&lt; 0,1%</w:t>
            </w:r>
          </w:p>
        </w:tc>
      </w:tr>
      <w:tr>
        <w:trPr>
          <w:cantSplit/>
        </w:trPr>
        <w:tc>
          <w:tcPr>
            <w:tcW w:type="dxa" w:w="576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Успешность проверок checks</w:t>
            </w:r>
          </w:p>
        </w:tc>
        <w:tc>
          <w:tcPr>
            <w:tcW w:type="dxa" w:w="3686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&gt; 99,9%</w:t>
            </w:r>
          </w:p>
        </w:tc>
      </w:tr>
      <w:tr>
        <w:trPr>
          <w:cantSplit/>
        </w:trPr>
        <w:tc>
          <w:tcPr>
            <w:tcW w:type="dxa" w:w="576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Общий и endpoint HTTP p95</w:t>
            </w:r>
          </w:p>
        </w:tc>
        <w:tc>
          <w:tcPr>
            <w:tcW w:type="dxa" w:w="3686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&lt; 250 мс</w:t>
            </w:r>
          </w:p>
        </w:tc>
      </w:tr>
      <w:tr>
        <w:trPr>
          <w:cantSplit/>
        </w:trPr>
        <w:tc>
          <w:tcPr>
            <w:tcW w:type="dxa" w:w="576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HTTP p95 прогноза day</w:t>
            </w:r>
          </w:p>
        </w:tc>
        <w:tc>
          <w:tcPr>
            <w:tcW w:type="dxa" w:w="3686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&lt; 200 мс</w:t>
            </w:r>
          </w:p>
        </w:tc>
      </w:tr>
      <w:tr>
        <w:trPr>
          <w:cantSplit/>
        </w:trPr>
        <w:tc>
          <w:tcPr>
            <w:tcW w:type="dxa" w:w="576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Полная клиентская длительность p95</w:t>
            </w:r>
          </w:p>
        </w:tc>
        <w:tc>
          <w:tcPr>
            <w:tcW w:type="dxa" w:w="3686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&lt; 300 мс</w:t>
            </w:r>
          </w:p>
        </w:tc>
      </w:tr>
      <w:tr>
        <w:trPr>
          <w:cantSplit/>
        </w:trPr>
        <w:tc>
          <w:tcPr>
            <w:tcW w:type="dxa" w:w="576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Dropped iterations</w:t>
            </w:r>
          </w:p>
        </w:tc>
        <w:tc>
          <w:tcPr>
            <w:tcW w:type="dxa" w:w="3686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0</w:t>
            </w:r>
          </w:p>
        </w:tc>
      </w:tr>
      <w:tr>
        <w:trPr>
          <w:cantSplit/>
        </w:trPr>
        <w:tc>
          <w:tcPr>
            <w:tcW w:type="dxa" w:w="576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Число выполненных итераций</w:t>
            </w:r>
          </w:p>
        </w:tc>
        <w:tc>
          <w:tcPr>
            <w:tcW w:type="dxa" w:w="3686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Не меньше rate × duration − 1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pStyle w:val="Heading2"/>
      </w:pPr>
      <w:r>
        <w:t>Как читать показатели</w:t>
      </w:r>
    </w:p>
    <w:p>
      <w:r>
        <w:t>RPS в таблицах — успешные бизнес-запросы, делённые на интервал от первого старта до последнего завершения в measurement. Отклонения на сотые RPS и один дополнительный запрос связаны с фактическими границами окна; они не означают отдельного прироста мощности. [R02–R18]</w:t>
      </w:r>
    </w:p>
    <w:p>
      <w:r>
        <w:t>p50/p95/p99 берутся из business_latency{phase:measurement}: это клиентская HTTP-длительность. Полная клиентская длительность отдельно хранится в business_client_wall. Общие http_reqs и http_req_failed охватывают также другие фазы, поэтому не смешиваются с результатами measurement. [C2; D2]</w:t>
      </w:r>
    </w:p>
    <w:p>
      <w:r>
        <w:t>Ошибка означает провал HTTP-статуса или проверки контракта ответа. Dropped iterations — не отправленные итерации, а не HTTP-ошибки; нулевое значение не доказывает, что у генератора нет ресурсных ограничений. [C2; D3]</w:t>
      </w:r>
    </w:p>
    <w:p>
      <w:pPr>
        <w:pStyle w:val="Heading1"/>
        <w:pageBreakBefore/>
      </w:pPr>
      <w:r>
        <w:t>3. Сравнение отдельных операций</w:t>
      </w:r>
    </w:p>
    <w:p>
      <w:r>
        <w:t>Все строки таблицы ниже относятся к нагрузке 50 RPS и одной API-реплике. Во всех семи прогонах бизнес-ошибки и dropped iterations равны нулю; выполнены все заданные thresholds. [R02–R08]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right w:val="nil"/>
          <w:insideV w:val="nil"/>
          <w:bottom w:val="single" w:sz="3" w:color="D8E1E7"/>
          <w:insideH w:val="single" w:sz="3" w:color="D8E1E7"/>
        </w:tblBorders>
      </w:tblPr>
      <w:tblGrid>
        <w:gridCol w:w="2909"/>
        <w:gridCol w:w="893"/>
        <w:gridCol w:w="1325"/>
        <w:gridCol w:w="1440"/>
        <w:gridCol w:w="1440"/>
        <w:gridCol w:w="1440"/>
      </w:tblGrid>
      <w:tr>
        <w:trPr>
          <w:tblHeader w:val="true"/>
        </w:trPr>
        <w:tc>
          <w:tcPr>
            <w:tcW w:type="dxa" w:w="2909"/>
            <w:shd w:fill="17324D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>Операция</w:t>
            </w:r>
          </w:p>
        </w:tc>
        <w:tc>
          <w:tcPr>
            <w:tcW w:type="dxa" w:w="893"/>
            <w:shd w:fill="17324D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color w:val="FFFFFF"/>
              </w:rPr>
              <w:t>Окно</w:t>
            </w:r>
          </w:p>
        </w:tc>
        <w:tc>
          <w:tcPr>
            <w:tcW w:type="dxa" w:w="1325"/>
            <w:shd w:fill="17324D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color w:val="FFFFFF"/>
              </w:rPr>
              <w:t>Запросы</w:t>
            </w:r>
          </w:p>
        </w:tc>
        <w:tc>
          <w:tcPr>
            <w:tcW w:type="dxa" w:w="1440"/>
            <w:shd w:fill="17324D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color w:val="FFFFFF"/>
              </w:rPr>
              <w:t>p50, мс</w:t>
            </w:r>
          </w:p>
        </w:tc>
        <w:tc>
          <w:tcPr>
            <w:tcW w:type="dxa" w:w="1440"/>
            <w:shd w:fill="17324D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color w:val="FFFFFF"/>
              </w:rPr>
              <w:t>p95, мс</w:t>
            </w:r>
          </w:p>
        </w:tc>
        <w:tc>
          <w:tcPr>
            <w:tcW w:type="dxa" w:w="1440"/>
            <w:shd w:fill="17324D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color w:val="FFFFFF"/>
              </w:rPr>
              <w:t>p99, мс</w:t>
            </w:r>
          </w:p>
        </w:tc>
      </w:tr>
      <w:tr>
        <w:trPr>
          <w:cantSplit/>
        </w:trPr>
        <w:tc>
          <w:tcPr>
            <w:tcW w:type="dxa" w:w="2909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bootstrap</w:t>
            </w:r>
          </w:p>
        </w:tc>
        <w:tc>
          <w:tcPr>
            <w:tcW w:type="dxa" w:w="893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2m</w:t>
            </w:r>
          </w:p>
        </w:tc>
        <w:tc>
          <w:tcPr>
            <w:tcW w:type="dxa" w:w="132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6 001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1,48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2,64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3,02</w:t>
            </w:r>
          </w:p>
        </w:tc>
      </w:tr>
      <w:tr>
        <w:trPr>
          <w:cantSplit/>
        </w:trPr>
        <w:tc>
          <w:tcPr>
            <w:tcW w:type="dxa" w:w="2909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route-geometry</w:t>
            </w:r>
          </w:p>
        </w:tc>
        <w:tc>
          <w:tcPr>
            <w:tcW w:type="dxa" w:w="893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2m</w:t>
            </w:r>
          </w:p>
        </w:tc>
        <w:tc>
          <w:tcPr>
            <w:tcW w:type="dxa" w:w="132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6 000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1,22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2,43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2,70</w:t>
            </w:r>
          </w:p>
        </w:tc>
      </w:tr>
      <w:tr>
        <w:trPr>
          <w:cantSplit/>
        </w:trPr>
        <w:tc>
          <w:tcPr>
            <w:tcW w:type="dxa" w:w="2909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forecast-day</w:t>
            </w:r>
          </w:p>
        </w:tc>
        <w:tc>
          <w:tcPr>
            <w:tcW w:type="dxa" w:w="893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3m</w:t>
            </w:r>
          </w:p>
        </w:tc>
        <w:tc>
          <w:tcPr>
            <w:tcW w:type="dxa" w:w="132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9 001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3,45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6,83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7,62</w:t>
            </w:r>
          </w:p>
        </w:tc>
      </w:tr>
      <w:tr>
        <w:trPr>
          <w:cantSplit/>
        </w:trPr>
        <w:tc>
          <w:tcPr>
            <w:tcW w:type="dxa" w:w="2909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forecast-week</w:t>
            </w:r>
          </w:p>
        </w:tc>
        <w:tc>
          <w:tcPr>
            <w:tcW w:type="dxa" w:w="893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3m</w:t>
            </w:r>
          </w:p>
        </w:tc>
        <w:tc>
          <w:tcPr>
            <w:tcW w:type="dxa" w:w="132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9 001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4,73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9,94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11,20</w:t>
            </w:r>
          </w:p>
        </w:tc>
      </w:tr>
      <w:tr>
        <w:trPr>
          <w:cantSplit/>
        </w:trPr>
        <w:tc>
          <w:tcPr>
            <w:tcW w:type="dxa" w:w="2909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forecast-month</w:t>
            </w:r>
          </w:p>
        </w:tc>
        <w:tc>
          <w:tcPr>
            <w:tcW w:type="dxa" w:w="893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3m</w:t>
            </w:r>
          </w:p>
        </w:tc>
        <w:tc>
          <w:tcPr>
            <w:tcW w:type="dxa" w:w="132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9 001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12,05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16,65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22,13</w:t>
            </w:r>
          </w:p>
        </w:tc>
      </w:tr>
      <w:tr>
        <w:trPr>
          <w:cantSplit/>
        </w:trPr>
        <w:tc>
          <w:tcPr>
            <w:tcW w:type="dxa" w:w="2909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scenario</w:t>
            </w:r>
          </w:p>
        </w:tc>
        <w:tc>
          <w:tcPr>
            <w:tcW w:type="dxa" w:w="893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3m</w:t>
            </w:r>
          </w:p>
        </w:tc>
        <w:tc>
          <w:tcPr>
            <w:tcW w:type="dxa" w:w="132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9 001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3,76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5,24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6,00</w:t>
            </w:r>
          </w:p>
        </w:tc>
      </w:tr>
      <w:tr>
        <w:trPr>
          <w:cantSplit/>
        </w:trPr>
        <w:tc>
          <w:tcPr>
            <w:tcW w:type="dxa" w:w="2909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summary</w:t>
            </w:r>
          </w:p>
        </w:tc>
        <w:tc>
          <w:tcPr>
            <w:tcW w:type="dxa" w:w="893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2m</w:t>
            </w:r>
          </w:p>
        </w:tc>
        <w:tc>
          <w:tcPr>
            <w:tcW w:type="dxa" w:w="132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6 001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3,92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4,55</w:t>
            </w:r>
          </w:p>
        </w:tc>
        <w:tc>
          <w:tcPr>
            <w:tcW w:type="dxa" w:w="144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5,40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keepNext/>
        <w:spacing w:before="60" w:after="0"/>
      </w:pPr>
      <w:r>
        <w:drawing>
          <wp:inline xmlns:a="http://schemas.openxmlformats.org/drawingml/2006/main" xmlns:pic="http://schemas.openxmlformats.org/drawingml/2006/picture">
            <wp:extent cx="6355080" cy="2125611"/>
            <wp:docPr id="1" name="Picture 1" descr="Рисунок 1. Клиентский HTTP p95 отдельных операций при 50 RPS. Источники: R02–R08 / report.js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endpoint_p9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125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Рисунок 1. Клиентский HTTP p95 отдельных операций при 50 RPS. Источники: R02–R08 / report.json.</w:t>
      </w:r>
    </w:p>
    <w:p>
      <w:r>
        <w:t>Наиболее высокая p95 среди этих операций у forecast-month: 16,65 мс против 6,83 мс у forecast-day. Это сравнение конкретных тестовых выборок и прогретого кэша, не универсальная стоимость прогнозов на месяц и сутки. [R04–R06]</w:t>
      </w:r>
    </w:p>
    <w:p>
      <w:r>
        <w:rPr>
          <w:b/>
        </w:rPr>
        <w:t>Login учитывается отдельно.</w:t>
      </w:r>
      <w:r>
        <w:t xml:space="preserve"> Функциональный тест сделал 55 запросов без ошибок, примерно 0,454 запроса/с; p50 — 105,33 мс, p95 — 135,94 мс, p99 — 144,50 мс. Один VU и пауза между логинами не позволяют трактовать имя каталога «50rps» как измеренную пропускную способность авторизации. [R01; C2]</w:t>
      </w:r>
    </w:p>
    <w:p>
      <w:r>
        <w:t>Отдельного завершённого export-прогона в наборе нет. Export проверен внутри mixed workload, в том числе 32 400 запросами в soak без ошибок. [R18]</w:t>
      </w:r>
    </w:p>
    <w:p>
      <w:pPr>
        <w:pStyle w:val="Heading1"/>
        <w:pageBreakBefore/>
      </w:pPr>
      <w:r>
        <w:t>4. Ступенчатая нагрузка: 50–600 RPS</w:t>
      </w:r>
    </w:p>
    <w:p>
      <w:r>
        <w:t>Одна API-реплика; каждая точка — 3 минуты измерения после минуты прогрева. Процентили рассчитаны отдельно для каждой точки, не усреднены между прогонами. [R09–R15]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right w:val="nil"/>
          <w:insideV w:val="nil"/>
          <w:bottom w:val="single" w:sz="3" w:color="D8E1E7"/>
          <w:insideH w:val="single" w:sz="3" w:color="D8E1E7"/>
        </w:tblBorders>
      </w:tblPr>
      <w:tblGrid>
        <w:gridCol w:w="1224"/>
        <w:gridCol w:w="2016"/>
        <w:gridCol w:w="1512"/>
        <w:gridCol w:w="1512"/>
        <w:gridCol w:w="1469"/>
        <w:gridCol w:w="1714"/>
      </w:tblGrid>
      <w:tr>
        <w:trPr>
          <w:tblHeader w:val="true"/>
        </w:trPr>
        <w:tc>
          <w:tcPr>
            <w:tcW w:type="dxa" w:w="1224"/>
            <w:shd w:fill="17324D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>Цель, RPS</w:t>
            </w:r>
          </w:p>
        </w:tc>
        <w:tc>
          <w:tcPr>
            <w:tcW w:type="dxa" w:w="2016"/>
            <w:shd w:fill="17324D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color w:val="FFFFFF"/>
              </w:rPr>
              <w:t>Успешные RPS</w:t>
            </w:r>
          </w:p>
        </w:tc>
        <w:tc>
          <w:tcPr>
            <w:tcW w:type="dxa" w:w="1512"/>
            <w:shd w:fill="17324D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color w:val="FFFFFF"/>
              </w:rPr>
              <w:t>p95, мс</w:t>
            </w:r>
          </w:p>
        </w:tc>
        <w:tc>
          <w:tcPr>
            <w:tcW w:type="dxa" w:w="1512"/>
            <w:shd w:fill="17324D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color w:val="FFFFFF"/>
              </w:rPr>
              <w:t>p99, мс</w:t>
            </w:r>
          </w:p>
        </w:tc>
        <w:tc>
          <w:tcPr>
            <w:tcW w:type="dxa" w:w="1469"/>
            <w:shd w:fill="17324D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color w:val="FFFFFF"/>
              </w:rPr>
              <w:t>Ошибки</w:t>
            </w:r>
          </w:p>
        </w:tc>
        <w:tc>
          <w:tcPr>
            <w:tcW w:type="dxa" w:w="1714"/>
            <w:shd w:fill="17324D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color w:val="FFFFFF"/>
              </w:rPr>
              <w:t>Итог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50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50,00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6,24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24,48</w:t>
            </w:r>
          </w:p>
        </w:tc>
        <w:tc>
          <w:tcPr>
            <w:tcW w:type="dxa" w:w="1469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0</w:t>
            </w:r>
          </w:p>
        </w:tc>
        <w:tc>
          <w:tcPr>
            <w:tcW w:type="dxa" w:w="171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PASS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100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100,01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4,20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13,95</w:t>
            </w:r>
          </w:p>
        </w:tc>
        <w:tc>
          <w:tcPr>
            <w:tcW w:type="dxa" w:w="1469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0</w:t>
            </w:r>
          </w:p>
        </w:tc>
        <w:tc>
          <w:tcPr>
            <w:tcW w:type="dxa" w:w="171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PASS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200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200,00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3,64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13,03</w:t>
            </w:r>
          </w:p>
        </w:tc>
        <w:tc>
          <w:tcPr>
            <w:tcW w:type="dxa" w:w="1469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0</w:t>
            </w:r>
          </w:p>
        </w:tc>
        <w:tc>
          <w:tcPr>
            <w:tcW w:type="dxa" w:w="171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PASS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300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300,01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5,60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13,95</w:t>
            </w:r>
          </w:p>
        </w:tc>
        <w:tc>
          <w:tcPr>
            <w:tcW w:type="dxa" w:w="1469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0</w:t>
            </w:r>
          </w:p>
        </w:tc>
        <w:tc>
          <w:tcPr>
            <w:tcW w:type="dxa" w:w="171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PASS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400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400,01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8,49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15,82</w:t>
            </w:r>
          </w:p>
        </w:tc>
        <w:tc>
          <w:tcPr>
            <w:tcW w:type="dxa" w:w="1469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0</w:t>
            </w:r>
          </w:p>
        </w:tc>
        <w:tc>
          <w:tcPr>
            <w:tcW w:type="dxa" w:w="171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PASS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500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500,01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13,15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22,81</w:t>
            </w:r>
          </w:p>
        </w:tc>
        <w:tc>
          <w:tcPr>
            <w:tcW w:type="dxa" w:w="1469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0</w:t>
            </w:r>
          </w:p>
        </w:tc>
        <w:tc>
          <w:tcPr>
            <w:tcW w:type="dxa" w:w="171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PASS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600</w:t>
            </w:r>
          </w:p>
        </w:tc>
        <w:tc>
          <w:tcPr>
            <w:tcW w:type="dxa" w:w="2016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599,01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44,46</w:t>
            </w:r>
          </w:p>
        </w:tc>
        <w:tc>
          <w:tcPr>
            <w:tcW w:type="dxa" w:w="151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93,83</w:t>
            </w:r>
          </w:p>
        </w:tc>
        <w:tc>
          <w:tcPr>
            <w:tcW w:type="dxa" w:w="1469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180</w:t>
            </w:r>
          </w:p>
        </w:tc>
        <w:tc>
          <w:tcPr>
            <w:tcW w:type="dxa" w:w="171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rPr>
                <w:b/>
                <w:color w:val="923C29"/>
              </w:rPr>
              <w:t>FAIL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keepNext/>
        <w:spacing w:before="60" w:after="0"/>
      </w:pPr>
      <w:r>
        <w:drawing>
          <wp:inline xmlns:a="http://schemas.openxmlformats.org/drawingml/2006/main" xmlns:pic="http://schemas.openxmlformats.org/drawingml/2006/picture">
            <wp:extent cx="6355080" cy="2125611"/>
            <wp:docPr id="2" name="Picture 2" descr="Рисунок 2. p95 и p99 mixed workload по точкам нагрузки. Источники: R09–R15 / report.json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acity_latency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1256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Рисунок 2. p95 и p99 mixed workload по точкам нагрузки. Источники: R09–R15 / report.json.</w:t>
      </w:r>
    </w:p>
    <w:p>
      <w:r>
        <w:rPr>
          <w:b/>
        </w:rPr>
        <w:t>500 RPS — максимальная прошедшая точка короткой серии.</w:t>
      </w:r>
      <w:r>
        <w:t xml:space="preserve"> На ней обработано 90 000 запросов без ошибок, p95 — 13,15 мс, p99 — 22,81 мс. Это не доказательство устойчивости 500 RPS на часах или днях. [R14]</w:t>
      </w:r>
    </w:p>
    <w:p>
      <w:r>
        <w:t>На 600 RPS p95 выросла примерно в 3,38 раза, p99 — в 4,11 раза относительно 500 RPS. При этом 599,01 успешного запроса/с и нулевые drops не компенсируют нарушение критерия ошибок. Результат этой точки — FAIL. [R14–R15]</w:t>
      </w:r>
    </w:p>
    <w:p>
      <w:r>
        <w:t>Более низкие задержки некоторых точек 100–300 RPS по сравнению с 50 RPS не трактуются как ускорение от увеличения нагрузки: серия не содержит повторов, позволяющих отделить вариативность стенда от устойчивого эффекта. [R09–R12]</w:t>
      </w:r>
    </w:p>
    <w:p>
      <w:pPr>
        <w:pStyle w:val="Heading1"/>
        <w:pageBreakBefore/>
      </w:pPr>
      <w:r>
        <w:t>5. Что произошло на 600 RPS</w:t>
      </w:r>
    </w:p>
    <w:p>
      <w:r>
        <w:t xml:space="preserve">Из 108 001 измеренного бизнес-запроса успешно завершились 107 821, не прошли проверку 180. Общая доля ошибок — </w:t>
      </w:r>
      <w:r>
        <w:rPr>
          <w:b/>
        </w:rPr>
        <w:t>0,1667%</w:t>
      </w:r>
      <w:r>
        <w:t xml:space="preserve">, выше порога </w:t>
      </w:r>
      <w:r>
        <w:rPr>
          <w:b/>
        </w:rPr>
        <w:t>0,1%</w:t>
      </w:r>
      <w:r>
        <w:t>. Нарушены общий и все endpoint-критерии ошибок, а также checks &gt; 99,9%; критерии p95 и dropped iterations пройдены. Код завершения k6 — 99. [R15]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right w:val="nil"/>
          <w:insideV w:val="nil"/>
          <w:bottom w:val="single" w:sz="3" w:color="D8E1E7"/>
          <w:insideH w:val="single" w:sz="3" w:color="D8E1E7"/>
        </w:tblBorders>
      </w:tblPr>
      <w:tblGrid>
        <w:gridCol w:w="3096"/>
        <w:gridCol w:w="2592"/>
        <w:gridCol w:w="1728"/>
        <w:gridCol w:w="2030"/>
      </w:tblGrid>
      <w:tr>
        <w:trPr>
          <w:tblHeader w:val="true"/>
        </w:trPr>
        <w:tc>
          <w:tcPr>
            <w:tcW w:type="dxa" w:w="3096"/>
            <w:shd w:fill="17324D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>Операция</w:t>
            </w:r>
          </w:p>
        </w:tc>
        <w:tc>
          <w:tcPr>
            <w:tcW w:type="dxa" w:w="2592"/>
            <w:shd w:fill="17324D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color w:val="FFFFFF"/>
              </w:rPr>
              <w:t>Запросы</w:t>
            </w:r>
          </w:p>
        </w:tc>
        <w:tc>
          <w:tcPr>
            <w:tcW w:type="dxa" w:w="1728"/>
            <w:shd w:fill="17324D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color w:val="FFFFFF"/>
              </w:rPr>
              <w:t>Ошибки</w:t>
            </w:r>
          </w:p>
        </w:tc>
        <w:tc>
          <w:tcPr>
            <w:tcW w:type="dxa" w:w="2030"/>
            <w:shd w:fill="17324D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color w:val="FFFFFF"/>
              </w:rPr>
              <w:t>Доля ошибок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day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64 801</w:t>
            </w:r>
          </w:p>
        </w:tc>
        <w:tc>
          <w:tcPr>
            <w:tcW w:type="dxa" w:w="17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115</w:t>
            </w:r>
          </w:p>
        </w:tc>
        <w:tc>
          <w:tcPr>
            <w:tcW w:type="dxa" w:w="203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0,1775%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scenario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16 200</w:t>
            </w:r>
          </w:p>
        </w:tc>
        <w:tc>
          <w:tcPr>
            <w:tcW w:type="dxa" w:w="17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23</w:t>
            </w:r>
          </w:p>
        </w:tc>
        <w:tc>
          <w:tcPr>
            <w:tcW w:type="dxa" w:w="203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0,1420%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bootstrap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5 400</w:t>
            </w:r>
          </w:p>
        </w:tc>
        <w:tc>
          <w:tcPr>
            <w:tcW w:type="dxa" w:w="17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6</w:t>
            </w:r>
          </w:p>
        </w:tc>
        <w:tc>
          <w:tcPr>
            <w:tcW w:type="dxa" w:w="203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0,1111%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routes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5 400</w:t>
            </w:r>
          </w:p>
        </w:tc>
        <w:tc>
          <w:tcPr>
            <w:tcW w:type="dxa" w:w="17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11</w:t>
            </w:r>
          </w:p>
        </w:tc>
        <w:tc>
          <w:tcPr>
            <w:tcW w:type="dxa" w:w="203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0,2037%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geometry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5 400</w:t>
            </w:r>
          </w:p>
        </w:tc>
        <w:tc>
          <w:tcPr>
            <w:tcW w:type="dxa" w:w="17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6</w:t>
            </w:r>
          </w:p>
        </w:tc>
        <w:tc>
          <w:tcPr>
            <w:tcW w:type="dxa" w:w="203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0,1111%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week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2 160</w:t>
            </w:r>
          </w:p>
        </w:tc>
        <w:tc>
          <w:tcPr>
            <w:tcW w:type="dxa" w:w="17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4</w:t>
            </w:r>
          </w:p>
        </w:tc>
        <w:tc>
          <w:tcPr>
            <w:tcW w:type="dxa" w:w="203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0,1852%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month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3 240</w:t>
            </w:r>
          </w:p>
        </w:tc>
        <w:tc>
          <w:tcPr>
            <w:tcW w:type="dxa" w:w="17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6</w:t>
            </w:r>
          </w:p>
        </w:tc>
        <w:tc>
          <w:tcPr>
            <w:tcW w:type="dxa" w:w="203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0,1852%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summary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2 160</w:t>
            </w:r>
          </w:p>
        </w:tc>
        <w:tc>
          <w:tcPr>
            <w:tcW w:type="dxa" w:w="17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3</w:t>
            </w:r>
          </w:p>
        </w:tc>
        <w:tc>
          <w:tcPr>
            <w:tcW w:type="dxa" w:w="203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0,1389%</w:t>
            </w:r>
          </w:p>
        </w:tc>
      </w:tr>
      <w:tr>
        <w:trPr>
          <w:cantSplit/>
        </w:trPr>
        <w:tc>
          <w:tcPr>
            <w:tcW w:type="dxa" w:w="3096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export</w:t>
            </w:r>
          </w:p>
        </w:tc>
        <w:tc>
          <w:tcPr>
            <w:tcW w:type="dxa" w:w="259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3 240</w:t>
            </w:r>
          </w:p>
        </w:tc>
        <w:tc>
          <w:tcPr>
            <w:tcW w:type="dxa" w:w="17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6</w:t>
            </w:r>
          </w:p>
        </w:tc>
        <w:tc>
          <w:tcPr>
            <w:tcW w:type="dxa" w:w="203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0,1852%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keepNext/>
        <w:spacing w:before="60" w:after="0"/>
      </w:pPr>
      <w:r>
        <w:drawing>
          <wp:inline xmlns:a="http://schemas.openxmlformats.org/drawingml/2006/main" xmlns:pic="http://schemas.openxmlformats.org/drawingml/2006/picture">
            <wp:extent cx="6355080" cy="2062450"/>
            <wp:docPr id="3" name="Picture 3" descr="Рисунок 3. CPU API и генератора в короткой серии: среднее и максимум выборок, в процентах квоты. Источники: R09–R15 / system.csv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acity_cpu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0624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Рисунок 3. CPU API и генератора в короткой серии: среднее и максимум выборок, в процентах квоты. Источники: R09–R15 / system.csv.</w:t>
      </w:r>
    </w:p>
    <w:p>
      <w:r>
        <w:t>На 600 RPS CPU API в среднем занимал 46,84% квоты, максимум — 65,78%; генератор — 67,52% и 92,08% соответственно. Это указывает на заметный ресурсный вклад k6, но не устанавливает единственную причину ошибок. [R15]</w:t>
      </w:r>
    </w:p>
    <w:p>
      <w:r>
        <w:t>Без HTTP-статусов, текстов ошибок и backend.log нельзя приписать эти отказы rate limiting, БД, gateway или самому генератору. Корректный вывод: при 600 RPS стенд нарушил SLO по ошибкам; первопричина не локализована. [R15]</w:t>
      </w:r>
    </w:p>
    <w:p>
      <w:pPr>
        <w:pStyle w:val="Heading1"/>
        <w:pageBreakBefore/>
      </w:pPr>
      <w:r>
        <w:t>6. Длительный прогон: 400 RPS × 45 минут</w:t>
      </w:r>
    </w:p>
    <w:p>
      <w:r>
        <w:t xml:space="preserve">Измерительное окно: </w:t>
      </w:r>
      <w:r>
        <w:rPr>
          <w:b/>
        </w:rPr>
        <w:t>14:10:46,671–14:55:46,672 UTC</w:t>
      </w:r>
      <w:r>
        <w:t xml:space="preserve"> 3 октября 2026 года. Warmup 2 минуты не входит в 45 минут. В ресурсной выборке присутствует одна API-реплика, контейнер tramflow-api-3; суффикс «3» не означает три одновременно работающие реплики. [R18]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right w:val="nil"/>
          <w:insideV w:val="nil"/>
          <w:bottom w:val="single" w:sz="3" w:color="D8E1E7"/>
          <w:insideH w:val="single" w:sz="3" w:color="D8E1E7"/>
        </w:tblBorders>
      </w:tblPr>
      <w:tblGrid>
        <w:gridCol w:w="5328"/>
        <w:gridCol w:w="4118"/>
      </w:tblGrid>
      <w:tr>
        <w:trPr>
          <w:tblHeader w:val="true"/>
        </w:trPr>
        <w:tc>
          <w:tcPr>
            <w:tcW w:type="dxa" w:w="5328"/>
            <w:shd w:fill="17324D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>Показатель</w:t>
            </w:r>
          </w:p>
        </w:tc>
        <w:tc>
          <w:tcPr>
            <w:tcW w:type="dxa" w:w="4118"/>
            <w:shd w:fill="17324D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color w:val="FFFFFF"/>
              </w:rPr>
              <w:t>Результат</w:t>
            </w:r>
          </w:p>
        </w:tc>
      </w:tr>
      <w:tr>
        <w:trPr>
          <w:cantSplit/>
        </w:trPr>
        <w:tc>
          <w:tcPr>
            <w:tcW w:type="dxa" w:w="53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Нагрузка / измерение / API-реплики</w:t>
            </w:r>
          </w:p>
        </w:tc>
        <w:tc>
          <w:tcPr>
            <w:tcW w:type="dxa" w:w="411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400 / 45 min / 1</w:t>
            </w:r>
          </w:p>
        </w:tc>
      </w:tr>
      <w:tr>
        <w:trPr>
          <w:cantSplit/>
        </w:trPr>
        <w:tc>
          <w:tcPr>
            <w:tcW w:type="dxa" w:w="53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Всего / успешно, запросов</w:t>
            </w:r>
          </w:p>
        </w:tc>
        <w:tc>
          <w:tcPr>
            <w:tcW w:type="dxa" w:w="411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1 080 001 / 1 080 000</w:t>
            </w:r>
          </w:p>
        </w:tc>
      </w:tr>
      <w:tr>
        <w:trPr>
          <w:cantSplit/>
        </w:trPr>
        <w:tc>
          <w:tcPr>
            <w:tcW w:type="dxa" w:w="53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Успешные запросы в секунду</w:t>
            </w:r>
          </w:p>
        </w:tc>
        <w:tc>
          <w:tcPr>
            <w:tcW w:type="dxa" w:w="411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399,9999</w:t>
            </w:r>
          </w:p>
        </w:tc>
      </w:tr>
      <w:tr>
        <w:trPr>
          <w:cantSplit/>
        </w:trPr>
        <w:tc>
          <w:tcPr>
            <w:tcW w:type="dxa" w:w="53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p50 / p95 / p99, мс</w:t>
            </w:r>
          </w:p>
        </w:tc>
        <w:tc>
          <w:tcPr>
            <w:tcW w:type="dxa" w:w="411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1,40 / 9,15 / 16,98</w:t>
            </w:r>
          </w:p>
        </w:tc>
      </w:tr>
      <w:tr>
        <w:trPr>
          <w:cantSplit/>
        </w:trPr>
        <w:tc>
          <w:tcPr>
            <w:tcW w:type="dxa" w:w="53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Ошибок / доля ошибок</w:t>
            </w:r>
          </w:p>
        </w:tc>
        <w:tc>
          <w:tcPr>
            <w:tcW w:type="dxa" w:w="411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1 / 0,0000926%</w:t>
            </w:r>
          </w:p>
        </w:tc>
      </w:tr>
      <w:tr>
        <w:trPr>
          <w:cantSplit/>
        </w:trPr>
        <w:tc>
          <w:tcPr>
            <w:tcW w:type="dxa" w:w="53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Dropped iterations / итог thresholds</w:t>
            </w:r>
          </w:p>
        </w:tc>
        <w:tc>
          <w:tcPr>
            <w:tcW w:type="dxa" w:w="411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0 / PASS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pStyle w:val="Heading2"/>
      </w:pPr>
      <w:r>
        <w:t>Результаты операций внутри soak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right w:val="nil"/>
          <w:insideV w:val="nil"/>
          <w:bottom w:val="single" w:sz="3" w:color="D8E1E7"/>
          <w:insideH w:val="single" w:sz="3" w:color="D8E1E7"/>
        </w:tblBorders>
      </w:tblPr>
      <w:tblGrid>
        <w:gridCol w:w="2592"/>
        <w:gridCol w:w="2102"/>
        <w:gridCol w:w="1584"/>
        <w:gridCol w:w="1584"/>
        <w:gridCol w:w="1584"/>
      </w:tblGrid>
      <w:tr>
        <w:trPr>
          <w:tblHeader w:val="true"/>
        </w:trPr>
        <w:tc>
          <w:tcPr>
            <w:tcW w:type="dxa" w:w="2592"/>
            <w:shd w:fill="17324D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>Операция</w:t>
            </w:r>
          </w:p>
        </w:tc>
        <w:tc>
          <w:tcPr>
            <w:tcW w:type="dxa" w:w="2102"/>
            <w:shd w:fill="17324D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color w:val="FFFFFF"/>
              </w:rPr>
              <w:t>Запросы</w:t>
            </w:r>
          </w:p>
        </w:tc>
        <w:tc>
          <w:tcPr>
            <w:tcW w:type="dxa" w:w="1584"/>
            <w:shd w:fill="17324D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color w:val="FFFFFF"/>
              </w:rPr>
              <w:t>p95, мс</w:t>
            </w:r>
          </w:p>
        </w:tc>
        <w:tc>
          <w:tcPr>
            <w:tcW w:type="dxa" w:w="1584"/>
            <w:shd w:fill="17324D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color w:val="FFFFFF"/>
              </w:rPr>
              <w:t>p99, мс</w:t>
            </w:r>
          </w:p>
        </w:tc>
        <w:tc>
          <w:tcPr>
            <w:tcW w:type="dxa" w:w="1584"/>
            <w:shd w:fill="17324D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color w:val="FFFFFF"/>
              </w:rPr>
              <w:t>Ошибки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day</w:t>
            </w:r>
          </w:p>
        </w:tc>
        <w:tc>
          <w:tcPr>
            <w:tcW w:type="dxa" w:w="210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648 001</w:t>
            </w:r>
          </w:p>
        </w:tc>
        <w:tc>
          <w:tcPr>
            <w:tcW w:type="dxa" w:w="158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6,03</w:t>
            </w:r>
          </w:p>
        </w:tc>
        <w:tc>
          <w:tcPr>
            <w:tcW w:type="dxa" w:w="158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13,38</w:t>
            </w:r>
          </w:p>
        </w:tc>
        <w:tc>
          <w:tcPr>
            <w:tcW w:type="dxa" w:w="158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0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scenario</w:t>
            </w:r>
          </w:p>
        </w:tc>
        <w:tc>
          <w:tcPr>
            <w:tcW w:type="dxa" w:w="210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162 000</w:t>
            </w:r>
          </w:p>
        </w:tc>
        <w:tc>
          <w:tcPr>
            <w:tcW w:type="dxa" w:w="158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5,59</w:t>
            </w:r>
          </w:p>
        </w:tc>
        <w:tc>
          <w:tcPr>
            <w:tcW w:type="dxa" w:w="158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13,51</w:t>
            </w:r>
          </w:p>
        </w:tc>
        <w:tc>
          <w:tcPr>
            <w:tcW w:type="dxa" w:w="158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1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bootstrap</w:t>
            </w:r>
          </w:p>
        </w:tc>
        <w:tc>
          <w:tcPr>
            <w:tcW w:type="dxa" w:w="210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54 000</w:t>
            </w:r>
          </w:p>
        </w:tc>
        <w:tc>
          <w:tcPr>
            <w:tcW w:type="dxa" w:w="158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4,37</w:t>
            </w:r>
          </w:p>
        </w:tc>
        <w:tc>
          <w:tcPr>
            <w:tcW w:type="dxa" w:w="158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14,49</w:t>
            </w:r>
          </w:p>
        </w:tc>
        <w:tc>
          <w:tcPr>
            <w:tcW w:type="dxa" w:w="158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0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routes</w:t>
            </w:r>
          </w:p>
        </w:tc>
        <w:tc>
          <w:tcPr>
            <w:tcW w:type="dxa" w:w="210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54 000</w:t>
            </w:r>
          </w:p>
        </w:tc>
        <w:tc>
          <w:tcPr>
            <w:tcW w:type="dxa" w:w="158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2,91</w:t>
            </w:r>
          </w:p>
        </w:tc>
        <w:tc>
          <w:tcPr>
            <w:tcW w:type="dxa" w:w="158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13,46</w:t>
            </w:r>
          </w:p>
        </w:tc>
        <w:tc>
          <w:tcPr>
            <w:tcW w:type="dxa" w:w="158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0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geometry</w:t>
            </w:r>
          </w:p>
        </w:tc>
        <w:tc>
          <w:tcPr>
            <w:tcW w:type="dxa" w:w="210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54 000</w:t>
            </w:r>
          </w:p>
        </w:tc>
        <w:tc>
          <w:tcPr>
            <w:tcW w:type="dxa" w:w="158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2,40</w:t>
            </w:r>
          </w:p>
        </w:tc>
        <w:tc>
          <w:tcPr>
            <w:tcW w:type="dxa" w:w="158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11,66</w:t>
            </w:r>
          </w:p>
        </w:tc>
        <w:tc>
          <w:tcPr>
            <w:tcW w:type="dxa" w:w="158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0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week</w:t>
            </w:r>
          </w:p>
        </w:tc>
        <w:tc>
          <w:tcPr>
            <w:tcW w:type="dxa" w:w="210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21 600</w:t>
            </w:r>
          </w:p>
        </w:tc>
        <w:tc>
          <w:tcPr>
            <w:tcW w:type="dxa" w:w="158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7,05</w:t>
            </w:r>
          </w:p>
        </w:tc>
        <w:tc>
          <w:tcPr>
            <w:tcW w:type="dxa" w:w="158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15,27</w:t>
            </w:r>
          </w:p>
        </w:tc>
        <w:tc>
          <w:tcPr>
            <w:tcW w:type="dxa" w:w="158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0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month</w:t>
            </w:r>
          </w:p>
        </w:tc>
        <w:tc>
          <w:tcPr>
            <w:tcW w:type="dxa" w:w="210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32 400</w:t>
            </w:r>
          </w:p>
        </w:tc>
        <w:tc>
          <w:tcPr>
            <w:tcW w:type="dxa" w:w="158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20,50</w:t>
            </w:r>
          </w:p>
        </w:tc>
        <w:tc>
          <w:tcPr>
            <w:tcW w:type="dxa" w:w="158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29,85</w:t>
            </w:r>
          </w:p>
        </w:tc>
        <w:tc>
          <w:tcPr>
            <w:tcW w:type="dxa" w:w="158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0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summary</w:t>
            </w:r>
          </w:p>
        </w:tc>
        <w:tc>
          <w:tcPr>
            <w:tcW w:type="dxa" w:w="210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21 600</w:t>
            </w:r>
          </w:p>
        </w:tc>
        <w:tc>
          <w:tcPr>
            <w:tcW w:type="dxa" w:w="158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3,18</w:t>
            </w:r>
          </w:p>
        </w:tc>
        <w:tc>
          <w:tcPr>
            <w:tcW w:type="dxa" w:w="158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10,72</w:t>
            </w:r>
          </w:p>
        </w:tc>
        <w:tc>
          <w:tcPr>
            <w:tcW w:type="dxa" w:w="158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0</w:t>
            </w:r>
          </w:p>
        </w:tc>
      </w:tr>
      <w:tr>
        <w:trPr>
          <w:cantSplit/>
        </w:trPr>
        <w:tc>
          <w:tcPr>
            <w:tcW w:type="dxa" w:w="259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export</w:t>
            </w:r>
          </w:p>
        </w:tc>
        <w:tc>
          <w:tcPr>
            <w:tcW w:type="dxa" w:w="210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32 400</w:t>
            </w:r>
          </w:p>
        </w:tc>
        <w:tc>
          <w:tcPr>
            <w:tcW w:type="dxa" w:w="158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4,51</w:t>
            </w:r>
          </w:p>
        </w:tc>
        <w:tc>
          <w:tcPr>
            <w:tcW w:type="dxa" w:w="158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18,23</w:t>
            </w:r>
          </w:p>
        </w:tc>
        <w:tc>
          <w:tcPr>
            <w:tcW w:type="dxa" w:w="158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0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 xml:space="preserve">Единственная бизнес-ошибка относится к scenario: 1 из 162 000 запросов этой операции. Все endpoint-пороги при этом соблюдены. Общая успешность measurement — </w:t>
      </w:r>
      <w:r>
        <w:rPr>
          <w:b/>
        </w:rPr>
        <w:t>99,999907%</w:t>
      </w:r>
      <w:r>
        <w:t>; формулировка «ноль ошибок за 45 минут» была бы неверной. [R18]</w:t>
      </w:r>
    </w:p>
    <w:p>
      <w:r>
        <w:t>В общей метрике http_req_failed записано 7 неуспешных HTTP-запросов за весь запуск, но это другой охват фаз. Для итогов soak используется одна ошибка из measurement, а не смесь измерения с подготовкой и прогревом. Причина единичного отказа не классифицируется по агрегатам. [R18]</w:t>
      </w:r>
    </w:p>
    <w:p>
      <w:pPr>
        <w:pStyle w:val="Heading1"/>
        <w:pageBreakBefore/>
      </w:pPr>
      <w:r>
        <w:t>7. Soak: CPU и память API</w:t>
      </w:r>
    </w:p>
    <w:p>
      <w:pPr>
        <w:keepNext/>
        <w:spacing w:before="60" w:after="0"/>
      </w:pPr>
      <w:r>
        <w:drawing>
          <wp:inline xmlns:a="http://schemas.openxmlformats.org/drawingml/2006/main" xmlns:pic="http://schemas.openxmlformats.org/drawingml/2006/picture">
            <wp:extent cx="6355080" cy="1939154"/>
            <wp:docPr id="4" name="Picture 4" descr="Рисунок 4. CPU в течение measurement. Для читаемости показана скользящая медиана по 13 выборкам, примерно одной минуте; средние и максимумы в таблицах рассчитаны по исходным выборкам. Источник: R18 / system.csv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ak_cpu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1939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Рисунок 4. CPU в течение measurement. Для читаемости показана скользящая медиана по 13 выборкам, примерно одной минуте; средние и максимумы в таблицах рассчитаны по исходным выборкам. Источник: R18 / system.csv.</w:t>
      </w:r>
    </w:p>
    <w:p>
      <w:pPr>
        <w:keepNext/>
        <w:spacing w:before="60" w:after="0"/>
      </w:pPr>
      <w:r>
        <w:drawing>
          <wp:inline xmlns:a="http://schemas.openxmlformats.org/drawingml/2006/main" xmlns:pic="http://schemas.openxmlformats.org/drawingml/2006/picture">
            <wp:extent cx="6355080" cy="1939154"/>
            <wp:docPr id="5" name="Picture 5" descr="Рисунок 5. Docker working set API: все 589 выборок измерительного окна без сглаживания. Источник: R18 / system.csv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ak_api_memory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193915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Рисунок 5. Docker working set API: все 589 выборок измерительного окна без сглаживания. Источник: R18 / system.csv.</w:t>
      </w:r>
    </w:p>
    <w:p>
      <w:r>
        <w:t xml:space="preserve">Средняя загрузка API — </w:t>
      </w:r>
      <w:r>
        <w:rPr>
          <w:b/>
        </w:rPr>
        <w:t>25,97% CPU-квоты</w:t>
      </w:r>
      <w:r>
        <w:t xml:space="preserve">, максимальная выборка — </w:t>
      </w:r>
      <w:r>
        <w:rPr>
          <w:b/>
        </w:rPr>
        <w:t>39,15%</w:t>
      </w:r>
      <w:r>
        <w:t>. Среднее за первые 5 минут — 26,24%, за последние 5 минут — 28,28%: небольшое повышение к концу есть, постоянного упора в квоту по этим выборкам нет. [R18]</w:t>
      </w:r>
    </w:p>
    <w:p>
      <w:r>
        <w:t xml:space="preserve">Working set API в measurement — </w:t>
      </w:r>
      <w:r>
        <w:rPr>
          <w:b/>
        </w:rPr>
        <w:t>34,34–40,55 MiB</w:t>
      </w:r>
      <w:r>
        <w:t>. Средние значения первых и последних 5 минут — 37,05 и 37,49 MiB. Выраженного накопления этой памяти за 45 минут не видно. Это наблюдение не является доказательством отсутствия любых утечек при более длительной или другой нагрузке. [R18]</w:t>
      </w:r>
    </w:p>
    <w:p>
      <w:r>
        <w:t>Отдельно измеренный process RSS: первая выборка 48,01 MiB, последняя 30,61 MiB, максимум 51,57 MiB. RSS и Docker working set — разные показатели, поэтому их нельзя подменять друг другом. В report.json зафиксирован нулевой process/cgroup swap. Отсутствие рестартов и OOM отдельно не подтверждается: final-state.json не включён в экспорт. [R18]</w:t>
      </w:r>
    </w:p>
    <w:p>
      <w:pPr>
        <w:pStyle w:val="Heading1"/>
        <w:pageBreakBefore/>
      </w:pPr>
      <w:r>
        <w:t>8. Soak: генератор и остальные ресурсы</w:t>
      </w:r>
    </w:p>
    <w:p>
      <w:pPr>
        <w:keepNext/>
        <w:spacing w:before="60" w:after="0"/>
      </w:pPr>
      <w:r>
        <w:drawing>
          <wp:inline xmlns:a="http://schemas.openxmlformats.org/drawingml/2006/main" xmlns:pic="http://schemas.openxmlformats.org/drawingml/2006/picture">
            <wp:extent cx="6355080" cy="2186694"/>
            <wp:docPr id="6" name="Picture 6" descr="Рисунок 6. Память k6 в measurement: от 150,5 до 733,6 MiB, максимум 782,7 MiB. Источник: R18 / system.csv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oak_k6_memor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1866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Рисунок 6. Память k6 в measurement: от 150,5 до 733,6 MiB, максимум 782,7 MiB. Источник: R18 / system.csv.</w:t>
      </w:r>
    </w:p>
    <w:p>
      <w:r>
        <w:t xml:space="preserve">Генератор прибавил </w:t>
      </w:r>
      <w:r>
        <w:rPr>
          <w:b/>
        </w:rPr>
        <w:t>583,1 MiB</w:t>
      </w:r>
      <w:r>
        <w:t xml:space="preserve"> между первой и последней выборкой. Среднее за первые 5 минут — 189,76 MiB, за последние — 696,28 MiB. Это рост памяти k6, а не API; на данном 45-минутном интервале лимит 2 GiB ещё не достигнут. [R18]</w:t>
      </w:r>
    </w:p>
    <w:p>
      <w:r>
        <w:t>В документации k6 для remote-write Trend → gauges отмечена высокая стоимость используемой структуры данных по памяти. Это возможный вклад в наблюдаемый рост, но по CSV нельзя доказать причинность или назвать рост утечкой. Для более длительного теста нужны профиль генератора и отдельное сравнение вариантов вывода метрик. [C1; D4]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right w:val="nil"/>
          <w:insideV w:val="nil"/>
          <w:bottom w:val="single" w:sz="3" w:color="D8E1E7"/>
          <w:insideH w:val="single" w:sz="3" w:color="D8E1E7"/>
        </w:tblBorders>
      </w:tblPr>
      <w:tblGrid>
        <w:gridCol w:w="3240"/>
        <w:gridCol w:w="3528"/>
        <w:gridCol w:w="2678"/>
      </w:tblGrid>
      <w:tr>
        <w:trPr>
          <w:tblHeader w:val="true"/>
        </w:trPr>
        <w:tc>
          <w:tcPr>
            <w:tcW w:type="dxa" w:w="3240"/>
            <w:shd w:fill="17324D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>Компонент</w:t>
            </w:r>
          </w:p>
        </w:tc>
        <w:tc>
          <w:tcPr>
            <w:tcW w:type="dxa" w:w="3528"/>
            <w:shd w:fill="17324D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color w:val="FFFFFF"/>
              </w:rPr>
              <w:t>CPU квоты, ср. / макс., %</w:t>
            </w:r>
          </w:p>
        </w:tc>
        <w:tc>
          <w:tcPr>
            <w:tcW w:type="dxa" w:w="2678"/>
            <w:shd w:fill="17324D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color w:val="FFFFFF"/>
              </w:rPr>
              <w:t>Working set, макс., MiB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API</w:t>
            </w:r>
          </w:p>
        </w:tc>
        <w:tc>
          <w:tcPr>
            <w:tcW w:type="dxa" w:w="35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25,97 / 39,15</w:t>
            </w:r>
          </w:p>
        </w:tc>
        <w:tc>
          <w:tcPr>
            <w:tcW w:type="dxa" w:w="267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40,55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PostgreSQL</w:t>
            </w:r>
          </w:p>
        </w:tc>
        <w:tc>
          <w:tcPr>
            <w:tcW w:type="dxa" w:w="35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15,22 / 23,39</w:t>
            </w:r>
          </w:p>
        </w:tc>
        <w:tc>
          <w:tcPr>
            <w:tcW w:type="dxa" w:w="267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91,02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Gateway</w:t>
            </w:r>
          </w:p>
        </w:tc>
        <w:tc>
          <w:tcPr>
            <w:tcW w:type="dxa" w:w="35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9,60 / 14,22</w:t>
            </w:r>
          </w:p>
        </w:tc>
        <w:tc>
          <w:tcPr>
            <w:tcW w:type="dxa" w:w="267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12,45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k6</w:t>
            </w:r>
          </w:p>
        </w:tc>
        <w:tc>
          <w:tcPr>
            <w:tcW w:type="dxa" w:w="35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35,84 / 70,34</w:t>
            </w:r>
          </w:p>
        </w:tc>
        <w:tc>
          <w:tcPr>
            <w:tcW w:type="dxa" w:w="267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782,70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Prometheus</w:t>
            </w:r>
          </w:p>
        </w:tc>
        <w:tc>
          <w:tcPr>
            <w:tcW w:type="dxa" w:w="35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1,20 / 11,68</w:t>
            </w:r>
          </w:p>
        </w:tc>
        <w:tc>
          <w:tcPr>
            <w:tcW w:type="dxa" w:w="267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107,70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Grafana</w:t>
            </w:r>
          </w:p>
        </w:tc>
        <w:tc>
          <w:tcPr>
            <w:tcW w:type="dxa" w:w="35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Квота не задана</w:t>
            </w:r>
          </w:p>
        </w:tc>
        <w:tc>
          <w:tcPr>
            <w:tcW w:type="dxa" w:w="267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135,20</w:t>
            </w:r>
          </w:p>
        </w:tc>
      </w:tr>
      <w:tr>
        <w:trPr>
          <w:cantSplit/>
        </w:trPr>
        <w:tc>
          <w:tcPr>
            <w:tcW w:type="dxa" w:w="324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postgres-exporter</w:t>
            </w:r>
          </w:p>
        </w:tc>
        <w:tc>
          <w:tcPr>
            <w:tcW w:type="dxa" w:w="352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Квота не задана</w:t>
            </w:r>
          </w:p>
        </w:tc>
        <w:tc>
          <w:tcPr>
            <w:tcW w:type="dxa" w:w="267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11,26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Средняя CPU-нагрузка k6 — 35,84% его квоты; максимум выборок — 70,34%. PostgreSQL — 15,22% и 23,39% соответственно. Вывод о запасе относится к контейнерным выборкам: он не исключает коротких пиков, ожиданий I/O или конкуренции за физические ресурсы хоста. [R18]</w:t>
      </w:r>
    </w:p>
    <w:p>
      <w:r>
        <w:t>Практическое ограничение серии: последующие многочасовые soak нельзя автоматически считать эквивалентными, пока рост памяти генератора не объяснён и не проверен отдельно.</w:t>
      </w:r>
    </w:p>
    <w:p>
      <w:pPr>
        <w:pStyle w:val="Heading1"/>
        <w:pageBreakBefore/>
      </w:pPr>
      <w:r>
        <w:t>9. Одна и две API-реплики</w:t>
      </w:r>
    </w:p>
    <w:p>
      <w:r>
        <w:t>Тесты двух реплик на 300 и 500 RPS прошли thresholds без ошибок и пропущенных итераций. Однако наличие двух контейнеров само по себе не доказывает распределение нагрузки. [R16–R17]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right w:val="nil"/>
          <w:insideV w:val="nil"/>
          <w:bottom w:val="single" w:sz="3" w:color="D8E1E7"/>
          <w:insideH w:val="single" w:sz="3" w:color="D8E1E7"/>
        </w:tblBorders>
      </w:tblPr>
      <w:tblGrid>
        <w:gridCol w:w="1152"/>
        <w:gridCol w:w="1195"/>
        <w:gridCol w:w="2160"/>
        <w:gridCol w:w="1613"/>
        <w:gridCol w:w="1613"/>
        <w:gridCol w:w="1570"/>
      </w:tblGrid>
      <w:tr>
        <w:trPr>
          <w:tblHeader w:val="true"/>
        </w:trPr>
        <w:tc>
          <w:tcPr>
            <w:tcW w:type="dxa" w:w="1152"/>
            <w:shd w:fill="17324D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>RPS</w:t>
            </w:r>
          </w:p>
        </w:tc>
        <w:tc>
          <w:tcPr>
            <w:tcW w:type="dxa" w:w="1195"/>
            <w:shd w:fill="17324D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color w:val="FFFFFF"/>
              </w:rPr>
              <w:t>API</w:t>
            </w:r>
          </w:p>
        </w:tc>
        <w:tc>
          <w:tcPr>
            <w:tcW w:type="dxa" w:w="2160"/>
            <w:shd w:fill="17324D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color w:val="FFFFFF"/>
              </w:rPr>
              <w:t>Успешные RPS</w:t>
            </w:r>
          </w:p>
        </w:tc>
        <w:tc>
          <w:tcPr>
            <w:tcW w:type="dxa" w:w="1613"/>
            <w:shd w:fill="17324D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color w:val="FFFFFF"/>
              </w:rPr>
              <w:t>p95, мс</w:t>
            </w:r>
          </w:p>
        </w:tc>
        <w:tc>
          <w:tcPr>
            <w:tcW w:type="dxa" w:w="1613"/>
            <w:shd w:fill="17324D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color w:val="FFFFFF"/>
              </w:rPr>
              <w:t>p99, мс</w:t>
            </w:r>
          </w:p>
        </w:tc>
        <w:tc>
          <w:tcPr>
            <w:tcW w:type="dxa" w:w="1570"/>
            <w:shd w:fill="17324D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color w:val="FFFFFF"/>
              </w:rPr>
              <w:t>Ошибки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300</w:t>
            </w:r>
          </w:p>
        </w:tc>
        <w:tc>
          <w:tcPr>
            <w:tcW w:type="dxa" w:w="119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1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300,01</w:t>
            </w:r>
          </w:p>
        </w:tc>
        <w:tc>
          <w:tcPr>
            <w:tcW w:type="dxa" w:w="1613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5,60</w:t>
            </w:r>
          </w:p>
        </w:tc>
        <w:tc>
          <w:tcPr>
            <w:tcW w:type="dxa" w:w="1613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13,95</w:t>
            </w:r>
          </w:p>
        </w:tc>
        <w:tc>
          <w:tcPr>
            <w:tcW w:type="dxa" w:w="157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0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300</w:t>
            </w:r>
          </w:p>
        </w:tc>
        <w:tc>
          <w:tcPr>
            <w:tcW w:type="dxa" w:w="119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2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300,00</w:t>
            </w:r>
          </w:p>
        </w:tc>
        <w:tc>
          <w:tcPr>
            <w:tcW w:type="dxa" w:w="1613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6,84</w:t>
            </w:r>
          </w:p>
        </w:tc>
        <w:tc>
          <w:tcPr>
            <w:tcW w:type="dxa" w:w="1613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15,24</w:t>
            </w:r>
          </w:p>
        </w:tc>
        <w:tc>
          <w:tcPr>
            <w:tcW w:type="dxa" w:w="157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0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500</w:t>
            </w:r>
          </w:p>
        </w:tc>
        <w:tc>
          <w:tcPr>
            <w:tcW w:type="dxa" w:w="119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1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500,01</w:t>
            </w:r>
          </w:p>
        </w:tc>
        <w:tc>
          <w:tcPr>
            <w:tcW w:type="dxa" w:w="1613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13,15</w:t>
            </w:r>
          </w:p>
        </w:tc>
        <w:tc>
          <w:tcPr>
            <w:tcW w:type="dxa" w:w="1613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22,81</w:t>
            </w:r>
          </w:p>
        </w:tc>
        <w:tc>
          <w:tcPr>
            <w:tcW w:type="dxa" w:w="157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0</w:t>
            </w:r>
          </w:p>
        </w:tc>
      </w:tr>
      <w:tr>
        <w:trPr>
          <w:cantSplit/>
        </w:trPr>
        <w:tc>
          <w:tcPr>
            <w:tcW w:type="dxa" w:w="1152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500</w:t>
            </w:r>
          </w:p>
        </w:tc>
        <w:tc>
          <w:tcPr>
            <w:tcW w:type="dxa" w:w="1195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2</w:t>
            </w:r>
          </w:p>
        </w:tc>
        <w:tc>
          <w:tcPr>
            <w:tcW w:type="dxa" w:w="216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500,01</w:t>
            </w:r>
          </w:p>
        </w:tc>
        <w:tc>
          <w:tcPr>
            <w:tcW w:type="dxa" w:w="1613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15,73</w:t>
            </w:r>
          </w:p>
        </w:tc>
        <w:tc>
          <w:tcPr>
            <w:tcW w:type="dxa" w:w="1613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33,47</w:t>
            </w:r>
          </w:p>
        </w:tc>
        <w:tc>
          <w:tcPr>
            <w:tcW w:type="dxa" w:w="1570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t>0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keepNext/>
        <w:spacing w:before="60" w:after="0"/>
      </w:pPr>
      <w:r>
        <w:drawing>
          <wp:inline xmlns:a="http://schemas.openxmlformats.org/drawingml/2006/main" xmlns:pic="http://schemas.openxmlformats.org/drawingml/2006/picture">
            <wp:extent cx="6355080" cy="2004414"/>
            <wp:docPr id="7" name="Picture 7" descr="Рисунок 7. Средняя CPU-нагрузка каждой API-реплики в двухрепличных прогонах. Источники: R16–R17 / report.json и system.csv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plica_cpu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0044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Рисунок 7. Средняя CPU-нагрузка каждой API-реплики в двухрепличных прогонах. Источники: R16–R17 / report.json и system.csv.</w:t>
      </w:r>
    </w:p>
    <w:p>
      <w:r>
        <w:t xml:space="preserve">На 500 RPS api-1 занимала в среднем </w:t>
      </w:r>
      <w:r>
        <w:rPr>
          <w:b/>
        </w:rPr>
        <w:t>36,78%</w:t>
      </w:r>
      <w:r>
        <w:t xml:space="preserve"> своей CPU-квоты, api-2 — </w:t>
      </w:r>
      <w:r>
        <w:rPr>
          <w:b/>
        </w:rPr>
        <w:t>0,485%</w:t>
      </w:r>
      <w:r>
        <w:t>. Вторая реплика также не имеет наблюдений для cache hit ratio и storage p95 в runtime_samples. Скриншот Grafana согласуется с этим перекосом: одна CPU-линия активна, другая близка к нулю. [R17; G3]</w:t>
      </w:r>
    </w:p>
    <w:p>
      <w:r>
        <w:rPr>
          <w:b/>
        </w:rPr>
        <w:t>Ускорение и эффективность горизонтального масштабирования не установлены.</w:t>
      </w:r>
      <w:r>
        <w:t xml:space="preserve"> В этих двух точках p95/p99 с двумя репликами не ниже, чем с одной. Нельзя объяснять это недостатком архитектуры до проверки фактической маршрутизации запросов. [R12; R14; R16–R17]</w:t>
      </w:r>
    </w:p>
    <w:p>
      <w:r>
        <w:t>Следующий проверочный шаг — сопоставить RPS каждой реплики, убедиться, что gateway видит обе, и повторить одинаковые точки. CPU — косвенный индикатор перекоса, а не точный счётчик распределённых запросов. Успех проверки межрепличных сессий этой серией также не подтверждается.</w:t>
      </w:r>
    </w:p>
    <w:p>
      <w:pPr>
        <w:pStyle w:val="Heading1"/>
        <w:pageBreakBefore/>
      </w:pPr>
      <w:r>
        <w:t>10. Grafana: поведение soak во времени</w:t>
      </w:r>
    </w:p>
    <w:p>
      <w:pPr>
        <w:keepNext/>
        <w:spacing w:before="60" w:after="0"/>
      </w:pPr>
      <w:r>
        <w:drawing>
          <wp:inline xmlns:a="http://schemas.openxmlformats.org/drawingml/2006/main" xmlns:pic="http://schemas.openxmlformats.org/drawingml/2006/picture">
            <wp:extent cx="6355080" cy="2159493"/>
            <wp:docPr id="8" name="Picture 8" descr="Рисунок 8. Исходный скриншот soak, верхние два ряда панелей. Диапазон на экране: 17:07:02–17:56:53; отображаемые часы сдвинуты на +3 часа относительно UTC артефактов. Источник: G1, Pasted image.p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ana_soak_overview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159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Рисунок 8. Исходный скриншот soak, верхние два ряда панелей. Диапазон на экране: 17:07:02–17:56:53; отображаемые часы сдвинуты на +3 часа относительно UTC артефактов. Источник: G1, Pasted image.png.</w:t>
      </w:r>
    </w:p>
    <w:p>
      <w:r>
        <w:t>Графики RPS визуально показывают плато около 400 запросов/с. К концу периода заметны локальное повышение server-side p95 и краткий всплеск ошибок. Поэтому результат описывается как прохождение 45-минутного SLO с единичным отказом, а не как абсолютно ровные задержки и нулевая ошибочность. [R18; G1]</w:t>
      </w:r>
    </w:p>
    <w:p>
      <w:pPr>
        <w:keepNext/>
        <w:spacing w:before="60" w:after="0"/>
      </w:pPr>
      <w:r>
        <w:drawing>
          <wp:inline xmlns:a="http://schemas.openxmlformats.org/drawingml/2006/main" xmlns:pic="http://schemas.openxmlformats.org/drawingml/2006/picture">
            <wp:extent cx="6355080" cy="2159493"/>
            <wp:docPr id="9" name="Picture 9" descr="Рисунок 9. Увеличенный временной диапазон конца soak, исходные панели. Источник: G1, Pasted image (5).png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ana_soak_tail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15949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Рисунок 9. Увеличенный временной диапазон конца soak, исходные панели. Источник: G1, Pasted image (5).png.</w:t>
      </w:r>
    </w:p>
    <w:p>
      <w:r>
        <w:t>Точные итоговые p95 9,15 мс и p99 16,98 мс получены из k6-summary.json, а не считаны с верхних панелей. Конфигурация этих панелей содержит особенности агрегации, описанные в следующем разделе. Их кривые не используются для вычисления итоговых процентилей. [R18; C3]</w:t>
      </w:r>
    </w:p>
    <w:p>
      <w:r>
        <w:t>Падение RPS после конца измерительного окна ожидаемо при завершении нагрузки. Изменения внутри окна требуют отличать от завершения теста по точным timestamp. Скриншоты сохраняются как визуальное свидетельство, а не замена исходным числовым артефактам.</w:t>
      </w:r>
    </w:p>
    <w:p>
      <w:pPr>
        <w:pStyle w:val="Heading1"/>
        <w:pageBreakBefore/>
      </w:pPr>
      <w:r>
        <w:t>11. Ограничения текущего dashboard</w:t>
      </w:r>
    </w:p>
    <w:p>
      <w:pPr>
        <w:keepNext/>
        <w:spacing w:before="60" w:after="0"/>
      </w:pPr>
      <w:r>
        <w:drawing>
          <wp:inline xmlns:a="http://schemas.openxmlformats.org/drawingml/2006/main" xmlns:pic="http://schemas.openxmlformats.org/drawingml/2006/picture">
            <wp:extent cx="6355080" cy="2163607"/>
            <wp:docPr id="10" name="Picture 10" descr="Рисунок 10. Общий скриншот mixed workload, Last 30 minutes и test run = All. Он объединяет несколько ступеней, а не представляет один run. Источник: G2.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afana_sweep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355080" cy="21636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Lines/>
      </w:pPr>
      <w:r>
        <w:t>Рисунок 10. Общий скриншот mixed workload, Last 30 minutes и test run = All. Он объединяет несколько ступеней, а не представляет один run. Источник: G2.</w:t>
      </w:r>
    </w:p>
    <w:p>
      <w:pPr>
        <w:pStyle w:val="Heading2"/>
      </w:pPr>
      <w:r>
        <w:t>Какие панели нельзя читать как итоговые метрики</w:t>
      </w:r>
    </w:p>
    <w:p>
      <w:r>
        <w:t>В переданном dashboard JSON панели «k6 client p95/p99» используют avg(...) от уже рассчитанных процентилей HTTP-серий. Среднее процентилей разных серий не равно процентилю объединённой выборки. Поэтому сравнение нагрузки и headline-числа в отчёте строятся по итоговым business_latency measurement, а не по среднему на dashboard. [C3; D4–D5]</w:t>
      </w:r>
    </w:p>
    <w:p>
      <w:r>
        <w:t>Панель «k6 semantic failure ratio» аналогично усредняет rates. При разных объёмах запросов по endpoint это не взвешенная общая доля ошибок. Панель «achieved business RPS» считает business_requests_total, то есть все измеренные запросы, а не только успешные. [C3]</w:t>
      </w:r>
    </w:p>
    <w:p>
      <w:r>
        <w:t>На скриншотах выбран test run = All. В таком режиме рядом могут отображаться данные нескольких запусков. Серверные панели в этой конфигурации не фильтруются по testid, поэтому один выбор run не изолирует серверные метрики от остальной нагрузки. [G1–G3; C3]</w:t>
      </w:r>
    </w:p>
    <w:p>
      <w:pPr>
        <w:pStyle w:val="Heading2"/>
      </w:pPr>
      <w:r>
        <w:t>Ресурсные панели</w:t>
      </w:r>
    </w:p>
    <w:p>
      <w:r>
        <w:t>CPU/RSS включают также postgres-exporter; его линию нельзя записывать в ресурсы API. Выражения с оператором or для RSS/heap, DB pool и swap могут скрывать серии с совпадающими наборами меток: это объединение множеств, не команда «показать оба показателя». «No data» у ONNX означает отсутствие наблюдений, а не 0 мс inference. [C3; D6]</w:t>
      </w:r>
    </w:p>
    <w:p>
      <w:r>
        <w:t>Для следующей версии dashboard нужны отдельные запросы для ресурсов, явные job/instance-фильтры, корректные взвешенные счётчики ошибок и агрегация задержек через совместимые гистограммы. Изменение dashboard не требует пересчёта уже сохранённых корректных итоговых k6-summary. [D5–D6]</w:t>
      </w:r>
    </w:p>
    <w:p>
      <w:pPr>
        <w:pStyle w:val="Heading1"/>
        <w:pageBreakBefore/>
      </w:pPr>
      <w:r>
        <w:t>12. Выводы и дальнейшая проверка</w:t>
      </w:r>
    </w:p>
    <w:p>
      <w:pPr>
        <w:pStyle w:val="Heading2"/>
      </w:pPr>
      <w:r>
        <w:t>Подтверждённый результат</w:t>
      </w:r>
    </w:p>
    <w:p>
      <w:pPr>
        <w:spacing w:before="100" w:after="200"/>
        <w:ind w:left="230" w:right="230"/>
        <w:shd w:fill="FFFFFF"/>
      </w:pPr>
      <w:r>
        <w:rPr>
          <w:color w:val="176B70"/>
        </w:rPr>
        <w:t>На synthetic_mock snapshot одна API-реплика с лимитами 2 CPU и 2 GiB выдержала mixed workload 400 RPS в течение 45 минут после двухминутного прогрева. Успешно обработано 1 080 000 из 1 080 001 бизнес-запроса; p95 составила 9,15 мс, p99 — 16,98 мс, dropped iterations — 0. Все заданные thresholds пройдены. [R18]</w:t>
      </w:r>
    </w:p>
    <w:p>
      <w:r>
        <w:t>В короткой трёхминутной серии максимальная прошедшая точка — 500 RPS; при 600 RPS нарушен критерий ошибок. Это два разных уровня доказательности: 400 RPS проверены длительно, 500 RPS — коротким прогоном. 450 RPS отдельно не измерялись. [R09–R18]</w:t>
      </w:r>
    </w:p>
    <w:p>
      <w:pPr>
        <w:pStyle w:val="Heading2"/>
      </w:pPr>
      <w:r>
        <w:t>Что нельзя выводить из этой серии</w:t>
      </w:r>
    </w:p>
    <w:p>
      <w:r>
        <w:t>Результаты не доказывают пропускную способность реальной ML-модели, качество прогноза, отсутствие утечек на произвольном горизонте, выигрыш двух реплик или конкретную причину отказов на 600 RPS. Средние ресурсы не исключают коротких пиков; source hash между короткой серией и soak изменился. [R02–R18]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right w:val="nil"/>
          <w:insideV w:val="nil"/>
          <w:bottom w:val="single" w:sz="3" w:color="D8E1E7"/>
          <w:insideH w:val="single" w:sz="3" w:color="D8E1E7"/>
        </w:tblBorders>
      </w:tblPr>
      <w:tblGrid>
        <w:gridCol w:w="1224"/>
        <w:gridCol w:w="4104"/>
        <w:gridCol w:w="4118"/>
      </w:tblGrid>
      <w:tr>
        <w:trPr>
          <w:tblHeader w:val="true"/>
        </w:trPr>
        <w:tc>
          <w:tcPr>
            <w:tcW w:type="dxa" w:w="1224"/>
            <w:shd w:fill="17324D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>№</w:t>
            </w:r>
          </w:p>
        </w:tc>
        <w:tc>
          <w:tcPr>
            <w:tcW w:type="dxa" w:w="4104"/>
            <w:shd w:fill="17324D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color w:val="FFFFFF"/>
              </w:rPr>
              <w:t>Проверка</w:t>
            </w:r>
          </w:p>
        </w:tc>
        <w:tc>
          <w:tcPr>
            <w:tcW w:type="dxa" w:w="4118"/>
            <w:shd w:fill="17324D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color w:val="FFFFFF"/>
              </w:rPr>
              <w:t>Что она установит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1</w:t>
            </w:r>
          </w:p>
        </w:tc>
        <w:tc>
          <w:tcPr>
            <w:tcW w:type="dxa" w:w="410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Разобрать 180 ошибок на 600 RPS</w:t>
            </w:r>
          </w:p>
        </w:tc>
        <w:tc>
          <w:tcPr>
            <w:tcW w:type="dxa" w:w="411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Статусы и первопричину отказов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2</w:t>
            </w:r>
          </w:p>
        </w:tc>
        <w:tc>
          <w:tcPr>
            <w:tcW w:type="dxa" w:w="410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Проверить RPS каждой API-реплики</w:t>
            </w:r>
          </w:p>
        </w:tc>
        <w:tc>
          <w:tcPr>
            <w:tcW w:type="dxa" w:w="411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Фактическую балансировку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3</w:t>
            </w:r>
          </w:p>
        </w:tc>
        <w:tc>
          <w:tcPr>
            <w:tcW w:type="dxa" w:w="410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Исправить агрегации Grafana</w:t>
            </w:r>
          </w:p>
        </w:tc>
        <w:tc>
          <w:tcPr>
            <w:tcW w:type="dxa" w:w="411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Корректность визуальных KPI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4</w:t>
            </w:r>
          </w:p>
        </w:tc>
        <w:tc>
          <w:tcPr>
            <w:tcW w:type="dxa" w:w="410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Повторить 400/500 RPS на фиксированной сборке</w:t>
            </w:r>
          </w:p>
        </w:tc>
        <w:tc>
          <w:tcPr>
            <w:tcW w:type="dxa" w:w="411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Воспроизводимость и разброс</w:t>
            </w:r>
          </w:p>
        </w:tc>
      </w:tr>
      <w:tr>
        <w:trPr>
          <w:cantSplit/>
        </w:trPr>
        <w:tc>
          <w:tcPr>
            <w:tcW w:type="dxa" w:w="122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5</w:t>
            </w:r>
          </w:p>
        </w:tc>
        <w:tc>
          <w:tcPr>
            <w:tcW w:type="dxa" w:w="4104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Испытать реальные модели и новые выборки</w:t>
            </w:r>
          </w:p>
        </w:tc>
        <w:tc>
          <w:tcPr>
            <w:tcW w:type="dxa" w:w="4118"/>
            <w:vAlign w:val="center"/>
            <w:tcMar>
              <w:top w:w="70" w:type="dxa"/>
              <w:bottom w:w="70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t>Работу без 100% cache hit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pPr>
        <w:pStyle w:val="Heading2"/>
      </w:pPr>
      <w:r>
        <w:t>Дополнительные сценарии</w:t>
      </w:r>
    </w:p>
    <w:p>
      <w:r>
        <w:t>Cold start, scale consistency check, Go microbenchmarks и отдельный export не имеют завершённых артефактов в этом экспорте. Они не обозначаются как PASS и не входят в численные итоги. Login является отдельным функциональным подтверждением; export имеет подтверждение только внутри mixed workload. [R01–R18]</w:t>
      </w:r>
    </w:p>
    <w:p>
      <w:r>
        <w:t>Повторный полный sweep не нужен для оформления уже выполненных измерений. Дальнейшие прогоны следует направить на перечисленные пробелы, сохраняя этот набор как самостоятельную версию результатов.</w:t>
      </w:r>
    </w:p>
    <w:p>
      <w:pPr>
        <w:pStyle w:val="Heading1"/>
        <w:pageBreakBefore/>
      </w:pPr>
      <w:r>
        <w:t>13. Реестр прогонов</w:t>
      </w:r>
    </w:p>
    <w:p>
      <w:r>
        <w:t>Все идентификаторы относятся к 3 октября 2026 года. Пути исходных файлов имеют вид bench_export/benchmarks/results/&lt;run_id&gt;/. В каждом каталоге доступны benchmark.md, report.json, k6-summary.json и system.csv. Метка PASS означает прохождение заданных thresholds; для login — функциональный успех.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right w:val="nil"/>
          <w:insideV w:val="nil"/>
          <w:bottom w:val="single" w:sz="3" w:color="D8E1E7"/>
          <w:insideH w:val="single" w:sz="3" w:color="D8E1E7"/>
        </w:tblBorders>
      </w:tblPr>
      <w:tblGrid>
        <w:gridCol w:w="720"/>
        <w:gridCol w:w="5976"/>
        <w:gridCol w:w="1469"/>
        <w:gridCol w:w="1282"/>
      </w:tblGrid>
      <w:tr>
        <w:trPr>
          <w:tblHeader w:val="true"/>
        </w:trPr>
        <w:tc>
          <w:tcPr>
            <w:tcW w:type="dxa" w:w="720"/>
            <w:shd w:fill="17324D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jc w:val="left"/>
            </w:pPr>
            <w:r>
              <w:rPr>
                <w:b/>
                <w:color w:val="FFFFFF"/>
              </w:rPr>
              <w:t>Код</w:t>
            </w:r>
          </w:p>
        </w:tc>
        <w:tc>
          <w:tcPr>
            <w:tcW w:type="dxa" w:w="5976"/>
            <w:shd w:fill="17324D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color w:val="FFFFFF"/>
              </w:rPr>
              <w:t>Run ID</w:t>
            </w:r>
          </w:p>
        </w:tc>
        <w:tc>
          <w:tcPr>
            <w:tcW w:type="dxa" w:w="1469"/>
            <w:shd w:fill="17324D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color w:val="FFFFFF"/>
              </w:rPr>
              <w:t>Окно / API</w:t>
            </w:r>
          </w:p>
        </w:tc>
        <w:tc>
          <w:tcPr>
            <w:tcW w:type="dxa" w:w="1282"/>
            <w:shd w:fill="17324D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jc w:val="center"/>
            </w:pPr>
            <w:r>
              <w:rPr>
                <w:b/>
                <w:color w:val="FFFFFF"/>
              </w:rPr>
              <w:t>Итог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rPr>
                <w:sz w:val="17"/>
              </w:rPr>
              <w:t>R01</w:t>
            </w:r>
          </w:p>
        </w:tc>
        <w:tc>
          <w:tcPr>
            <w:tcW w:type="dxa" w:w="5976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rPr>
                <w:sz w:val="17"/>
              </w:rPr>
              <w:t>20261003T115101Z-login-50rps-410549</w:t>
            </w:r>
          </w:p>
        </w:tc>
        <w:tc>
          <w:tcPr>
            <w:tcW w:type="dxa" w:w="1469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rPr>
                <w:sz w:val="17"/>
              </w:rPr>
              <w:t>login</w:t>
            </w:r>
          </w:p>
        </w:tc>
        <w:tc>
          <w:tcPr>
            <w:tcW w:type="dxa" w:w="1282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rPr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rPr>
                <w:sz w:val="17"/>
              </w:rPr>
              <w:t>R02</w:t>
            </w:r>
          </w:p>
        </w:tc>
        <w:tc>
          <w:tcPr>
            <w:tcW w:type="dxa" w:w="5976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rPr>
                <w:sz w:val="17"/>
              </w:rPr>
              <w:t>20261003T115646Z-bootstrap-50rps-245729</w:t>
            </w:r>
          </w:p>
        </w:tc>
        <w:tc>
          <w:tcPr>
            <w:tcW w:type="dxa" w:w="1469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rPr>
                <w:sz w:val="17"/>
              </w:rPr>
              <w:t>2m / 1 API</w:t>
            </w:r>
          </w:p>
        </w:tc>
        <w:tc>
          <w:tcPr>
            <w:tcW w:type="dxa" w:w="1282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rPr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rPr>
                <w:sz w:val="17"/>
              </w:rPr>
              <w:t>R03</w:t>
            </w:r>
          </w:p>
        </w:tc>
        <w:tc>
          <w:tcPr>
            <w:tcW w:type="dxa" w:w="5976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rPr>
                <w:sz w:val="17"/>
              </w:rPr>
              <w:t>20261003T120230Z-route-geometry-50rps-43819</w:t>
            </w:r>
          </w:p>
        </w:tc>
        <w:tc>
          <w:tcPr>
            <w:tcW w:type="dxa" w:w="1469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rPr>
                <w:sz w:val="17"/>
              </w:rPr>
              <w:t>2m / 1 API</w:t>
            </w:r>
          </w:p>
        </w:tc>
        <w:tc>
          <w:tcPr>
            <w:tcW w:type="dxa" w:w="1282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rPr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rPr>
                <w:sz w:val="17"/>
              </w:rPr>
              <w:t>R04</w:t>
            </w:r>
          </w:p>
        </w:tc>
        <w:tc>
          <w:tcPr>
            <w:tcW w:type="dxa" w:w="5976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rPr>
                <w:sz w:val="17"/>
              </w:rPr>
              <w:t>20261003T120656Z-forecast-day-50rps-967048</w:t>
            </w:r>
          </w:p>
        </w:tc>
        <w:tc>
          <w:tcPr>
            <w:tcW w:type="dxa" w:w="1469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rPr>
                <w:sz w:val="17"/>
              </w:rPr>
              <w:t>3m / 1 API</w:t>
            </w:r>
          </w:p>
        </w:tc>
        <w:tc>
          <w:tcPr>
            <w:tcW w:type="dxa" w:w="1282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rPr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rPr>
                <w:sz w:val="17"/>
              </w:rPr>
              <w:t>R05</w:t>
            </w:r>
          </w:p>
        </w:tc>
        <w:tc>
          <w:tcPr>
            <w:tcW w:type="dxa" w:w="5976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rPr>
                <w:sz w:val="17"/>
              </w:rPr>
              <w:t>20261003T121315Z-forecast-week-50rps-222329</w:t>
            </w:r>
          </w:p>
        </w:tc>
        <w:tc>
          <w:tcPr>
            <w:tcW w:type="dxa" w:w="1469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rPr>
                <w:sz w:val="17"/>
              </w:rPr>
              <w:t>3m / 1 API</w:t>
            </w:r>
          </w:p>
        </w:tc>
        <w:tc>
          <w:tcPr>
            <w:tcW w:type="dxa" w:w="1282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rPr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rPr>
                <w:sz w:val="17"/>
              </w:rPr>
              <w:t>R06</w:t>
            </w:r>
          </w:p>
        </w:tc>
        <w:tc>
          <w:tcPr>
            <w:tcW w:type="dxa" w:w="5976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rPr>
                <w:sz w:val="17"/>
              </w:rPr>
              <w:t>20261003T121952Z-forecast-month-50rps-192319</w:t>
            </w:r>
          </w:p>
        </w:tc>
        <w:tc>
          <w:tcPr>
            <w:tcW w:type="dxa" w:w="1469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rPr>
                <w:sz w:val="17"/>
              </w:rPr>
              <w:t>3m / 1 API</w:t>
            </w:r>
          </w:p>
        </w:tc>
        <w:tc>
          <w:tcPr>
            <w:tcW w:type="dxa" w:w="1282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rPr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rPr>
                <w:sz w:val="17"/>
              </w:rPr>
              <w:t>R07</w:t>
            </w:r>
          </w:p>
        </w:tc>
        <w:tc>
          <w:tcPr>
            <w:tcW w:type="dxa" w:w="5976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rPr>
                <w:sz w:val="17"/>
              </w:rPr>
              <w:t>20261003T122630Z-scenario-50rps-812845</w:t>
            </w:r>
          </w:p>
        </w:tc>
        <w:tc>
          <w:tcPr>
            <w:tcW w:type="dxa" w:w="1469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rPr>
                <w:sz w:val="17"/>
              </w:rPr>
              <w:t>3m / 1 API</w:t>
            </w:r>
          </w:p>
        </w:tc>
        <w:tc>
          <w:tcPr>
            <w:tcW w:type="dxa" w:w="1282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rPr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rPr>
                <w:sz w:val="17"/>
              </w:rPr>
              <w:t>R08</w:t>
            </w:r>
          </w:p>
        </w:tc>
        <w:tc>
          <w:tcPr>
            <w:tcW w:type="dxa" w:w="5976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rPr>
                <w:sz w:val="17"/>
              </w:rPr>
              <w:t>20261003T123310Z-summary-50rps-813420</w:t>
            </w:r>
          </w:p>
        </w:tc>
        <w:tc>
          <w:tcPr>
            <w:tcW w:type="dxa" w:w="1469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rPr>
                <w:sz w:val="17"/>
              </w:rPr>
              <w:t>2m / 1 API</w:t>
            </w:r>
          </w:p>
        </w:tc>
        <w:tc>
          <w:tcPr>
            <w:tcW w:type="dxa" w:w="1282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rPr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rPr>
                <w:sz w:val="17"/>
              </w:rPr>
              <w:t>R09</w:t>
            </w:r>
          </w:p>
        </w:tc>
        <w:tc>
          <w:tcPr>
            <w:tcW w:type="dxa" w:w="5976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rPr>
                <w:sz w:val="17"/>
              </w:rPr>
              <w:t>20261003T125735Z-mixed-workload-50rps-609940</w:t>
            </w:r>
          </w:p>
        </w:tc>
        <w:tc>
          <w:tcPr>
            <w:tcW w:type="dxa" w:w="1469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rPr>
                <w:sz w:val="17"/>
              </w:rPr>
              <w:t>3m / 1 API</w:t>
            </w:r>
          </w:p>
        </w:tc>
        <w:tc>
          <w:tcPr>
            <w:tcW w:type="dxa" w:w="1282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rPr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rPr>
                <w:sz w:val="17"/>
              </w:rPr>
              <w:t>R10</w:t>
            </w:r>
          </w:p>
        </w:tc>
        <w:tc>
          <w:tcPr>
            <w:tcW w:type="dxa" w:w="5976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rPr>
                <w:sz w:val="17"/>
              </w:rPr>
              <w:t>20261003T130200Z-mixed-workload-100rps-158780</w:t>
            </w:r>
          </w:p>
        </w:tc>
        <w:tc>
          <w:tcPr>
            <w:tcW w:type="dxa" w:w="1469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rPr>
                <w:sz w:val="17"/>
              </w:rPr>
              <w:t>3m / 1 API</w:t>
            </w:r>
          </w:p>
        </w:tc>
        <w:tc>
          <w:tcPr>
            <w:tcW w:type="dxa" w:w="1282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rPr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rPr>
                <w:sz w:val="17"/>
              </w:rPr>
              <w:t>R11</w:t>
            </w:r>
          </w:p>
        </w:tc>
        <w:tc>
          <w:tcPr>
            <w:tcW w:type="dxa" w:w="5976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rPr>
                <w:sz w:val="17"/>
              </w:rPr>
              <w:t>20261003T130631Z-mixed-workload-200rps-833642</w:t>
            </w:r>
          </w:p>
        </w:tc>
        <w:tc>
          <w:tcPr>
            <w:tcW w:type="dxa" w:w="1469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rPr>
                <w:sz w:val="17"/>
              </w:rPr>
              <w:t>3m / 1 API</w:t>
            </w:r>
          </w:p>
        </w:tc>
        <w:tc>
          <w:tcPr>
            <w:tcW w:type="dxa" w:w="1282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rPr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rPr>
                <w:sz w:val="17"/>
              </w:rPr>
              <w:t>R12</w:t>
            </w:r>
          </w:p>
        </w:tc>
        <w:tc>
          <w:tcPr>
            <w:tcW w:type="dxa" w:w="5976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rPr>
                <w:sz w:val="17"/>
              </w:rPr>
              <w:t>20261003T131057Z-mixed-workload-300rps-405847</w:t>
            </w:r>
          </w:p>
        </w:tc>
        <w:tc>
          <w:tcPr>
            <w:tcW w:type="dxa" w:w="1469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rPr>
                <w:sz w:val="17"/>
              </w:rPr>
              <w:t>3m / 1 API</w:t>
            </w:r>
          </w:p>
        </w:tc>
        <w:tc>
          <w:tcPr>
            <w:tcW w:type="dxa" w:w="1282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rPr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rPr>
                <w:sz w:val="17"/>
              </w:rPr>
              <w:t>R13</w:t>
            </w:r>
          </w:p>
        </w:tc>
        <w:tc>
          <w:tcPr>
            <w:tcW w:type="dxa" w:w="5976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rPr>
                <w:sz w:val="17"/>
              </w:rPr>
              <w:t>20261003T131528Z-mixed-workload-400rps-464926</w:t>
            </w:r>
          </w:p>
        </w:tc>
        <w:tc>
          <w:tcPr>
            <w:tcW w:type="dxa" w:w="1469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rPr>
                <w:sz w:val="17"/>
              </w:rPr>
              <w:t>3m / 1 API</w:t>
            </w:r>
          </w:p>
        </w:tc>
        <w:tc>
          <w:tcPr>
            <w:tcW w:type="dxa" w:w="1282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rPr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rPr>
                <w:sz w:val="17"/>
              </w:rPr>
              <w:t>R14</w:t>
            </w:r>
          </w:p>
        </w:tc>
        <w:tc>
          <w:tcPr>
            <w:tcW w:type="dxa" w:w="5976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rPr>
                <w:sz w:val="17"/>
              </w:rPr>
              <w:t>20261003T132003Z-mixed-workload-500rps-361500</w:t>
            </w:r>
          </w:p>
        </w:tc>
        <w:tc>
          <w:tcPr>
            <w:tcW w:type="dxa" w:w="1469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rPr>
                <w:sz w:val="17"/>
              </w:rPr>
              <w:t>3m / 1 API</w:t>
            </w:r>
          </w:p>
        </w:tc>
        <w:tc>
          <w:tcPr>
            <w:tcW w:type="dxa" w:w="1282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rPr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rPr>
                <w:sz w:val="17"/>
              </w:rPr>
              <w:t>R15</w:t>
            </w:r>
          </w:p>
        </w:tc>
        <w:tc>
          <w:tcPr>
            <w:tcW w:type="dxa" w:w="5976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rPr>
                <w:sz w:val="17"/>
              </w:rPr>
              <w:t>20261003T132428Z-mixed-workload-600rps-789005</w:t>
            </w:r>
          </w:p>
        </w:tc>
        <w:tc>
          <w:tcPr>
            <w:tcW w:type="dxa" w:w="1469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rPr>
                <w:sz w:val="17"/>
              </w:rPr>
              <w:t>3m / 1 API</w:t>
            </w:r>
          </w:p>
        </w:tc>
        <w:tc>
          <w:tcPr>
            <w:tcW w:type="dxa" w:w="1282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rPr>
                <w:b/>
                <w:color w:val="923C29"/>
                <w:sz w:val="17"/>
              </w:rPr>
              <w:t>FAIL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rPr>
                <w:sz w:val="17"/>
              </w:rPr>
              <w:t>R16</w:t>
            </w:r>
          </w:p>
        </w:tc>
        <w:tc>
          <w:tcPr>
            <w:tcW w:type="dxa" w:w="5976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rPr>
                <w:sz w:val="17"/>
              </w:rPr>
              <w:t>20261003T134555Z-mixed-workload-300rps-385818</w:t>
            </w:r>
          </w:p>
        </w:tc>
        <w:tc>
          <w:tcPr>
            <w:tcW w:type="dxa" w:w="1469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rPr>
                <w:sz w:val="17"/>
              </w:rPr>
              <w:t>3m / 2 API</w:t>
            </w:r>
          </w:p>
        </w:tc>
        <w:tc>
          <w:tcPr>
            <w:tcW w:type="dxa" w:w="1282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rPr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rPr>
                <w:sz w:val="17"/>
              </w:rPr>
              <w:t>R17</w:t>
            </w:r>
          </w:p>
        </w:tc>
        <w:tc>
          <w:tcPr>
            <w:tcW w:type="dxa" w:w="5976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rPr>
                <w:sz w:val="17"/>
              </w:rPr>
              <w:t>20261003T135019Z-mixed-workload-500rps-665159</w:t>
            </w:r>
          </w:p>
        </w:tc>
        <w:tc>
          <w:tcPr>
            <w:tcW w:type="dxa" w:w="1469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rPr>
                <w:sz w:val="17"/>
              </w:rPr>
              <w:t>3m / 2 API</w:t>
            </w:r>
          </w:p>
        </w:tc>
        <w:tc>
          <w:tcPr>
            <w:tcW w:type="dxa" w:w="1282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rPr>
                <w:sz w:val="17"/>
              </w:rPr>
              <w:t>PASS</w:t>
            </w:r>
          </w:p>
        </w:tc>
      </w:tr>
      <w:tr>
        <w:trPr>
          <w:cantSplit/>
        </w:trPr>
        <w:tc>
          <w:tcPr>
            <w:tcW w:type="dxa" w:w="720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rPr>
                <w:sz w:val="17"/>
              </w:rPr>
              <w:t>R18</w:t>
            </w:r>
          </w:p>
        </w:tc>
        <w:tc>
          <w:tcPr>
            <w:tcW w:type="dxa" w:w="5976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left"/>
            </w:pPr>
            <w:r>
              <w:rPr>
                <w:sz w:val="17"/>
              </w:rPr>
              <w:t>20261003T140829Z-mixed-workload-400rps-208599</w:t>
            </w:r>
          </w:p>
        </w:tc>
        <w:tc>
          <w:tcPr>
            <w:tcW w:type="dxa" w:w="1469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rPr>
                <w:sz w:val="17"/>
              </w:rPr>
              <w:t>45m / 1 API</w:t>
            </w:r>
          </w:p>
        </w:tc>
        <w:tc>
          <w:tcPr>
            <w:tcW w:type="dxa" w:w="1282"/>
            <w:vAlign w:val="center"/>
            <w:tcMar>
              <w:top w:w="46" w:type="dxa"/>
              <w:bottom w:w="46" w:type="dxa"/>
              <w:left w:w="95" w:type="dxa"/>
              <w:right w:w="95" w:type="dxa"/>
            </w:tcMar>
          </w:tcPr>
          <w:p>
            <w:pPr>
              <w:pStyle w:val="TableText"/>
              <w:spacing w:after="0"/>
              <w:jc w:val="center"/>
            </w:pPr>
            <w:r>
              <w:rPr>
                <w:sz w:val="17"/>
              </w:rPr>
              <w:t>PASS</w:t>
            </w:r>
          </w:p>
        </w:tc>
      </w:tr>
    </w:tbl>
    <w:p>
      <w:pPr>
        <w:spacing w:after="40" w:before="0" w:line="240" w:lineRule="auto"/>
      </w:pPr>
      <w:r>
        <w:rPr>
          <w:sz w:val="4"/>
        </w:rPr>
      </w:r>
    </w:p>
    <w:p>
      <w:r>
        <w:t>Набор содержит 1 665 014 измеренных бизнес-запросов в 17 нагрузочных прогонах и 181 бизнес-ошибку, из которых 180 относятся к R15 и одна — к R18. Login: ещё 55 отдельных функциональных запросов. Сводная успешность всех запусков не используется как SLO: смешивать разные нагрузки и длительности для этой цели некорректно.</w:t>
      </w:r>
    </w:p>
    <w:p>
      <w:r>
        <w:t>Программная сверка 17 нагрузочных report.json с k6-summary.json и measurement-выборками system.csv не выявила расхождений в проверенных счётчиках, длительностях, задержках, числе ресурсных выборок и среднем working set. Результат сверки включён в analysis.json.</w:t>
      </w:r>
    </w:p>
    <w:p>
      <w:pPr>
        <w:pStyle w:val="Heading1"/>
        <w:pageBreakBefore/>
      </w:pPr>
      <w:r>
        <w:t>14. Источники и воспроизводимость</w:t>
      </w:r>
    </w:p>
    <w:p>
      <w:pPr>
        <w:pStyle w:val="Heading2"/>
      </w:pPr>
      <w:r>
        <w:t>Артефакты измерений</w:t>
      </w:r>
    </w:p>
    <w:p>
      <w:r>
        <w:rPr>
          <w:b/>
        </w:rPr>
        <w:t>R01–R18</w:t>
      </w:r>
      <w:r>
        <w:t xml:space="preserve"> — каталоги прогонов из реестра. report.json используется для итоговых значений; k6-summary.json — для thresholds, endpoint-счётчиков и границ measurement; system.csv — для ресурсов и графиков; benchmark.md — для provenance и source hash.</w:t>
      </w:r>
    </w:p>
    <w:p>
      <w:r>
        <w:rPr>
          <w:b/>
        </w:rPr>
        <w:t>G1</w:t>
      </w:r>
      <w:r>
        <w:t xml:space="preserve"> — benchs/soak/: шесть скриншотов, в том числе Pasted image.png и Pasted image (5).png. </w:t>
      </w:r>
      <w:r>
        <w:rPr>
          <w:b/>
        </w:rPr>
        <w:t>G2</w:t>
      </w:r>
      <w:r>
        <w:t xml:space="preserve"> — benchs/mixed_workload/: два скриншота. </w:t>
      </w:r>
      <w:r>
        <w:rPr>
          <w:b/>
        </w:rPr>
        <w:t>G3</w:t>
      </w:r>
      <w:r>
        <w:t xml:space="preserve"> — benchs/2_replicas/: Screenshot from 2026-10-03 16-54-51.png и 16-54-57.png. Остальные 16 скриншотов относятся к login, bootstrap, geometry, forecast day/week/month, scenario и summary. Всего 26; каталог export пуст.</w:t>
      </w:r>
    </w:p>
    <w:p>
      <w:r>
        <w:rPr>
          <w:b/>
        </w:rPr>
        <w:t>C1</w:t>
      </w:r>
      <w:r>
        <w:t xml:space="preserve"> — MT_hack-observability-grafana.zip: scripts/benchmark.py, scripts/report.py, compose.yaml. </w:t>
      </w:r>
      <w:r>
        <w:rPr>
          <w:b/>
        </w:rPr>
        <w:t>C2</w:t>
      </w:r>
      <w:r>
        <w:t xml:space="preserve"> — тот же проект: loadtest/lib/runner.js, selection.mjs и login.js. </w:t>
      </w:r>
      <w:r>
        <w:rPr>
          <w:b/>
        </w:rPr>
        <w:t>C3</w:t>
      </w:r>
      <w:r>
        <w:t xml:space="preserve"> — deploy/grafana/dashboards/tramflow.json. Код используется для объяснения методики и конфигурации; фактические результаты берутся из R01–R18.</w:t>
      </w:r>
    </w:p>
    <w:p>
      <w:pPr>
        <w:pStyle w:val="Heading2"/>
      </w:pPr>
      <w:r>
        <w:t>Идентичность исходников</w:t>
      </w:r>
    </w:p>
    <w:p>
      <w:r>
        <w:t>Commit короткой серии и soak: b5602c89aca60ec09b6b6acc377935b346ebfccf; dirty = True.</w:t>
      </w:r>
    </w:p>
    <w:p>
      <w:r>
        <w:t>Source SHA-256 короткой серии R02–R17:</w:t>
      </w:r>
    </w:p>
    <w:p>
      <w:pPr>
        <w:pStyle w:val="Code"/>
      </w:pPr>
      <w:r>
        <w:t>7c8338cad064156eae1e29c323d1349e882ee04cc76d2f38823f0f65b1de0b41</w:t>
      </w:r>
    </w:p>
    <w:p>
      <w:r>
        <w:t>Source SHA-256 soak R18:</w:t>
      </w:r>
    </w:p>
    <w:p>
      <w:pPr>
        <w:pStyle w:val="Code"/>
      </w:pPr>
      <w:r>
        <w:t>85a065a438b221dcc5152db2d2c7fdc5431954ae094f24a5915a5ca8b30412b8</w:t>
      </w:r>
    </w:p>
    <w:p>
      <w:r>
        <w:t>Точные route_ids, route_count, host metadata и image digests должны сопровождать следующую публикацию в environment.json. Для диагностики ошибок нужны также backend.log и сырые события; для рестартов — final-state.json; для пересчёта серверных временных рядов — metrics.ndjson либо выгрузка Prometheus. Эти файлы не входят в компактный экспорт.</w:t>
      </w:r>
    </w:p>
    <w:p>
      <w:pPr>
        <w:pStyle w:val="Heading2"/>
      </w:pPr>
      <w:r>
        <w:t>Методические источники</w:t>
      </w:r>
    </w:p>
    <w:p>
      <w:pPr>
        <w:pStyle w:val="Small"/>
      </w:pPr>
      <w:r>
        <w:t xml:space="preserve">D1. </w:t>
      </w:r>
      <w:hyperlink r:id="rId21">
        <w:r>
          <w:rPr>
            <w:color w:val="176B70"/>
          </w:rPr>
          <w:t>Grafana k6 - Constant arrival rate</w:t>
        </w:r>
      </w:hyperlink>
    </w:p>
    <w:p>
      <w:pPr>
        <w:pStyle w:val="Small"/>
      </w:pPr>
      <w:r>
        <w:t xml:space="preserve">D2. </w:t>
      </w:r>
      <w:hyperlink r:id="rId22">
        <w:r>
          <w:rPr>
            <w:color w:val="176B70"/>
          </w:rPr>
          <w:t>Grafana k6 - Built-in metrics</w:t>
        </w:r>
      </w:hyperlink>
    </w:p>
    <w:p>
      <w:pPr>
        <w:pStyle w:val="Small"/>
      </w:pPr>
      <w:r>
        <w:t xml:space="preserve">D3. </w:t>
      </w:r>
      <w:hyperlink r:id="rId23">
        <w:r>
          <w:rPr>
            <w:color w:val="176B70"/>
          </w:rPr>
          <w:t>Grafana k6 - Dropped iterations</w:t>
        </w:r>
      </w:hyperlink>
    </w:p>
    <w:p>
      <w:pPr>
        <w:pStyle w:val="Small"/>
      </w:pPr>
      <w:r>
        <w:t xml:space="preserve">D4. </w:t>
      </w:r>
      <w:hyperlink r:id="rId24">
        <w:r>
          <w:rPr>
            <w:color w:val="176B70"/>
          </w:rPr>
          <w:t>Grafana k6 - Prometheus remote write</w:t>
        </w:r>
      </w:hyperlink>
    </w:p>
    <w:p>
      <w:pPr>
        <w:pStyle w:val="Small"/>
      </w:pPr>
      <w:r>
        <w:t xml:space="preserve">D5. </w:t>
      </w:r>
      <w:hyperlink r:id="rId25">
        <w:r>
          <w:rPr>
            <w:color w:val="176B70"/>
          </w:rPr>
          <w:t>Prometheus - Histograms and summaries</w:t>
        </w:r>
      </w:hyperlink>
    </w:p>
    <w:p>
      <w:pPr>
        <w:pStyle w:val="Small"/>
      </w:pPr>
      <w:r>
        <w:t xml:space="preserve">D6. </w:t>
      </w:r>
      <w:hyperlink r:id="rId26">
        <w:r>
          <w:rPr>
            <w:color w:val="176B70"/>
          </w:rPr>
          <w:t>Prometheus - Operators</w:t>
        </w:r>
      </w:hyperlink>
    </w:p>
    <w:p>
      <w:r>
        <w:t>Все таблицы и новые графики рассчитаны из числовых артефактов; скриншоты обрезаны только для увеличения читаемости. Кривые латентности по времени из агрегированных summary не реконструировались. Неизмеренные показатели не заменялись нулями.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037" w:bottom="950" w:left="1037" w:header="374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jc w:val="right"/>
    </w:pPr>
    <w:r/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Small"/>
      <w:tabs>
        <w:tab w:pos="10166" w:val="right"/>
      </w:tabs>
    </w:pPr>
    <w:r>
      <w:rPr>
        <w:sz w:val="16"/>
      </w:rPr>
      <w:t>TRAMFLOW  /  PERFORMANCE STUDY</w:t>
      <w:tab/>
      <w:t>03.10.2026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1" w:lineRule="auto" w:after="140"/>
    </w:pPr>
    <w:rPr>
      <w:rFonts w:ascii="Noto Sans" w:hAnsi="Noto Sans" w:eastAsia="Noto Sans"/>
      <w:color w:val="24333E"/>
      <w:sz w:val="21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80"/>
      <w:outlineLvl w:val="0"/>
    </w:pPr>
    <w:rPr>
      <w:rFonts w:asciiTheme="majorHAnsi" w:eastAsiaTheme="majorEastAsia" w:hAnsiTheme="majorHAnsi" w:cstheme="majorBidi" w:ascii="Lato" w:hAnsi="Lato" w:eastAsia="Noto Sans"/>
      <w:b/>
      <w:bCs/>
      <w:color w:val="17324D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80"/>
      <w:outlineLvl w:val="1"/>
    </w:pPr>
    <w:rPr>
      <w:rFonts w:asciiTheme="majorHAnsi" w:eastAsiaTheme="majorEastAsia" w:hAnsiTheme="majorHAnsi" w:cstheme="majorBidi" w:ascii="Lato" w:hAnsi="Lato" w:eastAsia="Noto Sans"/>
      <w:b/>
      <w:bCs/>
      <w:color w:val="17324D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80"/>
      <w:outlineLvl w:val="2"/>
    </w:pPr>
    <w:rPr>
      <w:rFonts w:asciiTheme="majorHAnsi" w:eastAsiaTheme="majorEastAsia" w:hAnsiTheme="majorHAnsi" w:cstheme="majorBidi" w:ascii="Lato" w:hAnsi="Lato" w:eastAsia="Noto Sans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80" w:line="240" w:lineRule="auto" w:before="0"/>
      <w:contextualSpacing/>
    </w:pPr>
    <w:rPr>
      <w:rFonts w:asciiTheme="majorHAnsi" w:eastAsiaTheme="majorEastAsia" w:hAnsiTheme="majorHAnsi" w:cstheme="majorBidi" w:ascii="Lato" w:hAnsi="Lato" w:eastAsia="Noto Sans"/>
      <w:b/>
      <w:color w:val="17324D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Noto Sans" w:hAnsi="Noto Sans" w:eastAsia="Noto Sans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Noto Sans" w:hAnsi="Noto Sans" w:eastAsia="Noto Sans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before="60" w:after="140"/>
    </w:pPr>
    <w:rPr>
      <w:rFonts w:ascii="Noto Sans" w:hAnsi="Noto Sans" w:eastAsia="Noto Sans"/>
      <w:b/>
      <w:bCs/>
      <w:color w:val="596873"/>
      <w:sz w:val="17"/>
      <w:szCs w:val="18"/>
      <w:lang w:val="ru-RU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ableText">
    <w:name w:val="Table Text"/>
    <w:pPr>
      <w:spacing w:after="80" w:line="247" w:lineRule="auto"/>
    </w:pPr>
    <w:rPr>
      <w:rFonts w:ascii="Noto Sans" w:hAnsi="Noto Sans"/>
      <w:sz w:val="18"/>
      <w:lang w:val="ru-RU"/>
    </w:rPr>
  </w:style>
  <w:style w:type="paragraph" w:customStyle="1" w:styleId="Small">
    <w:name w:val="Small"/>
    <w:pPr>
      <w:spacing w:after="80" w:line="247" w:lineRule="auto"/>
    </w:pPr>
    <w:rPr>
      <w:rFonts w:ascii="Noto Sans" w:hAnsi="Noto Sans"/>
      <w:color w:val="596873"/>
      <w:sz w:val="18"/>
    </w:rPr>
  </w:style>
  <w:style w:type="paragraph" w:customStyle="1" w:styleId="Code">
    <w:name w:val="Code"/>
    <w:pPr>
      <w:spacing w:after="80" w:line="247" w:lineRule="auto"/>
    </w:pPr>
    <w:rPr>
      <w:rFonts w:ascii="DejaVu Sans Mono" w:hAnsi="DejaVu Sans Mono"/>
      <w:sz w:val="16"/>
    </w:rPr>
  </w:style>
  <w:style w:type="paragraph" w:customStyle="1" w:styleId="Kicker">
    <w:name w:val="Kicker"/>
    <w:pPr>
      <w:spacing w:after="80" w:line="247" w:lineRule="auto"/>
    </w:pPr>
    <w:rPr>
      <w:rFonts w:ascii="Noto Sans" w:hAnsi="Noto Sans"/>
      <w:b/>
      <w:color w:val="176B7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hyperlink" Target="https://grafana.com/docs/k6/latest/using-k6/scenarios/executors/constant-arrival-rate/" TargetMode="External"/><Relationship Id="rId22" Type="http://schemas.openxmlformats.org/officeDocument/2006/relationships/hyperlink" Target="https://grafana.com/docs/k6/latest/using-k6/metrics/reference/" TargetMode="External"/><Relationship Id="rId23" Type="http://schemas.openxmlformats.org/officeDocument/2006/relationships/hyperlink" Target="https://grafana.com/docs/k6/latest/using-k6/scenarios/concepts/dropped-iterations/" TargetMode="External"/><Relationship Id="rId24" Type="http://schemas.openxmlformats.org/officeDocument/2006/relationships/hyperlink" Target="https://grafana.com/docs/k6/latest/results-output/real-time/prometheus-remote-write/" TargetMode="External"/><Relationship Id="rId25" Type="http://schemas.openxmlformats.org/officeDocument/2006/relationships/hyperlink" Target="https://prometheus.io/docs/practices/histograms/" TargetMode="External"/><Relationship Id="rId26" Type="http://schemas.openxmlformats.org/officeDocument/2006/relationships/hyperlink" Target="https://prometheus.io/docs/prometheus/latest/querying/operator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TramFlow — итоговый отчёт о нагрузочном тестировании</dc:title>
  <dc:subject>Смешанная нагрузка, 45-минутный soak, Grafana и проверка масштабирования</dc:subject>
  <dc:creator/>
  <cp:keywords>TramFlow, k6, Grafana, benchmark, soak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