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framePr w:w="0" w:hSpace="0" w:vSpace="0" w:wrap="auto" w:vAnchor="margin" w:hAnchor="text" w:xAlign="left" w:yAlign="inline"/>
      </w:pPr>
      <w:r>
        <w:t>Ankara Esenboğa Havalimanı'nda Sis ve Düşük Görüş Koşullarının Açıklanabilir Makine Öğrenmesiyle Kısa Vadeli Tahmini</w:t>
      </w:r>
    </w:p>
    <w:p>
      <w:pPr>
        <w:pBdr>
          <w:top w:val="nil"/>
          <w:left w:val="nil"/>
          <w:bottom w:val="nil"/>
          <w:right w:val="nil"/>
          <w:between w:val="nil"/>
        </w:pBdr>
        <w:jc w:val="center"/>
        <w:rPr>
          <w:color w:val="000000"/>
          <w:sz w:val="22"/>
          <w:szCs w:val="22"/>
        </w:rPr>
      </w:pPr>
    </w:p>
    <w:p>
      <w:pPr>
        <w:pBdr>
          <w:top w:val="nil"/>
          <w:left w:val="nil"/>
          <w:bottom w:val="nil"/>
          <w:right w:val="nil"/>
          <w:between w:val="nil"/>
        </w:pBdr>
        <w:jc w:val="center"/>
        <w:rPr>
          <w:color w:val="000000"/>
          <w:sz w:val="22"/>
          <w:szCs w:val="22"/>
        </w:rPr>
      </w:pPr>
      <w:r>
        <w:rPr>
          <w:sz w:val="22"/>
        </w:rPr>
        <w:t>Ata Sakik</w:t>
      </w: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pPr>
        <w:pBdr>
          <w:top w:val="nil"/>
          <w:left w:val="nil"/>
          <w:bottom w:val="nil"/>
          <w:right w:val="nil"/>
          <w:between w:val="nil"/>
        </w:pBdr>
        <w:spacing w:before="20"/>
        <w:ind w:firstLine="202"/>
        <w:jc w:val="both"/>
        <w:rPr>
          <w:b/>
          <w:color w:val="000000"/>
          <w:sz w:val="18"/>
          <w:szCs w:val="18"/>
        </w:rPr>
      </w:pPr>
      <w:r>
        <w:rPr>
          <w:b/>
          <w:i/>
          <w:sz w:val="18"/>
        </w:rPr>
        <w:t>Özet</w:t>
      </w:r>
      <w:r>
        <w:rPr>
          <w:b/>
          <w:sz w:val="18"/>
        </w:rPr>
        <w:t>—</w:t>
      </w:r>
      <w:r>
        <w:rPr>
          <w:b/>
          <w:sz w:val="18"/>
        </w:rPr>
        <w:t>Sis, Ankara Esenboğa Uluslararası Havalimanı'nda (LTAC) gecikme, yönlendirme ve iptallerin başlıca meteorolojik nedenidir ve havalimanındaki sis gözlemlerinin yarısından fazlası CAT II/III yaklaşma prosedürleri gerektirmektedir. Bu çalışmada LTAC için ilk makine öğrenmesi tabanlı düşük görüş kısa vadeli tahmin (nowcasting) sistemi sunulmaktadır. Kalite kontrolünden geçirilmiş 21,8 yıllık (2005–2026) METAR/SPECI rasatları kullanılarak sis (hâkim görüş mesafesi 1000 m'nin altında) ve ILS kategorilerine karşılık gelen pist görüş mesafesi (RVR) sınıfları; anlık durumu, eğilimleri, sınır tabaka belleğini ve Güneş döngüsünü tanımlayan 77 öznitelikle 1, 3 ve 6 saat önceden tahmin edilmiştir. Lojistik regresyon, rastgele orman, XGBoost, LightGBM ve çok görevli GRU/LSTM ağları kronolojik olarak eğitilmiş, kalibre edilmiş ve dört bağımsız sis sezonunda (2022–2026) kalıcılık, klimatoloji ve resmî METAR TREND tahminiyle karşılaştırmalı olarak doğrulanmıştır. Tüm modeller her öngörü süresinde kalıcılık tahmininden anlamlı biçimde daha başarılıdır: en iyi kritik başarı indeksi 1, 3 ve 6 saat için sırasıyla 0,73, 0,47 ve 0,34 olup kalıcılıkta bu değerler 0,65, 0,32 ve 0,13'tür; 1 saatte LightGBM, TREND tahminini 0,105 (%95 güven aralığı 0,075–0,140) farkla geçmektedir. Gradyan artırma yöntemleri 1 saatte, yinelemeli ağlar ise 3–6 saatte en yüksek olasılıksal beceriyi sağlamaktadır. SHAP analizi, belirleyici etkenlerin 1 saatte anlık nem ve görüş durumundan 6 saatte sınır tabakanın nem belleğine ve gün doğumuna kalan süreye fiziksel olarak tutarlı biçimde kaydığını göstermektedir. Kalibre edilmiş modeller; kademeli uyarı üreten, her tahmini açıklayan ve kendini gerçek zamanlı doğrulayan açık kaynaklı bir web uygulamasında hizmete sunulmuştur.</w:t>
      </w:r>
    </w:p>
    <w:p/>
    <w:p>
      <w:pPr>
        <w:jc w:val="both"/>
        <w:rPr>
          <w:b/>
          <w:sz w:val="18"/>
          <w:szCs w:val="18"/>
        </w:rPr>
      </w:pPr>
      <w:r>
        <w:rPr>
          <w:b/>
          <w:i/>
          <w:sz w:val="18"/>
        </w:rPr>
        <w:t>Anahtar Kelimeler</w:t>
      </w:r>
      <w:r>
        <w:rPr>
          <w:b/>
          <w:sz w:val="18"/>
        </w:rPr>
        <w:t>—Açıklanabilir yapay zekâ, düşük görüş prosedürleri, gradyan artırma, havacılık meteorolojisi, kısa vadeli tahmin, pist görüş mesafesi, sis, yinelemeli sinir ağları.</w:t>
      </w:r>
    </w:p>
    <w:p>
      <w:pPr>
        <w:pStyle w:val="Heading1"/>
      </w:pPr>
      <w:r>
        <w:t xml:space="preserve">I. </w:t>
      </w:r>
      <w:r>
        <w:t>Giriş</w:t>
      </w:r>
    </w:p>
    <w:p>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S</w:t>
      </w:r>
    </w:p>
    <w:p>
      <w:pPr>
        <w:widowControl w:val="0"/>
        <w:pBdr>
          <w:top w:val="nil"/>
          <w:left w:val="nil"/>
          <w:bottom w:val="nil"/>
          <w:right w:val="nil"/>
          <w:between w:val="nil"/>
        </w:pBdr>
        <w:spacing w:line="252" w:lineRule="auto"/>
        <w:jc w:val="both"/>
      </w:pPr>
      <w:r>
        <w:rPr>
          <w:smallCaps/>
        </w:rPr>
        <w:t>İS</w:t>
      </w:r>
      <w:r>
        <w:t>, yer seviyesindeki yatay görüş mesafesini 1000 m'nin altına düşüren ve havacılık için en fazla aksaklığa yol açan meteorolojik olaylardan biridir [1], [2]. Görüş mesafesi veya pist görüş mesafesi (RVR), mevcut aletli iniş sistemi (ILS) kategorisinin minimumlarının altına indiğinde havalimanı düşük görüş prosedürlerini (LVP) uygulamak, geliş kapasitesini düşürmek ya da trafiğe kapanmak zorunda kalır; bu da ağ genelinde gecikme, yönlendirme ve iptallere neden olur [3]. Başkentin ana kapısı olan Ankara Esenboğa Uluslararası Havalimanı (LTAC) bu açıdan özellikle hassastır: sislerin yaklaşık %89'u Ekim–Şubat döneminde görülmekte, büyük bölümü RVR'yi 350 m'nin altına düşürmekte ve yaklaşık dörtte üçü radyasyon sisidir [4]; 2011–2020 döneminde yaklaşık 800 saat sis kaydedilmiş, Aralık 2019'daki tek bir olay ise yaklaşık üç gün sürmüştür [5].</w:t>
      </w:r>
    </w:p>
    <w:p>
      <w:pPr>
        <w:pStyle w:val="Text"/>
      </w:pPr>
      <w:r>
        <w:t>Bu operasyonel önemine karşın Esenboğa üzerine yayımlanmış çalışmalar klimatolojik ve sinoptik niteliktedir. Çamalan vd. [4] 2000–2009 gözlemlerini incelemiş ve sis tahmin modellerinin geliştirilmesini açıkça önermiş; Koyuncu vd. [5] on yıllık bir analizi sinoptik bir olay incelemesiyle birleştirmiştir. Bildiğimiz kadarıyla LTAC için makine öğrenmesi (ML) tabanlı bir sis veya düşük görüş tahmini geliştirilmemiştir. Uluslararası ölçekte istatistiksel ve ML tabanlı sis ve düşük görüş prosedürü tahminleri, Viyana gibi havalimanlarında [6]–[8] ve pek çok başka konumda [9], [10] kalıcılık tahminine göre açık bir üstünlük göstermiştir; ancak veriye dayalı tahminleri resmî meydan tahminleriyle aynı bilgi ufkunda karşılaştıran ve modellerin öğrendiklerini fiziksel olarak açıklayan çalışma sayısı azdır.</w:t>
      </w:r>
    </w:p>
    <w:p>
      <w:pPr>
        <w:pStyle w:val="Text"/>
      </w:pPr>
      <w:r>
        <w:t>Bu çalışma söz konusu boşlukları LTAC için kapatmaktadır. Katkılar şunlardır:</w:t>
      </w:r>
    </w:p>
    <w:p>
      <w:pPr>
        <w:pStyle w:val="Text"/>
      </w:pPr>
      <w:r>
        <w:t>1) Sis istatistikleri havalimanının yayımlanmış klimatolojisini yeniden üreten, 21,8 yıllık (2005–2026) ve kalite kontrolünden geçirilmiş bir METAR/SPECI veri seti; veri seti tüm kaynak kodlarla birlikte açık olarak paylaşılmaktadır.</w:t>
      </w:r>
    </w:p>
    <w:p>
      <w:pPr>
        <w:pStyle w:val="Text"/>
      </w:pPr>
      <w:r>
        <w:t>2) Altı model ailesinin—lojistik regresyon, rastgele orman, XGBoost, LightGBM, GRU ve LSTM—1, 3 ve 6 saatlik sis ve ILS kategorisi tahminleri için olasılık kalibrasyonu, sınıf dengesizliği deneyi ve gün-blok bootstrap anlamlılık testleriyle kalıcılık, klimatoloji ve resmî METAR TREND (operasyonel pencerede ayrıca TAF) tahminlerine karşı karşılaştırılması.</w:t>
      </w:r>
    </w:p>
    <w:p>
      <w:pPr>
        <w:pStyle w:val="Text"/>
      </w:pPr>
      <w:r>
        <w:t>3) RVR/ILS kategorisi tahmininin sıralı (ordinal) bir problem olarak kurgulanması ve operasyonlar için en kritik olaylar olan sis başlangıç ve dağılmalarının ayrıca incelenmesi.</w:t>
      </w:r>
    </w:p>
    <w:p>
      <w:pPr>
        <w:pStyle w:val="Text"/>
      </w:pPr>
      <w:r>
        <w:t>4) Öğrenilen ilişkileri sis fiziğiyle ilişkilendiren ve belirleyici etkenlerin öngörü süresine göre nasıl değiştiğini gösteren SHAP tabanlı bir açıklanabilirlik analizi.</w:t>
      </w:r>
    </w:p>
    <w:p>
      <w:pPr>
        <w:pStyle w:val="Text"/>
      </w:pPr>
      <w:r>
        <w:t>5) Aynı işlem hattını canlı METAR'larla çalıştıran, açıklamalı kademeli uyarılar üreten ve kendi tahminlerini gerçek zamanlı doğrulayan açık kaynaklı web tabanlı bir erken uyarı uygulaması.</w:t>
      </w:r>
    </w:p>
    <w:p>
      <w:pPr>
        <w:pStyle w:val="Text"/>
      </w:pPr>
      <w:r>
        <w:t>Makalenin geri kalanı şöyle düzenlenmiştir: Bölüm II ilgili çalışmaları, Bölüm III havalimanını ve veriyi, Bölüm IV yöntemi, Bölüm V bulguları sunmakta; Bölüm VI sonuçların anlamını ve sınırlılıkları tartışmakta, Bölüm VII ise çalışmayı sonuçlandırmaktadır.</w:t>
      </w:r>
    </w:p>
    <w:p>
      <w:pPr>
        <w:pStyle w:val="Heading1"/>
      </w:pPr>
      <w:r>
        <w:t xml:space="preserve">II. </w:t>
      </w:r>
      <w:r>
        <w:t>İlgili Çalışmalar</w:t>
      </w:r>
    </w:p>
    <w:p>
      <w:pPr>
        <w:pStyle w:val="Heading2"/>
        <w:numPr>
          <w:ilvl w:val="0"/>
          <w:numId w:val="0"/>
        </w:numPr>
      </w:pPr>
      <w:r>
        <w:t xml:space="preserve">A. </w:t>
      </w:r>
      <w:r>
        <w:t>Sis Fiziği ve Esenboğa</w:t>
      </w:r>
    </w:p>
    <w:p>
      <w:pPr>
        <w:pStyle w:val="Text"/>
      </w:pPr>
      <w:r>
        <w:t>Sis, yere yakın hava ışınımsal soğuma, nemli hava adveksiyonu ya da buharlaşmayla nemlenme sonucu doygunluğa ulaştığında oluşur; Güneş ısıtması, karışım veya kuruma ile dağılır [1]. ParisFog gibi saha çalışmaları, radyasyon sisinin yaşam döngüsünün ışınımsal soğuma, türbülans, aerosoller ve yüzey nemi arasındaki hassas bir dengeyle denetlendiğini göstermiştir [2]; sayısal hava tahmin modellerinin sisi tahmin etmekte hâlâ zorlanmasının nedeni de budur [1], [11]. Esenboğa'da Çamalan vd. [4], 2000–2009 dönemindeki sisli günlerin %75'inin radyasyon sisi olduğunu ve sis gözlemlerinin çoğunun CAT III aralığına (RVR &lt; 350 m) düştüğünü bulmuş; Koyuncu vd. [5] ise Aralık 2019'daki uzun süreli bir olayı kalıcı bir antisiklon ve güçlü bir alçak seviye inversiyonuyla ilişkilendirmiştir.</w:t>
      </w:r>
    </w:p>
    <w:p>
      <w:pPr>
        <w:pStyle w:val="Heading2"/>
        <w:numPr>
          <w:ilvl w:val="0"/>
          <w:numId w:val="0"/>
        </w:numPr>
      </w:pPr>
      <w:r>
        <w:t xml:space="preserve">B. </w:t>
      </w:r>
      <w:r>
        <w:t>Havalimanlarında İstatistiksel ve Makine Öğrenmesi Tabanlı Kısa Vadeli Tahmin</w:t>
      </w:r>
    </w:p>
    <w:p>
      <w:pPr>
        <w:pStyle w:val="Text"/>
      </w:pPr>
      <w:r>
        <w:t>İlk veriye dayalı yaklaşımlar Canberra'da sis için [12], ABD havalimanlarında bulut tavanı ve görüş için [13] ve olasılıksal görüş tahmini için [14] yapay sinir ağlarını kullanmıştır. Herman ve Schumacher [11] havacılık için sis ve görüş kılavuzunu iyileştirmek amacıyla yeniden tahminleri (reforecast) son işlemden geçirmiştir. Viyana Uluslararası Havalimanı için Kneringer vd. [6] sıralı düşük görüş prosedürü durumlarını sıralı lojistik regresyonla 2 saate kadar tahmin etmiş; Dietz vd. ağaç tabanlı modellerin [7] ve artırma (boosting) yöntemlerinin [8] farklı planlama ufuklarında bu tahminleri iyileştirdiğini göstermiştir. Guijo-Rubio vd. [15] sise bağlı düşük görüşü sıralı bir sınıflandırma problemi olarak ele almış, Castillo-Botón vd. [16] ise çok sayıda ML yönteminin regresyon ve sınıflandırma formülasyonlarını karşılaştırmıştır. Derin öğrenme yaklaşımları havalimanı görüşü için derin ağlardan [17] ve klimatolojik veriyle görüş tahmininden [18] üç boyutlu evrişimli FogNet modeline [19] kadar uzanmaktadır. Güncel derleme çalışmaları [9], [10] bu yöntemlerin potansiyelini doğrulamakla birlikte tutarsız doğrulama uygulamalarına, resmî tahminlerle nadiren yapılan karşılaştırmalara ve modellerin konumlar arasında sınırlı aktarılabilirliğine [20] dikkat çekmektedir.</w:t>
      </w:r>
    </w:p>
    <w:p>
      <w:pPr>
        <w:pStyle w:val="Heading2"/>
        <w:numPr>
          <w:ilvl w:val="0"/>
          <w:numId w:val="0"/>
        </w:numPr>
      </w:pPr>
      <w:r>
        <w:t xml:space="preserve">C. </w:t>
      </w:r>
      <w:r>
        <w:t>Açıklanabilir Yapay Zekâ ve Tahmin Doğrulama</w:t>
      </w:r>
    </w:p>
    <w:p>
      <w:pPr>
        <w:pStyle w:val="Text"/>
      </w:pPr>
      <w:r>
        <w:t>Açıklanabilirlik, ML tahminlerinin tahminciler tarafından benimsenmesi için temel bir koşuldur [21]. SHAP değerleri [22], ağaç topluluklarında tam olarak hesaplanabilen [23], toplamsal ve yerel olarak doğru katkı değerleri sağlar. Meydan tahminleri olasılık tablosundan türetilen kategorik skorlarla doğrulanır [24], [25]; TAF ve TREND değişim grupları içerdiğinden en doğru biçimde bir tahmin koşulları aralığı olarak yorumlanır [26]. Bu çalışma; kalibre edilmiş ML'yi, sıralı ILS kategorilerini, resmî tahminlerle doğrudan karşılaştırmayı ve SHAP açıklamalarını, daha önce veriye dayalı bir sis tahmini bulunmayan bir havalimanı için operasyonel olarak çalışan tek bir sistemde birleştirmektedir.</w:t>
      </w:r>
    </w:p>
    <w:p>
      <w:pPr>
        <w:pStyle w:val="Heading1"/>
      </w:pPr>
      <w:r>
        <w:t xml:space="preserve">III. </w:t>
      </w:r>
      <w:r>
        <w:t>Çalışma Alanı ve Veri</w:t>
      </w:r>
    </w:p>
    <w:p>
      <w:pPr>
        <w:pStyle w:val="Heading2"/>
        <w:numPr>
          <w:ilvl w:val="0"/>
          <w:numId w:val="0"/>
        </w:numPr>
      </w:pPr>
      <w:r>
        <w:t xml:space="preserve">A. </w:t>
      </w:r>
      <w:r>
        <w:t>Esenboğa Havalimanı ve Sis İklimi</w:t>
      </w:r>
    </w:p>
    <w:p>
      <w:pPr>
        <w:pStyle w:val="Text"/>
      </w:pPr>
      <w:r>
        <w:t>Ankara Esenboğa Uluslararası Havalimanı (40,13° K, 32,99° D), şehir merkezinin yaklaşık 28 km kuzeydoğusunda, 953 m yükseklikte bir plato üzerinde yer almaktadır. Karasal iklimi; uzun kış gecelerini, sık görülen antisiklonik durgunluğu, kar örtüsünü ve cephesel yağışlar sonrasında nemli sınır tabakaları bir araya getirir—bunlar ışınımsal soğumayı ve sisi destekleyen koşullardır [4], [5]. Şekil 1, kullanılan veri setindeki sis iklimini özetlemektedir. Sis neredeyse yalnızca soğuk sezona özgüdür: hâkim görüşün 1000 m'nin altında olduğu yarım saatlik gözlemlerin %94,6'sı Ekim–Şubat aylarındadır; sıklık Aralık'ta %4,3, Ocak'ta %3,7'dir ve Haziran–Eylül döneminde pratikte sis görülmez. Gün içinde sis en sık gün doğumu civarında (yerel saatle 08, %2,8), en seyrek ise 15'te görülmektedir. 2011–2020 için hesapladığımız 819,5 saatlik sis süresi, Koyuncu vd. [5] tarafından aynı on yıl için bildirilen yaklaşık 800 saatle çok iyi örtüşmektedir; RVR ≤ 350 m olan sis gözlemlerinin payı (%55,5) da Çamalan vd.'nin [4] sislerin çoğunun CAT III operasyonu gerektirdiği bulgusunu doğrulamaktadır. 537 sis olayı kısa sürelidir—medyan 2 saat—ancak 90. yüzdelik 9 saate ulaşmakta ve en uzun olay 35,5 saat sürmektedir; dolayısıyla operasyonel sorun büyük ölçüde sisin başlangıç ve dağılma zamanlamasıdır. Yıllık sisli saat sayısı belirgin biçimde azalmıştır: 2005–2012'de yılda yaklaşık 130 saatten 2020–2025'te yılda yaklaşık 50 saate.</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295644" cy="1769364"/>
            <wp:docPr id="1" name="Picture 1"/>
            <wp:cNvGraphicFramePr>
              <a:graphicFrameLocks noChangeAspect="1"/>
            </wp:cNvGraphicFramePr>
            <a:graphic>
              <a:graphicData uri="http://schemas.openxmlformats.org/drawingml/2006/picture">
                <pic:pic>
                  <pic:nvPicPr>
                    <pic:cNvPr id="0" name="climatology.png"/>
                    <pic:cNvPicPr/>
                  </pic:nvPicPr>
                  <pic:blipFill>
                    <a:blip r:embed="rId32"/>
                    <a:stretch>
                      <a:fillRect/>
                    </a:stretch>
                  </pic:blipFill>
                  <pic:spPr>
                    <a:xfrm>
                      <a:off x="0" y="0"/>
                      <a:ext cx="6295644" cy="1769364"/>
                    </a:xfrm>
                    <a:prstGeom prst="rect"/>
                  </pic:spPr>
                </pic:pic>
              </a:graphicData>
            </a:graphic>
          </wp:inline>
        </w:drawing>
      </w:r>
    </w:p>
    <w:p>
      <w:pPr>
        <w:pStyle w:val="FigureCaption"/>
        <w:spacing w:after="160"/>
      </w:pPr>
      <w:r>
        <w:rPr>
          <w:sz w:val="16"/>
        </w:rPr>
        <w:t xml:space="preserve">Şekil 1. </w:t>
      </w:r>
      <w:r>
        <w:rPr>
          <w:sz w:val="16"/>
        </w:rPr>
        <w:t>LTAC'nin sis iklimi, 2005–2026 (hâkim görüş &lt; 1000 m). (a) Yıllık sisli saat sayısı; gölgeli 2011–2020 dönemi Koyuncu vd. tarafından incelenen dönemdir. (b) Yarım saatlik gözlemlerde sisin aylık sıklığı. (c) Ay ve yerel saate (UTC+3) göre sıklık.</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B. </w:t>
      </w:r>
      <w:r>
        <w:t>Gözlemler ve Resmî Tahminler</w:t>
      </w:r>
    </w:p>
    <w:p>
      <w:pPr>
        <w:pStyle w:val="Text"/>
      </w:pPr>
      <w:r>
        <w:t>Çalışmada Ocak 2005–Ekim 2026 dönemine ait yarım saatlik rutin METAR'lar (HH:20 ve HH:50 UTC) ve özel SPECI rasatları kullanılmıştır. Orijinal rasat metinleri Iowa Environmental Mesonet (IEM) arşivinden alınmıştır [27]. Eski IEM kayıtları, NCEI Integrated Surface Database'den yeniden oluşturulmuş rasatlar da içermektedir; bunlar RVR ve TREND gruplarından yoksun olduğu ve görüşü statü mil adımlarıyla verdiği için çıkarılmış, oluşan boşluklar Ogimet arşivinden alınan orijinal metinlerle doldurulmuştur [28]. Her METAR, tahmincinin resmî çok kısa vadeli tahmini olan 2 saatlik TREND tahminini (NOSIG, BECMG veya TEMPO grupları) içermektedir. Meydan tahminleri (TAF; 24 saat geçerli, günde dört kez yayımlanan) yalnızca son 30 gün için NOAA Aviation Weather Center veri servisinden [29] elde edilebilmiştir; tarihsel TAF arşivine güvenilir biçimde erişilemediğinden TAF karşılaştırması operasyonel dönemde yapılmıştır.</w:t>
      </w:r>
    </w:p>
    <w:p>
      <w:pPr>
        <w:pStyle w:val="Text"/>
      </w:pPr>
      <w:r>
        <w:t>Tüm rasatlar, hâkim ve minimum görüşü, her pistin RVR değerini, mevcut ve yakın geçmiş hadiseleri, bulut katmanlarını ve dikey görüşü, sıcaklığı, çiy noktasını, QNH'yi ve TREND/TAF değişim gruplarını çözümleyen, bu çalışma için geliştirilmiş bir WMO FM 15/FM 51 çözücüsüyle [30] işlenmiştir; çözücü sık görülen yazım hatalarını da (ör. "NO SIG", "Q1 015") düzeltmektedir. Kalite kontrolü kapsamında NIL ve bozuk rasatlar çıkarılmış, fiziksel aralık denetimleri ve çiy noktası tutarlılık denetimi uygulanmış, sıcaklık, çiy noktası ve basınçtaki tekil sıçramalar giderilmiştir. Elde edilen veri seti Tablo I'de özetlenmiştir.</w:t>
      </w:r>
    </w:p>
    <w:p>
      <w:pPr>
        <w:keepNext/>
        <w:widowControl w:val="0"/>
        <w:pBdr>
          <w:top w:val="nil"/>
          <w:left w:val="nil"/>
          <w:bottom w:val="nil"/>
          <w:right w:val="nil"/>
          <w:between w:val="nil"/>
        </w:pBdr>
        <w:spacing w:line="252" w:lineRule="auto"/>
        <w:ind w:firstLine="202"/>
        <w:jc w:val="center"/>
      </w:pPr>
      <w:r>
        <w:rPr>
          <w:sz w:val="16"/>
        </w:rPr>
        <w:t>TABLO I</w:t>
      </w:r>
    </w:p>
    <w:p>
      <w:pPr>
        <w:pStyle w:val="TableTitle"/>
        <w:keepNext/>
        <w:spacing w:after="60"/>
      </w:pPr>
      <w:r>
        <w:rPr>
          <w:sz w:val="16"/>
        </w:rPr>
        <w:t>LTAC veri setinin özellikleri</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5184"/>
        <w:gridCol w:w="5184"/>
      </w:tblGrid>
      <w:tr>
        <w:tc>
          <w:tcPr>
            <w:tcW w:type="dxa" w:w="2930"/>
            <w:tcBorders>
              <w:bottom w:val="single" w:sz="4" w:color="000000"/>
            </w:tcBorders>
          </w:tcPr>
          <w:p>
            <w:pPr>
              <w:spacing w:before="10" w:after="10"/>
              <w:jc w:val="left"/>
              <w:rPr>
                <w:sz w:val="14"/>
              </w:rPr>
            </w:pPr>
            <w:r>
              <w:rPr>
                <w:b/>
                <w:sz w:val="14"/>
              </w:rPr>
              <w:t>Büyüklük</w:t>
            </w:r>
          </w:p>
        </w:tc>
        <w:tc>
          <w:tcPr>
            <w:tcW w:type="dxa" w:w="2038"/>
            <w:tcBorders>
              <w:bottom w:val="single" w:sz="4" w:color="000000"/>
            </w:tcBorders>
          </w:tcPr>
          <w:p>
            <w:pPr>
              <w:spacing w:before="10" w:after="10"/>
              <w:jc w:val="center"/>
              <w:rPr>
                <w:sz w:val="14"/>
              </w:rPr>
            </w:pPr>
            <w:r>
              <w:rPr>
                <w:b/>
                <w:sz w:val="14"/>
              </w:rPr>
              <w:t>Değer</w:t>
            </w:r>
          </w:p>
        </w:tc>
      </w:tr>
      <w:tr>
        <w:tc>
          <w:tcPr>
            <w:tcW w:type="dxa" w:w="2930"/>
          </w:tcPr>
          <w:p>
            <w:pPr>
              <w:spacing w:before="10" w:after="10"/>
              <w:jc w:val="left"/>
              <w:rPr>
                <w:sz w:val="14"/>
              </w:rPr>
            </w:pPr>
            <w:r>
              <w:rPr>
                <w:sz w:val="14"/>
              </w:rPr>
              <w:t>Dönem (UTC)</w:t>
            </w:r>
          </w:p>
        </w:tc>
        <w:tc>
          <w:tcPr>
            <w:tcW w:type="dxa" w:w="2038"/>
          </w:tcPr>
          <w:p>
            <w:pPr>
              <w:spacing w:before="10" w:after="10"/>
              <w:jc w:val="center"/>
              <w:rPr>
                <w:sz w:val="14"/>
              </w:rPr>
            </w:pPr>
            <w:r>
              <w:rPr>
                <w:sz w:val="14"/>
              </w:rPr>
              <w:t>01/2005 – 10/2026</w:t>
            </w:r>
          </w:p>
        </w:tc>
      </w:tr>
      <w:tr>
        <w:tc>
          <w:tcPr>
            <w:tcW w:type="dxa" w:w="2930"/>
          </w:tcPr>
          <w:p>
            <w:pPr>
              <w:spacing w:before="10" w:after="10"/>
              <w:jc w:val="left"/>
              <w:rPr>
                <w:sz w:val="14"/>
              </w:rPr>
            </w:pPr>
            <w:r>
              <w:rPr>
                <w:sz w:val="14"/>
              </w:rPr>
              <w:t>METAR / SPECI rasatı (KK sonrası)</w:t>
            </w:r>
          </w:p>
        </w:tc>
        <w:tc>
          <w:tcPr>
            <w:tcW w:type="dxa" w:w="2038"/>
          </w:tcPr>
          <w:p>
            <w:pPr>
              <w:spacing w:before="10" w:after="10"/>
              <w:jc w:val="center"/>
              <w:rPr>
                <w:sz w:val="14"/>
              </w:rPr>
            </w:pPr>
            <w:r>
              <w:rPr>
                <w:sz w:val="14"/>
              </w:rPr>
              <w:t>381 408 / 3 610</w:t>
            </w:r>
          </w:p>
        </w:tc>
      </w:tr>
      <w:tr>
        <w:tc>
          <w:tcPr>
            <w:tcW w:type="dxa" w:w="2930"/>
          </w:tcPr>
          <w:p>
            <w:pPr>
              <w:spacing w:before="10" w:after="10"/>
              <w:jc w:val="left"/>
              <w:rPr>
                <w:sz w:val="14"/>
              </w:rPr>
            </w:pPr>
            <w:r>
              <w:rPr>
                <w:sz w:val="14"/>
              </w:rPr>
              <w:t>Kaynak: IEM / Ogimet (boşluk dolgu)</w:t>
            </w:r>
          </w:p>
        </w:tc>
        <w:tc>
          <w:tcPr>
            <w:tcW w:type="dxa" w:w="2038"/>
          </w:tcPr>
          <w:p>
            <w:pPr>
              <w:spacing w:before="10" w:after="10"/>
              <w:jc w:val="center"/>
              <w:rPr>
                <w:sz w:val="14"/>
              </w:rPr>
            </w:pPr>
            <w:r>
              <w:rPr>
                <w:sz w:val="14"/>
              </w:rPr>
              <w:t>364 028 / 20 990</w:t>
            </w:r>
          </w:p>
        </w:tc>
      </w:tr>
      <w:tr>
        <w:tc>
          <w:tcPr>
            <w:tcW w:type="dxa" w:w="2930"/>
          </w:tcPr>
          <w:p>
            <w:pPr>
              <w:spacing w:before="10" w:after="10"/>
              <w:jc w:val="left"/>
              <w:rPr>
                <w:sz w:val="14"/>
              </w:rPr>
            </w:pPr>
            <w:r>
              <w:rPr>
                <w:sz w:val="14"/>
              </w:rPr>
              <w:t>KK ile çıkarılan/düzeltilen rasat</w:t>
            </w:r>
          </w:p>
        </w:tc>
        <w:tc>
          <w:tcPr>
            <w:tcW w:type="dxa" w:w="2038"/>
          </w:tcPr>
          <w:p>
            <w:pPr>
              <w:spacing w:before="10" w:after="10"/>
              <w:jc w:val="center"/>
              <w:rPr>
                <w:sz w:val="14"/>
              </w:rPr>
            </w:pPr>
            <w:r>
              <w:rPr>
                <w:sz w:val="14"/>
              </w:rPr>
              <w:t>109 / 47</w:t>
            </w:r>
          </w:p>
        </w:tc>
      </w:tr>
      <w:tr>
        <w:tc>
          <w:tcPr>
            <w:tcW w:type="dxa" w:w="2930"/>
          </w:tcPr>
          <w:p>
            <w:pPr>
              <w:spacing w:before="10" w:after="10"/>
              <w:jc w:val="left"/>
              <w:rPr>
                <w:sz w:val="14"/>
              </w:rPr>
            </w:pPr>
            <w:r>
              <w:rPr>
                <w:sz w:val="14"/>
              </w:rPr>
              <w:t>30 dk analiz dilimi (gözlemli)</w:t>
            </w:r>
          </w:p>
        </w:tc>
        <w:tc>
          <w:tcPr>
            <w:tcW w:type="dxa" w:w="2038"/>
          </w:tcPr>
          <w:p>
            <w:pPr>
              <w:spacing w:before="10" w:after="10"/>
              <w:jc w:val="center"/>
              <w:rPr>
                <w:sz w:val="14"/>
              </w:rPr>
            </w:pPr>
            <w:r>
              <w:rPr>
                <w:sz w:val="14"/>
              </w:rPr>
              <w:t>382 607 (%99,7)</w:t>
            </w:r>
          </w:p>
        </w:tc>
      </w:tr>
      <w:tr>
        <w:tc>
          <w:tcPr>
            <w:tcW w:type="dxa" w:w="2930"/>
          </w:tcPr>
          <w:p>
            <w:pPr>
              <w:spacing w:before="10" w:after="10"/>
              <w:jc w:val="left"/>
              <w:rPr>
                <w:sz w:val="14"/>
              </w:rPr>
            </w:pPr>
            <w:r>
              <w:rPr>
                <w:sz w:val="14"/>
              </w:rPr>
              <w:t>Görüş &lt; 1000 m dilimleri (oran)</w:t>
            </w:r>
          </w:p>
        </w:tc>
        <w:tc>
          <w:tcPr>
            <w:tcW w:type="dxa" w:w="2038"/>
          </w:tcPr>
          <w:p>
            <w:pPr>
              <w:spacing w:before="10" w:after="10"/>
              <w:jc w:val="center"/>
              <w:rPr>
                <w:sz w:val="14"/>
              </w:rPr>
            </w:pPr>
            <w:r>
              <w:rPr>
                <w:sz w:val="14"/>
              </w:rPr>
              <w:t>3 884 (%1,02)</w:t>
            </w:r>
          </w:p>
        </w:tc>
      </w:tr>
      <w:tr>
        <w:tc>
          <w:tcPr>
            <w:tcW w:type="dxa" w:w="2930"/>
          </w:tcPr>
          <w:p>
            <w:pPr>
              <w:spacing w:before="10" w:after="10"/>
              <w:jc w:val="left"/>
              <w:rPr>
                <w:sz w:val="14"/>
              </w:rPr>
            </w:pPr>
            <w:r>
              <w:rPr>
                <w:sz w:val="14"/>
              </w:rPr>
              <w:t>Sis olayı; medyan / P90 süre</w:t>
            </w:r>
          </w:p>
        </w:tc>
        <w:tc>
          <w:tcPr>
            <w:tcW w:type="dxa" w:w="2038"/>
          </w:tcPr>
          <w:p>
            <w:pPr>
              <w:spacing w:before="10" w:after="10"/>
              <w:jc w:val="center"/>
              <w:rPr>
                <w:sz w:val="14"/>
              </w:rPr>
            </w:pPr>
            <w:r>
              <w:rPr>
                <w:sz w:val="14"/>
              </w:rPr>
              <w:t>537; 2,0 sa / 9,0 sa</w:t>
            </w:r>
          </w:p>
        </w:tc>
      </w:tr>
      <w:tr>
        <w:tc>
          <w:tcPr>
            <w:tcW w:type="dxa" w:w="2930"/>
          </w:tcPr>
          <w:p>
            <w:pPr>
              <w:spacing w:before="10" w:after="10"/>
              <w:jc w:val="left"/>
              <w:rPr>
                <w:sz w:val="14"/>
              </w:rPr>
            </w:pPr>
            <w:r>
              <w:rPr>
                <w:sz w:val="14"/>
              </w:rPr>
              <w:t>Görüş &lt; 1500 m iken RVR raporu</w:t>
            </w:r>
          </w:p>
        </w:tc>
        <w:tc>
          <w:tcPr>
            <w:tcW w:type="dxa" w:w="2038"/>
          </w:tcPr>
          <w:p>
            <w:pPr>
              <w:spacing w:before="10" w:after="10"/>
              <w:jc w:val="center"/>
              <w:rPr>
                <w:sz w:val="14"/>
              </w:rPr>
            </w:pPr>
            <w:r>
              <w:rPr>
                <w:sz w:val="14"/>
              </w:rPr>
              <w:t>%99,9</w:t>
            </w:r>
          </w:p>
        </w:tc>
      </w:tr>
      <w:tr>
        <w:tc>
          <w:tcPr>
            <w:tcW w:type="dxa" w:w="2930"/>
          </w:tcPr>
          <w:p>
            <w:pPr>
              <w:spacing w:before="10" w:after="10"/>
              <w:jc w:val="left"/>
              <w:rPr>
                <w:sz w:val="14"/>
              </w:rPr>
            </w:pPr>
            <w:r>
              <w:rPr>
                <w:sz w:val="14"/>
              </w:rPr>
              <w:t>RVR ≤ 350 m olan sis dilimleri</w:t>
            </w:r>
          </w:p>
        </w:tc>
        <w:tc>
          <w:tcPr>
            <w:tcW w:type="dxa" w:w="2038"/>
          </w:tcPr>
          <w:p>
            <w:pPr>
              <w:spacing w:before="10" w:after="10"/>
              <w:jc w:val="center"/>
              <w:rPr>
                <w:sz w:val="14"/>
              </w:rPr>
            </w:pPr>
            <w:r>
              <w:rPr>
                <w:sz w:val="14"/>
              </w:rPr>
              <w:t>%55,5</w:t>
            </w:r>
          </w:p>
        </w:tc>
      </w:tr>
    </w:tbl>
    <w:p>
      <w:pPr>
        <w:spacing w:after="80"/>
      </w:pPr>
    </w:p>
    <w:p>
      <w:pPr>
        <w:pStyle w:val="Heading2"/>
        <w:numPr>
          <w:ilvl w:val="0"/>
          <w:numId w:val="0"/>
        </w:numPr>
      </w:pPr>
      <w:r>
        <w:t xml:space="preserve">C. </w:t>
      </w:r>
      <w:r>
        <w:t>Analiz Izgarası ve Tahmin Edilen Değişkenler</w:t>
      </w:r>
    </w:p>
    <w:p>
      <w:pPr>
        <w:pStyle w:val="Text"/>
      </w:pPr>
      <w:r>
        <w:t xml:space="preserve">Rasatlar, rutin gözlem saatleriyle hizalı düzenli 30 dakikalık bir ızgaraya aktarılmıştır. Izgara zamanı </w:t>
      </w:r>
      <w:r>
        <w:rPr>
          <w:i/>
        </w:rPr>
        <w:t>t</w:t>
      </w:r>
      <w:r>
        <w:t xml:space="preserve">'deki durum, </w:t>
      </w:r>
      <w:r>
        <w:t>(</w:t>
      </w:r>
      <w:r>
        <w:rPr>
          <w:i/>
        </w:rPr>
        <w:t>t</w:t>
      </w:r>
      <w:r>
        <w:t xml:space="preserve">−29 </w:t>
      </w:r>
      <w:r>
        <w:t>dk</w:t>
      </w:r>
      <w:r>
        <w:t xml:space="preserve">, </w:t>
      </w:r>
      <w:r>
        <w:rPr>
          <w:i/>
        </w:rPr>
        <w:t>t</w:t>
      </w:r>
      <w:r>
        <w:t>]</w:t>
      </w:r>
      <w:r>
        <w:t xml:space="preserve"> aralığında yayımlanan son rasattır; böylece rutin saatler arasındaki SPECI'ler hesaba katılır, ancak hiçbir değer enterpole edilmez veya ileri taşınmaz. 382 607 ızgara diliminin %99,7'sinde gözlem bulunmaktadır.</w:t>
      </w:r>
    </w:p>
    <w:p>
      <w:pPr>
        <w:pStyle w:val="Text"/>
      </w:pPr>
      <w:r>
        <w:t xml:space="preserve">Öngörü süreleri </w:t>
      </w:r>
      <w:r>
        <w:rPr>
          <w:i/>
        </w:rPr>
        <w:t>h</w:t>
      </w:r>
      <w:r>
        <w:t xml:space="preserve"> ∈ {1, 3, 6}</w:t>
      </w:r>
      <w:r>
        <w:t xml:space="preserve"> saat için geçerlilik zamanı </w:t>
      </w:r>
      <w:r>
        <w:rPr>
          <w:i/>
        </w:rPr>
        <w:t>t</w:t>
      </w:r>
      <w:r>
        <w:t>+</w:t>
      </w:r>
      <w:r>
        <w:rPr>
          <w:i/>
        </w:rPr>
        <w:t>h</w:t>
      </w:r>
      <w:r>
        <w:t>'de iki hedef değişken tanımlanmıştır. İkili sis olayı, ICAO/WMO sis eşiği olan 1000 m'nin altındaki hâkim görüştür [31]. ILS kategorisi, tüm pistlerde raporlanan en düşük RVR'ye dayanan sıralı bir değişkendir: RVR ≥ 550 m için sınıf 0 (CAT I veya daha iyi), 350 ≤ RVR &lt; 550 m için sınıf 1 (CAT II) ve RVR &lt; 350 m için sınıf 2 (CAT III). Bu sınırlar Çamalan vd.'nin [4] LTAC için kullandığı kategorileri ve ICAO'nun her hava koşulunda operasyon ile RVR raporlamasına ilişkin kılavuzlarını [32], [33] izlemektedir; güncel CAT II minimumları 300 m'ye kadar RVR'ye izin verdiğinden 350 m sınırı bir miktar ihtiyatlıdır. RVR yalnızca görüş veya RVR 1500 m'nin altındayken raporlandığından, RVR grubu bulunmayan ve görüşü ≥ 1500 m olan dilimler sınıf 0 kabul edilmiş; RVR'nin eksik olduğu düşük görüşlü dilimlerin %0,06'sında ise ihtiyatlı bir yaklaşık değer olarak hâkim görüş kullanılmıştır.</w:t>
      </w:r>
    </w:p>
    <w:p>
      <w:pPr>
        <w:pStyle w:val="Heading1"/>
      </w:pPr>
      <w:r>
        <w:t xml:space="preserve">IV. </w:t>
      </w:r>
      <w:r>
        <w:t>Yöntem</w:t>
      </w:r>
    </w:p>
    <w:p>
      <w:pPr>
        <w:pStyle w:val="Text"/>
      </w:pPr>
      <w:r>
        <w:t>Şekil 2, arşivlerden doğrulanmış tahminlere ve operasyonel uygulamaya uzanan veri akışını göstermektedir.</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5109210" cy="1479042"/>
            <wp:docPr id="2" name="Picture 2"/>
            <wp:cNvGraphicFramePr>
              <a:graphicFrameLocks noChangeAspect="1"/>
            </wp:cNvGraphicFramePr>
            <a:graphic>
              <a:graphicData uri="http://schemas.openxmlformats.org/drawingml/2006/picture">
                <pic:pic>
                  <pic:nvPicPr>
                    <pic:cNvPr id="0" name="architecture.png"/>
                    <pic:cNvPicPr/>
                  </pic:nvPicPr>
                  <pic:blipFill>
                    <a:blip r:embed="rId33"/>
                    <a:stretch>
                      <a:fillRect/>
                    </a:stretch>
                  </pic:blipFill>
                  <pic:spPr>
                    <a:xfrm>
                      <a:off x="0" y="0"/>
                      <a:ext cx="5109210" cy="1479042"/>
                    </a:xfrm>
                    <a:prstGeom prst="rect"/>
                  </pic:spPr>
                </pic:pic>
              </a:graphicData>
            </a:graphic>
          </wp:inline>
        </w:drawing>
      </w:r>
    </w:p>
    <w:p>
      <w:pPr>
        <w:pStyle w:val="FigureCaption"/>
        <w:spacing w:after="160"/>
      </w:pPr>
      <w:r>
        <w:rPr>
          <w:sz w:val="16"/>
        </w:rPr>
        <w:t xml:space="preserve">Şekil 2. </w:t>
      </w:r>
      <w:r>
        <w:rPr>
          <w:sz w:val="16"/>
        </w:rPr>
        <w:t>Çalışmanın ve operasyonel erken uyarı uygulamasının veri akışı. Web uygulaması, çevrimdışı çalışmanın çözücüsünü, kalite kontrolünü, öznitelik işlem hattını ve kalibre edilmiş modellerini yeniden kullandığından çevrimdışı ve çevrimiçi tahminler birebir aynıdır.</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A. </w:t>
      </w:r>
      <w:r>
        <w:t>Problem Tanımı</w:t>
      </w:r>
    </w:p>
    <w:p>
      <w:pPr>
        <w:pStyle w:val="Text"/>
      </w:pPr>
      <w:r>
        <w:t xml:space="preserve">Gözlem bulunan her ızgara zamanı </w:t>
      </w:r>
      <w:r>
        <w:rPr>
          <w:i/>
        </w:rPr>
        <w:t>t</w:t>
      </w:r>
      <w:r>
        <w:t xml:space="preserve"> için bir </w:t>
      </w:r>
      <w:r>
        <w:rPr>
          <w:i/>
        </w:rPr>
        <w:t>f</w:t>
      </w:r>
      <w:r>
        <w:rPr>
          <w:i/>
          <w:vertAlign w:val="subscript"/>
        </w:rPr>
        <w:t>h</w:t>
      </w:r>
      <w:r>
        <w:t xml:space="preserve"> modeli</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sSub>
          <m:e>
            <m:r>
              <m:t>p</m:t>
            </m:r>
          </m:e>
          <m:sub>
            <m:r>
              <m:t>h</m:t>
            </m:r>
          </m:sub>
        </m:sSub>
        <m:r>
          <m:t>(t)=P</m:t>
        </m:r>
        <m:r>
          <m:t>(y(t+h)=1∣𝐱(t))</m:t>
        </m:r>
      </m:oMath>
      <w:r>
        <w:tab/>
      </w:r>
      <w:r>
        <w:t>(1)</w:t>
      </w:r>
    </w:p>
    <w:p>
      <w:pPr>
        <w:pStyle w:val="Text"/>
      </w:pPr>
      <w:r>
        <w:t xml:space="preserve">olasılığını tahmin eder; burada </w:t>
      </w:r>
      <w:r>
        <w:rPr>
          <w:b/>
        </w:rPr>
        <w:t>x</w:t>
      </w:r>
      <w:r>
        <w:t>(</w:t>
      </w:r>
      <w:r>
        <w:rPr>
          <w:i/>
        </w:rPr>
        <w:t>t</w:t>
      </w:r>
      <w:r>
        <w:t>)</w:t>
      </w:r>
      <w:r>
        <w:t xml:space="preserve"> yalnızca </w:t>
      </w:r>
      <w:r>
        <w:rPr>
          <w:i/>
        </w:rPr>
        <w:t>t</w:t>
      </w:r>
      <w:r>
        <w:t xml:space="preserve"> anında veya öncesinde yayımlanan rasatlardan hesaplanan öznitelik vektörüdür. </w:t>
      </w:r>
      <w:r>
        <w:rPr>
          <w:i/>
        </w:rPr>
        <w:t>p</w:t>
      </w:r>
      <w:r>
        <w:rPr>
          <w:i/>
          <w:vertAlign w:val="subscript"/>
        </w:rPr>
        <w:t>h</w:t>
      </w:r>
      <w:r>
        <w:t>(</w:t>
      </w:r>
      <w:r>
        <w:rPr>
          <w:i/>
        </w:rPr>
        <w:t>t</w:t>
      </w:r>
      <w:r>
        <w:t>)</w:t>
      </w:r>
      <w:r>
        <w:t xml:space="preserve"> bir </w:t>
      </w:r>
      <w:r>
        <w:rPr>
          <w:i/>
        </w:rPr>
        <w:t>τ</w:t>
      </w:r>
      <w:r>
        <w:rPr>
          <w:i/>
          <w:vertAlign w:val="subscript"/>
        </w:rPr>
        <w:t>h</w:t>
      </w:r>
      <w:r>
        <w:t xml:space="preserve"> eşiğini aştığında uyarı verilir. ILS kategorisi Frank ve Hall'un [34] sıralı ayrıştırmasıyla tahmin edilmektedir: iki ikili model </w:t>
      </w:r>
      <w:r>
        <w:rPr>
          <w:i/>
        </w:rPr>
        <w:t>P</w:t>
      </w:r>
      <w:r>
        <w:rPr>
          <w:i w:val="0"/>
          <w:vertAlign w:val="subscript"/>
        </w:rPr>
        <w:t>550</w:t>
      </w:r>
      <w:r>
        <w:t>=</w:t>
      </w:r>
      <w:r>
        <w:rPr>
          <w:i/>
        </w:rPr>
        <w:t>P</w:t>
      </w:r>
      <w:r>
        <w:t>(</w:t>
      </w:r>
      <w:r>
        <w:t>RVR</w:t>
      </w:r>
      <w:r>
        <w:t xml:space="preserve">&lt;550 </w:t>
      </w:r>
      <w:r>
        <w:t>m</w:t>
      </w:r>
      <w:r>
        <w:t>)</w:t>
      </w:r>
      <w:r>
        <w:t xml:space="preserve"> ve </w:t>
      </w:r>
      <w:r>
        <w:rPr>
          <w:i/>
        </w:rPr>
        <w:t>P</w:t>
      </w:r>
      <w:r>
        <w:rPr>
          <w:i w:val="0"/>
          <w:vertAlign w:val="subscript"/>
        </w:rPr>
        <w:t>350</w:t>
      </w:r>
      <w:r>
        <w:t>=</w:t>
      </w:r>
      <w:r>
        <w:rPr>
          <w:i/>
        </w:rPr>
        <w:t>P</w:t>
      </w:r>
      <w:r>
        <w:t>(</w:t>
      </w:r>
      <w:r>
        <w:t>RVR</w:t>
      </w:r>
      <w:r>
        <w:t xml:space="preserve">&lt;350 </w:t>
      </w:r>
      <w:r>
        <w:t>m</w:t>
      </w:r>
      <w:r>
        <w:t>)</w:t>
      </w:r>
      <w:r>
        <w:t xml:space="preserve"> olasılıklarını kestirir; sınıf olasılıkları </w:t>
      </w:r>
      <w:r>
        <w:t>1−</w:t>
      </w:r>
      <w:r>
        <w:rPr>
          <w:i/>
        </w:rPr>
        <w:t>P</w:t>
      </w:r>
      <w:r>
        <w:rPr>
          <w:i w:val="0"/>
          <w:vertAlign w:val="subscript"/>
        </w:rPr>
        <w:t>550</w:t>
      </w:r>
      <w:r>
        <w:t xml:space="preserve">, </w:t>
      </w:r>
      <w:r>
        <w:rPr>
          <w:i/>
        </w:rPr>
        <w:t>P</w:t>
      </w:r>
      <w:r>
        <w:rPr>
          <w:i w:val="0"/>
          <w:vertAlign w:val="subscript"/>
        </w:rPr>
        <w:t>550</w:t>
      </w:r>
      <w:r>
        <w:t>-</w:t>
      </w:r>
      <w:r>
        <w:rPr>
          <w:i/>
        </w:rPr>
        <w:t>P</w:t>
      </w:r>
      <w:r>
        <w:rPr>
          <w:i w:val="0"/>
          <w:vertAlign w:val="subscript"/>
        </w:rPr>
        <w:t>350</w:t>
      </w:r>
      <w:r>
        <w:t xml:space="preserve"> ve </w:t>
      </w:r>
      <w:r>
        <w:rPr>
          <w:i/>
        </w:rPr>
        <w:t>P</w:t>
      </w:r>
      <w:r>
        <w:rPr>
          <w:i w:val="0"/>
          <w:vertAlign w:val="subscript"/>
        </w:rPr>
        <w:t>350</w:t>
      </w:r>
      <w:r>
        <w:t xml:space="preserve"> olarak elde edilir ve </w:t>
      </w:r>
      <w:r>
        <w:rPr>
          <w:i/>
        </w:rPr>
        <w:t>P</w:t>
      </w:r>
      <w:r>
        <w:rPr>
          <w:i w:val="0"/>
          <w:vertAlign w:val="subscript"/>
        </w:rPr>
        <w:t>350</w:t>
      </w:r>
      <w:r>
        <w:t xml:space="preserve">≤ </w:t>
      </w:r>
      <w:r>
        <w:rPr>
          <w:i/>
        </w:rPr>
        <w:t>P</w:t>
      </w:r>
      <w:r>
        <w:rPr>
          <w:i w:val="0"/>
          <w:vertAlign w:val="subscript"/>
        </w:rPr>
        <w:t>550</w:t>
      </w:r>
      <w:r>
        <w:t xml:space="preserve"> koşulu zorunlu kılınır.</w:t>
      </w:r>
    </w:p>
    <w:p>
      <w:pPr>
        <w:pStyle w:val="Heading2"/>
        <w:numPr>
          <w:ilvl w:val="0"/>
          <w:numId w:val="0"/>
        </w:numPr>
      </w:pPr>
      <w:r>
        <w:t xml:space="preserve">B. </w:t>
      </w:r>
      <w:r>
        <w:t>Öznitelik Mühendisliği</w:t>
      </w:r>
    </w:p>
    <w:p>
      <w:pPr>
        <w:pStyle w:val="Text"/>
      </w:pPr>
      <w:r>
        <w:t xml:space="preserve">77 öznitelik gruplar hâlinde Tablo II'de özetlenmiştir. Öznitelikler şunları tanımlar: (i) anlık durum—görüş, RVR, sıcaklık </w:t>
      </w:r>
      <w:r>
        <w:rPr>
          <w:i/>
        </w:rPr>
        <w:t>T</w:t>
      </w:r>
      <w:r>
        <w:t xml:space="preserve">, çiy noktası </w:t>
      </w:r>
      <w:r>
        <w:rPr>
          <w:i/>
        </w:rPr>
        <w:t>T</w:t>
      </w:r>
      <w:r>
        <w:rPr>
          <w:i/>
          <w:vertAlign w:val="subscript"/>
        </w:rPr>
        <w:t>d</w:t>
      </w:r>
      <w:r>
        <w:t xml:space="preserve">, çiy noktası farkı </w:t>
      </w:r>
      <w:r>
        <w:rPr>
          <w:i/>
        </w:rPr>
        <w:t>T</w:t>
      </w:r>
      <w:r>
        <w:t>−</w:t>
      </w:r>
      <w:r>
        <w:rPr>
          <w:i/>
        </w:rPr>
        <w:t>T</w:t>
      </w:r>
      <w:r>
        <w:rPr>
          <w:i/>
          <w:vertAlign w:val="subscript"/>
        </w:rPr>
        <w:t>d</w:t>
      </w:r>
      <w:r>
        <w:t>, Magnus formülüyle hesaplanan bağıl nem [35], rüzgâr bileşenleri, sakin rüzgâr göstergesi, QNH, bulut tavanı, bulut tabanı ve kapalılığı; (ii) mevcut hadise (sis, sığ veya yamalı sis, pus, kurudumanı, çisenti, yağmur, kar); (iii) özellikle gece soğuması ile yüzey tabakasının kuruması veya nemlenmesini yansıtan 1, 3 ve 6 saatlik eğilimler; (iv) 12 saatlik maksimumdan bu yana soğuma, önceki 6–72 saatteki sis, pus, yağış ve kar oranları ve son sisten bu yana geçen süre gibi bellek terimleri; (v) NOAA Güneş konumu denklemleriyle [36] hem tahmin hem geçerlilik zamanında hesaplanan Güneş yükseklik açısı ve gün doğumuna kalan süre dahil takvim ve astronomik terimler. Geçerlilik zamanına ait astronomik terimler deterministik olduğundan önceden bilinmeleri meşrudur.</w:t>
      </w:r>
    </w:p>
    <w:p>
      <w:pPr>
        <w:keepNext/>
        <w:widowControl w:val="0"/>
        <w:pBdr>
          <w:top w:val="nil"/>
          <w:left w:val="nil"/>
          <w:bottom w:val="nil"/>
          <w:right w:val="nil"/>
          <w:between w:val="nil"/>
        </w:pBdr>
        <w:spacing w:line="252" w:lineRule="auto"/>
        <w:ind w:firstLine="202"/>
        <w:jc w:val="center"/>
      </w:pPr>
      <w:r>
        <w:rPr>
          <w:sz w:val="16"/>
        </w:rPr>
        <w:t>TABLO II</w:t>
      </w:r>
    </w:p>
    <w:p>
      <w:pPr>
        <w:pStyle w:val="TableTitle"/>
        <w:keepNext/>
        <w:spacing w:after="60"/>
      </w:pPr>
      <w:r>
        <w:rPr>
          <w:sz w:val="16"/>
        </w:rPr>
        <w:t>Öznitelik grupları (77 öznitelik)</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3456"/>
        <w:gridCol w:w="3456"/>
        <w:gridCol w:w="3456"/>
      </w:tblGrid>
      <w:tr>
        <w:tc>
          <w:tcPr>
            <w:tcW w:type="dxa" w:w="1192"/>
            <w:tcBorders>
              <w:bottom w:val="single" w:sz="4" w:color="000000"/>
            </w:tcBorders>
          </w:tcPr>
          <w:p>
            <w:pPr>
              <w:spacing w:before="10" w:after="10"/>
              <w:jc w:val="left"/>
              <w:rPr>
                <w:sz w:val="14"/>
              </w:rPr>
            </w:pPr>
            <w:r>
              <w:rPr>
                <w:b/>
                <w:sz w:val="14"/>
              </w:rPr>
              <w:t>Grup</w:t>
            </w:r>
          </w:p>
        </w:tc>
        <w:tc>
          <w:tcPr>
            <w:tcW w:type="dxa" w:w="331"/>
            <w:tcBorders>
              <w:bottom w:val="single" w:sz="4" w:color="000000"/>
            </w:tcBorders>
          </w:tcPr>
          <w:p>
            <w:pPr>
              <w:spacing w:before="10" w:after="10"/>
              <w:jc w:val="left"/>
              <w:rPr>
                <w:sz w:val="14"/>
              </w:rPr>
            </w:pPr>
            <w:r>
              <w:rPr>
                <w:b/>
                <w:sz w:val="14"/>
              </w:rPr>
              <w:t>n</w:t>
            </w:r>
          </w:p>
        </w:tc>
        <w:tc>
          <w:tcPr>
            <w:tcW w:type="dxa" w:w="3444"/>
            <w:tcBorders>
              <w:bottom w:val="single" w:sz="4" w:color="000000"/>
            </w:tcBorders>
          </w:tcPr>
          <w:p>
            <w:pPr>
              <w:spacing w:before="10" w:after="10"/>
              <w:jc w:val="left"/>
              <w:rPr>
                <w:sz w:val="14"/>
              </w:rPr>
            </w:pPr>
            <w:r>
              <w:rPr>
                <w:b/>
                <w:sz w:val="14"/>
              </w:rPr>
              <w:t>İçerik</w:t>
            </w:r>
          </w:p>
        </w:tc>
      </w:tr>
      <w:tr>
        <w:tc>
          <w:tcPr>
            <w:tcW w:type="dxa" w:w="1192"/>
          </w:tcPr>
          <w:p>
            <w:pPr>
              <w:spacing w:before="10" w:after="10"/>
              <w:jc w:val="left"/>
              <w:rPr>
                <w:sz w:val="14"/>
              </w:rPr>
            </w:pPr>
            <w:r>
              <w:rPr>
                <w:sz w:val="14"/>
              </w:rPr>
              <w:t>Anlık durum</w:t>
            </w:r>
          </w:p>
        </w:tc>
        <w:tc>
          <w:tcPr>
            <w:tcW w:type="dxa" w:w="331"/>
          </w:tcPr>
          <w:p>
            <w:pPr>
              <w:spacing w:before="10" w:after="10"/>
              <w:jc w:val="left"/>
              <w:rPr>
                <w:sz w:val="14"/>
              </w:rPr>
            </w:pPr>
            <w:r>
              <w:rPr>
                <w:sz w:val="14"/>
              </w:rPr>
              <w:t>21</w:t>
            </w:r>
          </w:p>
        </w:tc>
        <w:tc>
          <w:tcPr>
            <w:tcW w:type="dxa" w:w="3444"/>
          </w:tcPr>
          <w:p>
            <w:pPr>
              <w:spacing w:before="10" w:after="10"/>
              <w:jc w:val="left"/>
              <w:rPr>
                <w:sz w:val="14"/>
              </w:rPr>
            </w:pPr>
            <w:r>
              <w:rPr>
                <w:sz w:val="14"/>
              </w:rPr>
              <w:t>Görüş, RVR, T, Td, T−Td, BN, rüzgâr (u, v, sakin, hamle), QNH, tavan, bulut tabanı ve kapalılığı, VV</w:t>
            </w:r>
          </w:p>
        </w:tc>
      </w:tr>
      <w:tr>
        <w:tc>
          <w:tcPr>
            <w:tcW w:type="dxa" w:w="1192"/>
          </w:tcPr>
          <w:p>
            <w:pPr>
              <w:spacing w:before="10" w:after="10"/>
              <w:jc w:val="left"/>
              <w:rPr>
                <w:sz w:val="14"/>
              </w:rPr>
            </w:pPr>
            <w:r>
              <w:rPr>
                <w:sz w:val="14"/>
              </w:rPr>
              <w:t>Hadise</w:t>
            </w:r>
          </w:p>
        </w:tc>
        <w:tc>
          <w:tcPr>
            <w:tcW w:type="dxa" w:w="331"/>
          </w:tcPr>
          <w:p>
            <w:pPr>
              <w:spacing w:before="10" w:after="10"/>
              <w:jc w:val="left"/>
              <w:rPr>
                <w:sz w:val="14"/>
              </w:rPr>
            </w:pPr>
            <w:r>
              <w:rPr>
                <w:sz w:val="14"/>
              </w:rPr>
              <w:t>11</w:t>
            </w:r>
          </w:p>
        </w:tc>
        <w:tc>
          <w:tcPr>
            <w:tcW w:type="dxa" w:w="3444"/>
          </w:tcPr>
          <w:p>
            <w:pPr>
              <w:spacing w:before="10" w:after="10"/>
              <w:jc w:val="left"/>
              <w:rPr>
                <w:sz w:val="14"/>
              </w:rPr>
            </w:pPr>
            <w:r>
              <w:rPr>
                <w:sz w:val="14"/>
              </w:rPr>
              <w:t>FG, MIFG/BCFG/PRFG, VCFG, FZFG, BR, HZ, DZ, RA, SN, yakın zamanda yağış</w:t>
            </w:r>
          </w:p>
        </w:tc>
      </w:tr>
      <w:tr>
        <w:tc>
          <w:tcPr>
            <w:tcW w:type="dxa" w:w="1192"/>
          </w:tcPr>
          <w:p>
            <w:pPr>
              <w:spacing w:before="10" w:after="10"/>
              <w:jc w:val="left"/>
              <w:rPr>
                <w:sz w:val="14"/>
              </w:rPr>
            </w:pPr>
            <w:r>
              <w:rPr>
                <w:sz w:val="14"/>
              </w:rPr>
              <w:t>Eğilimler</w:t>
            </w:r>
          </w:p>
        </w:tc>
        <w:tc>
          <w:tcPr>
            <w:tcW w:type="dxa" w:w="331"/>
          </w:tcPr>
          <w:p>
            <w:pPr>
              <w:spacing w:before="10" w:after="10"/>
              <w:jc w:val="left"/>
              <w:rPr>
                <w:sz w:val="14"/>
              </w:rPr>
            </w:pPr>
            <w:r>
              <w:rPr>
                <w:sz w:val="14"/>
              </w:rPr>
              <w:t>19</w:t>
            </w:r>
          </w:p>
        </w:tc>
        <w:tc>
          <w:tcPr>
            <w:tcW w:type="dxa" w:w="3444"/>
          </w:tcPr>
          <w:p>
            <w:pPr>
              <w:spacing w:before="10" w:after="10"/>
              <w:jc w:val="left"/>
              <w:rPr>
                <w:sz w:val="14"/>
              </w:rPr>
            </w:pPr>
            <w:r>
              <w:rPr>
                <w:sz w:val="14"/>
              </w:rPr>
              <w:t>T, Td, T−Td, log görüşün 1/3/6 sa değişimi; BN, rüzgâr, QNH (3/12 sa), tavan</w:t>
            </w:r>
          </w:p>
        </w:tc>
      </w:tr>
      <w:tr>
        <w:tc>
          <w:tcPr>
            <w:tcW w:type="dxa" w:w="1192"/>
          </w:tcPr>
          <w:p>
            <w:pPr>
              <w:spacing w:before="10" w:after="10"/>
              <w:jc w:val="left"/>
              <w:rPr>
                <w:sz w:val="14"/>
              </w:rPr>
            </w:pPr>
            <w:r>
              <w:rPr>
                <w:sz w:val="14"/>
              </w:rPr>
              <w:t>Bellek</w:t>
            </w:r>
          </w:p>
        </w:tc>
        <w:tc>
          <w:tcPr>
            <w:tcW w:type="dxa" w:w="331"/>
          </w:tcPr>
          <w:p>
            <w:pPr>
              <w:spacing w:before="10" w:after="10"/>
              <w:jc w:val="left"/>
              <w:rPr>
                <w:sz w:val="14"/>
              </w:rPr>
            </w:pPr>
            <w:r>
              <w:rPr>
                <w:sz w:val="14"/>
              </w:rPr>
              <w:t>13</w:t>
            </w:r>
          </w:p>
        </w:tc>
        <w:tc>
          <w:tcPr>
            <w:tcW w:type="dxa" w:w="3444"/>
          </w:tcPr>
          <w:p>
            <w:pPr>
              <w:spacing w:before="10" w:after="10"/>
              <w:jc w:val="left"/>
              <w:rPr>
                <w:sz w:val="14"/>
              </w:rPr>
            </w:pPr>
            <w:r>
              <w:rPr>
                <w:sz w:val="14"/>
              </w:rPr>
              <w:t>12 sa maks.'tan soğuma, min T−Td, maks. BN, sis/pus/yağış/kar oranları, son sisten beri süre, SPECI yaşı</w:t>
            </w:r>
          </w:p>
        </w:tc>
      </w:tr>
      <w:tr>
        <w:tc>
          <w:tcPr>
            <w:tcW w:type="dxa" w:w="1192"/>
          </w:tcPr>
          <w:p>
            <w:pPr>
              <w:spacing w:before="10" w:after="10"/>
              <w:jc w:val="left"/>
              <w:rPr>
                <w:sz w:val="14"/>
              </w:rPr>
            </w:pPr>
            <w:r>
              <w:rPr>
                <w:sz w:val="14"/>
              </w:rPr>
              <w:t>Takvim ve Güneş</w:t>
            </w:r>
          </w:p>
        </w:tc>
        <w:tc>
          <w:tcPr>
            <w:tcW w:type="dxa" w:w="331"/>
          </w:tcPr>
          <w:p>
            <w:pPr>
              <w:spacing w:before="10" w:after="10"/>
              <w:jc w:val="left"/>
              <w:rPr>
                <w:sz w:val="14"/>
              </w:rPr>
            </w:pPr>
            <w:r>
              <w:rPr>
                <w:sz w:val="14"/>
              </w:rPr>
              <w:t>13</w:t>
            </w:r>
          </w:p>
        </w:tc>
        <w:tc>
          <w:tcPr>
            <w:tcW w:type="dxa" w:w="3444"/>
          </w:tcPr>
          <w:p>
            <w:pPr>
              <w:spacing w:before="10" w:after="10"/>
              <w:jc w:val="left"/>
              <w:rPr>
                <w:sz w:val="14"/>
              </w:rPr>
            </w:pPr>
            <w:r>
              <w:rPr>
                <w:sz w:val="14"/>
              </w:rPr>
              <w:t>günün saati ve yılın günü (sin/cos), Güneş yüksekliği, gece, gün doğumuna kalan / batımından beri süre; geçerlilik anında</w:t>
            </w:r>
          </w:p>
        </w:tc>
      </w:tr>
    </w:tbl>
    <w:p>
      <w:pPr>
        <w:spacing w:after="80"/>
      </w:pPr>
    </w:p>
    <w:p>
      <w:pPr>
        <w:pStyle w:val="Heading2"/>
        <w:numPr>
          <w:ilvl w:val="0"/>
          <w:numId w:val="0"/>
        </w:numPr>
      </w:pPr>
      <w:r>
        <w:t xml:space="preserve">C. </w:t>
      </w:r>
      <w:r>
        <w:t>Modeller</w:t>
      </w:r>
    </w:p>
    <w:p>
      <w:pPr>
        <w:pStyle w:val="Text"/>
      </w:pPr>
      <w:r>
        <w:t>Standartlaştırılmış ve medyanla doldurulmuş girdilerle lojistik regresyon (LR) [37] istatistiksel temel modeldir. Rastgele ormanlar (RF) [38] ile gradyan artırma kütüphaneleri XGBoost [39] ve LightGBM [40] ağaç topluluklarını temsil etmektedir; her iki artırma kütüphanesi eksik değerleri doğrudan işleyebilmekte olup hiperparametreleri Optuna'daki [41] ağaç yapılı Parzen kestiricisiyle 30 denemede, erken durdurma kullanılarak ve doğrulama PR-AUC değeri en büyüklenecek biçimde ayarlanmıştır. RF ve LR için küçük doğrulama ızgaraları kullanılmıştır. Zamansal örüntüler uzun kısa süreli bellek (LSTM) [42] ve kapılı yinelemeli birim (GRU) [43] ağlarıyla öğrenilmektedir. Tek bir çok görevli ağ, 22 standartlaştırılmış durum değişkeninin ve bir gözlem maskesinin son 12 saatini (24 ızgara adımı) okur, son gizli durumunu bellek ve geçerlilik zamanı öznitelikleriyle birleştirir ve iki katmanlı bir çıkış bloğuyla dokuz görevin (üç hedef × üç öngörü süresi) tamamını tahmin eder. Maskelenmiş ve pozitif sınıf ağırlıklı ikili çapraz entropi, AdamW [44] ile ve ortalama doğrulama PR-AUC değerine göre erken durdurmayla en küçüklenmiş; altı mimari doğrulama sezonlarında karşılaştırılmıştır. Tüm modeller scikit-learn [45] ve PyTorch [46] ile gerçekleştirilmiştir; seçilen ayarlar Ek'te listelenmiştir.</w:t>
      </w:r>
    </w:p>
    <w:p>
      <w:pPr>
        <w:pStyle w:val="Heading2"/>
        <w:numPr>
          <w:ilvl w:val="0"/>
          <w:numId w:val="0"/>
        </w:numPr>
      </w:pPr>
      <w:r>
        <w:t xml:space="preserve">D. </w:t>
      </w:r>
      <w:r>
        <w:t>Sınıf Dengesizliği ve Kalibrasyon</w:t>
      </w:r>
    </w:p>
    <w:p>
      <w:pPr>
        <w:pStyle w:val="Text"/>
      </w:pPr>
      <w:r>
        <w:t xml:space="preserve">Sis, gözlemlerin yalnızca %1,0'ını, RVR &lt; 350 m ise yalnızca %0,6'sını oluşturmaktadır. LR ve LightGBM için dört strateji karşılaştırılmıştır [47]: düzeltme yapmamak, sınıf ağırlıklandırma, SMOTE ile aşırı örnekleme [48] ve rastgele alt örnekleme. Yeniden ağırlıklandırma ve örnekleme tahmin olasılıklarını bozduğundan her model; eşleme yapılmadan, Platt ölçeklemesiyle [49] veya izotonik regresyonla [50] yeniden kalibre edilmektedir; yöntem, doğrulama sezonlarında Brier skorunun bir-sezon-dışarıda çapraz doğrulamasıyla seçilmekte [51] ve ardından tüm doğrulama kümesinde yeniden uydurulmaktadır. Uyarı eşiği </w:t>
      </w:r>
      <w:r>
        <w:rPr>
          <w:i/>
        </w:rPr>
        <w:t>τ</w:t>
      </w:r>
      <w:r>
        <w:rPr>
          <w:i/>
          <w:vertAlign w:val="subscript"/>
        </w:rPr>
        <w:t>h</w:t>
      </w:r>
      <w:r>
        <w:t xml:space="preserve">, doğrulama kümesinde kritik başarı indeksini (CSI) en büyükleyen değerdir; </w:t>
      </w:r>
      <w:r>
        <w:rPr>
          <w:i/>
        </w:rPr>
        <w:t>F</w:t>
      </w:r>
      <w:r>
        <w:rPr>
          <w:i w:val="0"/>
          <w:vertAlign w:val="subscript"/>
        </w:rPr>
        <w:t>1</w:t>
      </w:r>
      <w:r>
        <w:t xml:space="preserve">=2 </w:t>
      </w:r>
      <w:r>
        <w:t>CSI</w:t>
      </w:r>
      <w:r>
        <w:t>/(1+</w:t>
      </w:r>
      <w:r>
        <w:t>CSI</w:t>
      </w:r>
      <w:r>
        <w:t>)</w:t>
      </w:r>
      <w:r>
        <w:t xml:space="preserve"> olduğundan aynı eşik </w:t>
      </w:r>
      <w:r>
        <w:rPr>
          <w:i/>
        </w:rPr>
        <w:t>F</w:t>
      </w:r>
      <w:r>
        <w:rPr>
          <w:i w:val="0"/>
          <w:vertAlign w:val="subscript"/>
        </w:rPr>
        <w:t>1</w:t>
      </w:r>
      <w:r>
        <w:t>'i de en büyükler.</w:t>
      </w:r>
    </w:p>
    <w:p>
      <w:pPr>
        <w:pStyle w:val="Heading2"/>
        <w:numPr>
          <w:ilvl w:val="0"/>
          <w:numId w:val="0"/>
        </w:numPr>
      </w:pPr>
      <w:r>
        <w:t xml:space="preserve">E. </w:t>
      </w:r>
      <w:r>
        <w:t>Eğitim Protokolü ve Veri Sızıntısının Önlenmesi</w:t>
      </w:r>
    </w:p>
    <w:p>
      <w:pPr>
        <w:pStyle w:val="Text"/>
      </w:pPr>
      <w:r>
        <w:t xml:space="preserve">Veri, sezonlarla hizalı biçimde kronolojik olarak bölünmüştür (Tablo III): eğitim 01/2005–06/2019, doğrulama 07/2019–06/2022 (üç sis sezonu) ve test 07/2022–06/2026 (dört sis sezonu); Temmuz 2026 sonrası operasyonel değerlendirmeye ayrılmıştır. Rastgele bir bölme, bir sis olayının ardışık yarım saatlik örnekleri neredeyse aynı olduğundan bilgi sızıntısına yol açardı [52]. Tüm ayarlama, kalibrasyon ve eşik kararlarında yalnızca doğrulama sezonları kullanılmış, test sezonları yalnızca bir kez değerlendirilmiştir. Otomatik testler, </w:t>
      </w:r>
      <w:r>
        <w:rPr>
          <w:i/>
        </w:rPr>
        <w:t>t</w:t>
      </w:r>
      <w:r>
        <w:t xml:space="preserve"> anındaki her özniteliğin </w:t>
      </w:r>
      <w:r>
        <w:rPr>
          <w:i/>
        </w:rPr>
        <w:t>t</w:t>
      </w:r>
      <w:r>
        <w:t xml:space="preserve"> sonrasındaki tüm rasatlar silindiğinde değişmediğini ve hedef değişkenin hiçbir zaman </w:t>
      </w:r>
      <w:r>
        <w:rPr>
          <w:i/>
        </w:rPr>
        <w:t>t</w:t>
      </w:r>
      <w:r>
        <w:t xml:space="preserve"> anındaki gözlemi yeniden kullanmadığını doğrulamaktadır.</w:t>
      </w:r>
    </w:p>
    <w:p>
      <w:pPr>
        <w:keepNext/>
        <w:widowControl w:val="0"/>
        <w:pBdr>
          <w:top w:val="nil"/>
          <w:left w:val="nil"/>
          <w:bottom w:val="nil"/>
          <w:right w:val="nil"/>
          <w:between w:val="nil"/>
        </w:pBdr>
        <w:spacing w:line="252" w:lineRule="auto"/>
        <w:ind w:firstLine="202"/>
        <w:jc w:val="center"/>
      </w:pPr>
      <w:r>
        <w:rPr>
          <w:sz w:val="16"/>
        </w:rPr>
        <w:t>TABLO III</w:t>
      </w:r>
    </w:p>
    <w:p>
      <w:pPr>
        <w:pStyle w:val="TableTitle"/>
        <w:keepNext/>
        <w:spacing w:after="60"/>
      </w:pPr>
      <w:r>
        <w:rPr>
          <w:sz w:val="16"/>
        </w:rPr>
        <w:t>Kronolojik veri bölümlemesi</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2074"/>
        <w:gridCol w:w="2074"/>
        <w:gridCol w:w="2074"/>
        <w:gridCol w:w="2074"/>
        <w:gridCol w:w="2074"/>
      </w:tblGrid>
      <w:tr>
        <w:tc>
          <w:tcPr>
            <w:tcW w:type="dxa" w:w="1142"/>
            <w:tcBorders>
              <w:bottom w:val="single" w:sz="4" w:color="000000"/>
            </w:tcBorders>
          </w:tcPr>
          <w:p>
            <w:pPr>
              <w:spacing w:before="10" w:after="10"/>
              <w:jc w:val="left"/>
              <w:rPr>
                <w:sz w:val="14"/>
              </w:rPr>
            </w:pPr>
            <w:r>
              <w:rPr>
                <w:b/>
                <w:sz w:val="14"/>
              </w:rPr>
              <w:t>Küme</w:t>
            </w:r>
          </w:p>
        </w:tc>
        <w:tc>
          <w:tcPr>
            <w:tcW w:type="dxa" w:w="1542"/>
            <w:tcBorders>
              <w:bottom w:val="single" w:sz="4" w:color="000000"/>
            </w:tcBorders>
          </w:tcPr>
          <w:p>
            <w:pPr>
              <w:spacing w:before="10" w:after="10"/>
              <w:jc w:val="left"/>
              <w:rPr>
                <w:sz w:val="14"/>
              </w:rPr>
            </w:pPr>
            <w:r>
              <w:rPr>
                <w:b/>
                <w:sz w:val="14"/>
              </w:rPr>
              <w:t>Dönem</w:t>
            </w:r>
          </w:p>
        </w:tc>
        <w:tc>
          <w:tcPr>
            <w:tcW w:type="dxa" w:w="914"/>
            <w:tcBorders>
              <w:bottom w:val="single" w:sz="4" w:color="000000"/>
            </w:tcBorders>
          </w:tcPr>
          <w:p>
            <w:pPr>
              <w:spacing w:before="10" w:after="10"/>
              <w:jc w:val="center"/>
              <w:rPr>
                <w:sz w:val="14"/>
              </w:rPr>
            </w:pPr>
            <w:r>
              <w:rPr>
                <w:b/>
                <w:sz w:val="14"/>
              </w:rPr>
              <w:t>Dilim</w:t>
            </w:r>
          </w:p>
        </w:tc>
        <w:tc>
          <w:tcPr>
            <w:tcW w:type="dxa" w:w="685"/>
            <w:tcBorders>
              <w:bottom w:val="single" w:sz="4" w:color="000000"/>
            </w:tcBorders>
          </w:tcPr>
          <w:p>
            <w:pPr>
              <w:spacing w:before="10" w:after="10"/>
              <w:jc w:val="center"/>
              <w:rPr>
                <w:sz w:val="14"/>
              </w:rPr>
            </w:pPr>
            <w:r>
              <w:rPr>
                <w:b/>
                <w:sz w:val="14"/>
              </w:rPr>
              <w:t>Sis</w:t>
            </w:r>
          </w:p>
        </w:tc>
        <w:tc>
          <w:tcPr>
            <w:tcW w:type="dxa" w:w="685"/>
            <w:tcBorders>
              <w:bottom w:val="single" w:sz="4" w:color="000000"/>
            </w:tcBorders>
          </w:tcPr>
          <w:p>
            <w:pPr>
              <w:spacing w:before="10" w:after="10"/>
              <w:jc w:val="center"/>
              <w:rPr>
                <w:sz w:val="14"/>
              </w:rPr>
            </w:pPr>
            <w:r>
              <w:rPr>
                <w:b/>
                <w:sz w:val="14"/>
              </w:rPr>
              <w:t>Oran</w:t>
            </w:r>
          </w:p>
        </w:tc>
      </w:tr>
      <w:tr>
        <w:tc>
          <w:tcPr>
            <w:tcW w:type="dxa" w:w="1142"/>
          </w:tcPr>
          <w:p>
            <w:pPr>
              <w:spacing w:before="10" w:after="10"/>
              <w:jc w:val="left"/>
              <w:rPr>
                <w:sz w:val="14"/>
              </w:rPr>
            </w:pPr>
            <w:r>
              <w:rPr>
                <w:sz w:val="14"/>
              </w:rPr>
              <w:t>Eğitim</w:t>
            </w:r>
          </w:p>
        </w:tc>
        <w:tc>
          <w:tcPr>
            <w:tcW w:type="dxa" w:w="1542"/>
          </w:tcPr>
          <w:p>
            <w:pPr>
              <w:spacing w:before="10" w:after="10"/>
              <w:jc w:val="left"/>
              <w:rPr>
                <w:sz w:val="14"/>
              </w:rPr>
            </w:pPr>
            <w:r>
              <w:rPr>
                <w:sz w:val="14"/>
              </w:rPr>
              <w:t>01/2005–06/2019</w:t>
            </w:r>
          </w:p>
        </w:tc>
        <w:tc>
          <w:tcPr>
            <w:tcW w:type="dxa" w:w="914"/>
          </w:tcPr>
          <w:p>
            <w:pPr>
              <w:spacing w:before="10" w:after="10"/>
              <w:jc w:val="center"/>
              <w:rPr>
                <w:sz w:val="14"/>
              </w:rPr>
            </w:pPr>
            <w:r>
              <w:rPr>
                <w:sz w:val="14"/>
              </w:rPr>
              <w:t>253 017</w:t>
            </w:r>
          </w:p>
        </w:tc>
        <w:tc>
          <w:tcPr>
            <w:tcW w:type="dxa" w:w="685"/>
          </w:tcPr>
          <w:p>
            <w:pPr>
              <w:spacing w:before="10" w:after="10"/>
              <w:jc w:val="center"/>
              <w:rPr>
                <w:sz w:val="14"/>
              </w:rPr>
            </w:pPr>
            <w:r>
              <w:rPr>
                <w:sz w:val="14"/>
              </w:rPr>
              <w:t>3 130</w:t>
            </w:r>
          </w:p>
        </w:tc>
        <w:tc>
          <w:tcPr>
            <w:tcW w:type="dxa" w:w="685"/>
          </w:tcPr>
          <w:p>
            <w:pPr>
              <w:spacing w:before="10" w:after="10"/>
              <w:jc w:val="center"/>
              <w:rPr>
                <w:sz w:val="14"/>
              </w:rPr>
            </w:pPr>
            <w:r>
              <w:rPr>
                <w:sz w:val="14"/>
              </w:rPr>
              <w:t>%1,24</w:t>
            </w:r>
          </w:p>
        </w:tc>
      </w:tr>
      <w:tr>
        <w:tc>
          <w:tcPr>
            <w:tcW w:type="dxa" w:w="1142"/>
          </w:tcPr>
          <w:p>
            <w:pPr>
              <w:spacing w:before="10" w:after="10"/>
              <w:jc w:val="left"/>
              <w:rPr>
                <w:sz w:val="14"/>
              </w:rPr>
            </w:pPr>
            <w:r>
              <w:rPr>
                <w:sz w:val="14"/>
              </w:rPr>
              <w:t>Doğrulama</w:t>
            </w:r>
          </w:p>
        </w:tc>
        <w:tc>
          <w:tcPr>
            <w:tcW w:type="dxa" w:w="1542"/>
          </w:tcPr>
          <w:p>
            <w:pPr>
              <w:spacing w:before="10" w:after="10"/>
              <w:jc w:val="left"/>
              <w:rPr>
                <w:sz w:val="14"/>
              </w:rPr>
            </w:pPr>
            <w:r>
              <w:rPr>
                <w:sz w:val="14"/>
              </w:rPr>
              <w:t>07/2019–06/2022</w:t>
            </w:r>
          </w:p>
        </w:tc>
        <w:tc>
          <w:tcPr>
            <w:tcW w:type="dxa" w:w="914"/>
          </w:tcPr>
          <w:p>
            <w:pPr>
              <w:spacing w:before="10" w:after="10"/>
              <w:jc w:val="center"/>
              <w:rPr>
                <w:sz w:val="14"/>
              </w:rPr>
            </w:pPr>
            <w:r>
              <w:rPr>
                <w:sz w:val="14"/>
              </w:rPr>
              <w:t>52 581</w:t>
            </w:r>
          </w:p>
        </w:tc>
        <w:tc>
          <w:tcPr>
            <w:tcW w:type="dxa" w:w="685"/>
          </w:tcPr>
          <w:p>
            <w:pPr>
              <w:spacing w:before="10" w:after="10"/>
              <w:jc w:val="center"/>
              <w:rPr>
                <w:sz w:val="14"/>
              </w:rPr>
            </w:pPr>
            <w:r>
              <w:rPr>
                <w:sz w:val="14"/>
              </w:rPr>
              <w:t>308</w:t>
            </w:r>
          </w:p>
        </w:tc>
        <w:tc>
          <w:tcPr>
            <w:tcW w:type="dxa" w:w="685"/>
          </w:tcPr>
          <w:p>
            <w:pPr>
              <w:spacing w:before="10" w:after="10"/>
              <w:jc w:val="center"/>
              <w:rPr>
                <w:sz w:val="14"/>
              </w:rPr>
            </w:pPr>
            <w:r>
              <w:rPr>
                <w:sz w:val="14"/>
              </w:rPr>
              <w:t>%0,59</w:t>
            </w:r>
          </w:p>
        </w:tc>
      </w:tr>
      <w:tr>
        <w:tc>
          <w:tcPr>
            <w:tcW w:type="dxa" w:w="1142"/>
          </w:tcPr>
          <w:p>
            <w:pPr>
              <w:spacing w:before="10" w:after="10"/>
              <w:jc w:val="left"/>
              <w:rPr>
                <w:sz w:val="14"/>
              </w:rPr>
            </w:pPr>
            <w:r>
              <w:rPr>
                <w:sz w:val="14"/>
              </w:rPr>
              <w:t>Test</w:t>
            </w:r>
          </w:p>
        </w:tc>
        <w:tc>
          <w:tcPr>
            <w:tcW w:type="dxa" w:w="1542"/>
          </w:tcPr>
          <w:p>
            <w:pPr>
              <w:spacing w:before="10" w:after="10"/>
              <w:jc w:val="left"/>
              <w:rPr>
                <w:sz w:val="14"/>
              </w:rPr>
            </w:pPr>
            <w:r>
              <w:rPr>
                <w:sz w:val="14"/>
              </w:rPr>
              <w:t>07/2022–06/2026</w:t>
            </w:r>
          </w:p>
        </w:tc>
        <w:tc>
          <w:tcPr>
            <w:tcW w:type="dxa" w:w="914"/>
          </w:tcPr>
          <w:p>
            <w:pPr>
              <w:spacing w:before="10" w:after="10"/>
              <w:jc w:val="center"/>
              <w:rPr>
                <w:sz w:val="14"/>
              </w:rPr>
            </w:pPr>
            <w:r>
              <w:rPr>
                <w:sz w:val="14"/>
              </w:rPr>
              <w:t>70 073</w:t>
            </w:r>
          </w:p>
        </w:tc>
        <w:tc>
          <w:tcPr>
            <w:tcW w:type="dxa" w:w="685"/>
          </w:tcPr>
          <w:p>
            <w:pPr>
              <w:spacing w:before="10" w:after="10"/>
              <w:jc w:val="center"/>
              <w:rPr>
                <w:sz w:val="14"/>
              </w:rPr>
            </w:pPr>
            <w:r>
              <w:rPr>
                <w:sz w:val="14"/>
              </w:rPr>
              <w:t>446</w:t>
            </w:r>
          </w:p>
        </w:tc>
        <w:tc>
          <w:tcPr>
            <w:tcW w:type="dxa" w:w="685"/>
          </w:tcPr>
          <w:p>
            <w:pPr>
              <w:spacing w:before="10" w:after="10"/>
              <w:jc w:val="center"/>
              <w:rPr>
                <w:sz w:val="14"/>
              </w:rPr>
            </w:pPr>
            <w:r>
              <w:rPr>
                <w:sz w:val="14"/>
              </w:rPr>
              <w:t>%0,64</w:t>
            </w:r>
          </w:p>
        </w:tc>
      </w:tr>
      <w:tr>
        <w:tc>
          <w:tcPr>
            <w:tcW w:type="dxa" w:w="1142"/>
          </w:tcPr>
          <w:p>
            <w:pPr>
              <w:spacing w:before="10" w:after="10"/>
              <w:jc w:val="left"/>
              <w:rPr>
                <w:sz w:val="14"/>
              </w:rPr>
            </w:pPr>
            <w:r>
              <w:rPr>
                <w:sz w:val="14"/>
              </w:rPr>
              <w:t>Operasyonel</w:t>
            </w:r>
          </w:p>
        </w:tc>
        <w:tc>
          <w:tcPr>
            <w:tcW w:type="dxa" w:w="1542"/>
          </w:tcPr>
          <w:p>
            <w:pPr>
              <w:spacing w:before="10" w:after="10"/>
              <w:jc w:val="left"/>
              <w:rPr>
                <w:sz w:val="14"/>
              </w:rPr>
            </w:pPr>
            <w:r>
              <w:rPr>
                <w:sz w:val="14"/>
              </w:rPr>
              <w:t>07/2026–10/2026</w:t>
            </w:r>
          </w:p>
        </w:tc>
        <w:tc>
          <w:tcPr>
            <w:tcW w:type="dxa" w:w="914"/>
          </w:tcPr>
          <w:p>
            <w:pPr>
              <w:spacing w:before="10" w:after="10"/>
              <w:jc w:val="center"/>
              <w:rPr>
                <w:sz w:val="14"/>
              </w:rPr>
            </w:pPr>
            <w:r>
              <w:rPr>
                <w:sz w:val="14"/>
              </w:rPr>
              <w:t>5 749</w:t>
            </w:r>
          </w:p>
        </w:tc>
        <w:tc>
          <w:tcPr>
            <w:tcW w:type="dxa" w:w="685"/>
          </w:tcPr>
          <w:p>
            <w:pPr>
              <w:spacing w:before="10" w:after="10"/>
              <w:jc w:val="center"/>
              <w:rPr>
                <w:sz w:val="14"/>
              </w:rPr>
            </w:pPr>
            <w:r>
              <w:rPr>
                <w:sz w:val="14"/>
              </w:rPr>
              <w:t>0</w:t>
            </w:r>
          </w:p>
        </w:tc>
        <w:tc>
          <w:tcPr>
            <w:tcW w:type="dxa" w:w="685"/>
          </w:tcPr>
          <w:p>
            <w:pPr>
              <w:spacing w:before="10" w:after="10"/>
              <w:jc w:val="center"/>
              <w:rPr>
                <w:sz w:val="14"/>
              </w:rPr>
            </w:pPr>
            <w:r>
              <w:rPr>
                <w:sz w:val="14"/>
              </w:rPr>
              <w:t>%0,00</w:t>
            </w:r>
          </w:p>
        </w:tc>
      </w:tr>
    </w:tbl>
    <w:p>
      <w:pPr>
        <w:spacing w:after="80"/>
      </w:pPr>
    </w:p>
    <w:p>
      <w:pPr>
        <w:pStyle w:val="Heading2"/>
        <w:numPr>
          <w:ilvl w:val="0"/>
          <w:numId w:val="0"/>
        </w:numPr>
      </w:pPr>
      <w:r>
        <w:t xml:space="preserve">F. </w:t>
      </w:r>
      <w:r>
        <w:t>Karşılaştırma Tahminleri</w:t>
      </w:r>
    </w:p>
    <w:p>
      <w:pPr>
        <w:pStyle w:val="Text"/>
      </w:pPr>
      <w:r>
        <w:t xml:space="preserve">Kalıcılık (persistence) tahmini, </w:t>
      </w:r>
      <w:r>
        <w:rPr>
          <w:i/>
        </w:rPr>
        <w:t>t</w:t>
      </w:r>
      <w:r>
        <w:t>+</w:t>
      </w:r>
      <w:r>
        <w:rPr>
          <w:i/>
        </w:rPr>
        <w:t>h</w:t>
      </w:r>
      <w:r>
        <w:t xml:space="preserve"> için o anda gözlenen durumu tahmin eder. Klimatoloji, eğitim dönemindeki geçerlilik zamanının takvim ayı ve UTC saatine koşullu olay sıklığıdır ve Brier beceri skorunun referansıdır. </w:t>
      </w:r>
      <w:r>
        <w:rPr>
          <w:i/>
        </w:rPr>
        <w:t>t</w:t>
      </w:r>
      <w:r>
        <w:t xml:space="preserve"> anında yayımlanan METAR'a eklenen TREND </w:t>
      </w:r>
      <w:r>
        <w:rPr>
          <w:i/>
        </w:rPr>
        <w:t>h</w:t>
      </w:r>
      <w:r>
        <w:t xml:space="preserve"> ≤ 2</w:t>
      </w:r>
      <w:r>
        <w:t xml:space="preserve"> saat için değerlendirilmekte; </w:t>
      </w:r>
      <w:r>
        <w:rPr>
          <w:i/>
        </w:rPr>
        <w:t>t</w:t>
      </w:r>
      <w:r>
        <w:t>+</w:t>
      </w:r>
      <w:r>
        <w:rPr>
          <w:i/>
        </w:rPr>
        <w:t>h</w:t>
      </w:r>
      <w:r>
        <w:t xml:space="preserve"> için TAF tahmini ise </w:t>
      </w:r>
      <w:r>
        <w:rPr>
          <w:i/>
        </w:rPr>
        <w:t>t</w:t>
      </w:r>
      <w:r>
        <w:t xml:space="preserve"> anında veya öncesinde yayımlanan son TAF'tan alınmaktadır; böylece tahmincinin bilgi ufku modellerinkine eşitlenmektedir. TREND ve TAF değişim grupları içerdiğinden geçerlilik zamanında bir görüş aralığına dönüştürülmektedir [26]: hâkim okuma temel tahmini, FM gruplarını ve tamamlanmış BECMG değişimlerini; en kötü durum okuması ise ek olarak BECMG geçişlerinin ve TEMPO ile PROB30/40 gruplarının alt sınırını kullanmaktadır. Okuma 1000 m'nin altındaysa sis tahmini verilmiş sayılır.</w:t>
      </w:r>
    </w:p>
    <w:p>
      <w:pPr>
        <w:pStyle w:val="Heading2"/>
        <w:numPr>
          <w:ilvl w:val="0"/>
          <w:numId w:val="0"/>
        </w:numPr>
      </w:pPr>
      <w:r>
        <w:t xml:space="preserve">G. </w:t>
      </w:r>
      <w:r>
        <w:t>Doğrulama</w:t>
      </w:r>
    </w:p>
    <w:p>
      <w:pPr>
        <w:pStyle w:val="Text"/>
      </w:pPr>
      <w:r>
        <w:rPr>
          <w:i/>
        </w:rPr>
        <w:t>a</w:t>
      </w:r>
      <w:r>
        <w:t xml:space="preserve"> isabet, </w:t>
      </w:r>
      <w:r>
        <w:rPr>
          <w:i/>
        </w:rPr>
        <w:t>b</w:t>
      </w:r>
      <w:r>
        <w:t xml:space="preserve"> yanlış alarm, </w:t>
      </w:r>
      <w:r>
        <w:rPr>
          <w:i/>
        </w:rPr>
        <w:t>c</w:t>
      </w:r>
      <w:r>
        <w:t xml:space="preserve"> kaçırma ve </w:t>
      </w:r>
      <w:r>
        <w:rPr>
          <w:i/>
        </w:rPr>
        <w:t>d</w:t>
      </w:r>
      <w:r>
        <w:t xml:space="preserve"> doğru ret sayısı olmak üzere kategorik skorlar şöyledir [24], [25]:</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POD</m:t>
        </m:r>
        <m:r>
          <m:t>=</m:t>
        </m:r>
        <m:f>
          <m:fPr>
            <m:type m:val="bar"/>
          </m:fPr>
          <m:num>
            <m:r>
              <m:t>a</m:t>
            </m:r>
          </m:num>
          <m:den>
            <m:r>
              <m:t>a+c</m:t>
            </m:r>
          </m:den>
        </m:f>
        <m:r>
          <m:t>,</m:t>
        </m:r>
        <m:r>
          <m:rPr>
            <m:sty m:val="p"/>
          </m:rPr>
          <m:t>FAR</m:t>
        </m:r>
        <m:r>
          <m:t>=</m:t>
        </m:r>
        <m:f>
          <m:fPr>
            <m:type m:val="bar"/>
          </m:fPr>
          <m:num>
            <m:r>
              <m:t>b</m:t>
            </m:r>
          </m:num>
          <m:den>
            <m:r>
              <m:t>a+b</m:t>
            </m:r>
          </m:den>
        </m:f>
        <m:r>
          <m:t>,</m:t>
        </m:r>
        <m:r>
          <m:rPr>
            <m:sty m:val="p"/>
          </m:rPr>
          <m:t>CSI</m:t>
        </m:r>
        <m:r>
          <m:t>=</m:t>
        </m:r>
        <m:f>
          <m:fPr>
            <m:type m:val="bar"/>
          </m:fPr>
          <m:num>
            <m:r>
              <m:t>a</m:t>
            </m:r>
          </m:num>
          <m:den>
            <m:r>
              <m:t>a+b+c</m:t>
            </m:r>
          </m:den>
        </m:f>
      </m:oMath>
      <w:r>
        <w:tab/>
      </w:r>
      <w:r>
        <w:t>(2)</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HSS</m:t>
        </m:r>
        <m:r>
          <m:t>=</m:t>
        </m:r>
        <m:f>
          <m:fPr>
            <m:type m:val="bar"/>
          </m:fPr>
          <m:num>
            <m:r>
              <m:t>2(ad−bc)</m:t>
            </m:r>
          </m:num>
          <m:den>
            <m:r>
              <m:t>(a+c)(c+d)+(a+b)(b+d)</m:t>
            </m:r>
          </m:den>
        </m:f>
      </m:oMath>
      <w:r>
        <w:tab/>
      </w:r>
      <w:r>
        <w:t>(3)</w:t>
      </w:r>
    </w:p>
    <w:p>
      <w:pPr>
        <w:pStyle w:val="Text"/>
      </w:pPr>
      <w:r>
        <w:t>Burada Heidke beceri skoru (HSS), doğruluğu rastlantısal tahmine göre ölçmektedir [53], [54]. Olasılıksal tahminler, nadir olaylar için bilgilendirici olan kesinlik–duyarlılık eğrisi altındaki alan (PR-AUC) [55], [56], ROC eğrisi altındaki alan ve Brier skoru ile beceri skoru [57], [58] ile değerlendirilmektedir:</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BS</m:t>
        </m:r>
        <m:r>
          <m:t>=</m:t>
        </m:r>
        <m:f>
          <m:fPr>
            <m:type m:val="bar"/>
          </m:fPr>
          <m:num>
            <m:r>
              <m:t>1</m:t>
            </m:r>
          </m:num>
          <m:den>
            <m:r>
              <m:t>N</m:t>
            </m:r>
          </m:den>
        </m:f>
        <m:nary>
          <m:naryPr>
            <m:chr m:val="∑"/>
            <m:limLoc m:val="subSup"/>
            <m:grow m:val="1"/>
            <m:subHide m:val="off"/>
            <m:supHide m:val="off"/>
          </m:naryPr>
          <m:sub>
            <m:r>
              <m:t>i=1</m:t>
            </m:r>
          </m:sub>
          <m:sup>
            <m:r>
              <m:t>N</m:t>
            </m:r>
          </m:sup>
          <m:e>
            <m:r>
              <m:t>(</m:t>
            </m:r>
            <m:sSub>
              <m:e>
                <m:r>
                  <m:t>p</m:t>
                </m:r>
              </m:e>
              <m:sub>
                <m:r>
                  <m:t>i</m:t>
                </m:r>
              </m:sub>
            </m:sSub>
            <m:r>
              <m:t>−</m:t>
            </m:r>
            <m:sSub>
              <m:e>
                <m:r>
                  <m:t>o</m:t>
                </m:r>
              </m:e>
              <m:sub>
                <m:r>
                  <m:t>i</m:t>
                </m:r>
              </m:sub>
            </m:sSub>
            <m:sSup>
              <m:e>
                <m:r>
                  <m:t>)</m:t>
                </m:r>
              </m:e>
              <m:sup>
                <m:r>
                  <m:t>2</m:t>
                </m:r>
              </m:sup>
            </m:sSup>
          </m:e>
        </m:nary>
        <m:r>
          <m:t>,</m:t>
        </m:r>
        <m:r>
          <m:rPr>
            <m:sty m:val="p"/>
          </m:rPr>
          <m:t>BSS</m:t>
        </m:r>
        <m:r>
          <m:t>=1−</m:t>
        </m:r>
        <m:f>
          <m:fPr>
            <m:type m:val="bar"/>
          </m:fPr>
          <m:num>
            <m:r>
              <m:rPr>
                <m:sty m:val="p"/>
              </m:rPr>
              <m:t>BS</m:t>
            </m:r>
          </m:num>
          <m:den>
            <m:sSub>
              <m:e>
                <m:r>
                  <m:rPr>
                    <m:sty m:val="p"/>
                  </m:rPr>
                  <m:t>BS</m:t>
                </m:r>
              </m:e>
              <m:sub>
                <m:r>
                  <m:rPr>
                    <m:sty m:val="p"/>
                  </m:rPr>
                  <m:t>klim</m:t>
                </m:r>
              </m:sub>
            </m:sSub>
          </m:den>
        </m:f>
      </m:oMath>
      <w:r>
        <w:tab/>
      </w:r>
      <w:r>
        <w:t>(4)</w:t>
      </w:r>
    </w:p>
    <w:p>
      <w:pPr>
        <w:pStyle w:val="Text"/>
      </w:pPr>
      <w:r>
        <w:t>ILS kategorileri için sıralı olasılık skoru [59]</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rPr>
            <m:sty m:val="p"/>
          </m:rPr>
          <m:t>RPS</m:t>
        </m:r>
        <m:r>
          <m:t>=</m:t>
        </m:r>
        <m:f>
          <m:fPr>
            <m:type m:val="bar"/>
          </m:fPr>
          <m:num>
            <m:r>
              <m:t>1</m:t>
            </m:r>
          </m:num>
          <m:den>
            <m:r>
              <m:t>K−1</m:t>
            </m:r>
          </m:den>
        </m:f>
        <m:nary>
          <m:naryPr>
            <m:chr m:val="∑"/>
            <m:limLoc m:val="subSup"/>
            <m:grow m:val="1"/>
            <m:subHide m:val="off"/>
            <m:supHide m:val="off"/>
          </m:naryPr>
          <m:sub>
            <m:r>
              <m:t>k=1</m:t>
            </m:r>
          </m:sub>
          <m:sup>
            <m:r>
              <m:t>K</m:t>
            </m:r>
          </m:sup>
          <m:e>
            <m:sSup>
              <m:e>
                <m:r>
                  <m:t>(</m:t>
                </m:r>
                <m:sSub>
                  <m:e>
                    <m:r>
                      <m:t>F</m:t>
                    </m:r>
                  </m:e>
                  <m:sub>
                    <m:r>
                      <m:t>k</m:t>
                    </m:r>
                  </m:sub>
                </m:sSub>
                <m:r>
                  <m:t>−</m:t>
                </m:r>
                <m:sSub>
                  <m:e>
                    <m:r>
                      <m:t>O</m:t>
                    </m:r>
                  </m:e>
                  <m:sub>
                    <m:r>
                      <m:t>k</m:t>
                    </m:r>
                  </m:sub>
                </m:sSub>
                <m:r>
                  <m:t>)</m:t>
                </m:r>
              </m:e>
              <m:sup>
                <m:r>
                  <m:t>2</m:t>
                </m:r>
              </m:sup>
            </m:sSup>
          </m:e>
        </m:nary>
      </m:oMath>
      <w:r>
        <w:tab/>
      </w:r>
      <w:r>
        <w:t>(5)</w:t>
      </w:r>
    </w:p>
    <w:p>
      <w:pPr>
        <w:pStyle w:val="Text"/>
      </w:pPr>
      <w:r>
        <w:t xml:space="preserve">birikimli tahmin ve gözlem dağılımları </w:t>
      </w:r>
      <w:r>
        <w:rPr>
          <w:i/>
        </w:rPr>
        <w:t>F</w:t>
      </w:r>
      <w:r>
        <w:rPr>
          <w:i/>
          <w:vertAlign w:val="subscript"/>
        </w:rPr>
        <w:t>k</w:t>
      </w:r>
      <w:r>
        <w:t xml:space="preserve"> ve </w:t>
      </w:r>
      <w:r>
        <w:rPr>
          <w:i/>
        </w:rPr>
        <w:t>O</w:t>
      </w:r>
      <w:r>
        <w:rPr>
          <w:i/>
          <w:vertAlign w:val="subscript"/>
        </w:rPr>
        <w:t>k</w:t>
      </w:r>
      <w:r>
        <w:t xml:space="preserve"> (</w:t>
      </w:r>
      <w:r>
        <w:rPr>
          <w:i/>
        </w:rPr>
        <w:t>K</w:t>
      </w:r>
      <w:r>
        <w:t>=3</w:t>
      </w:r>
      <w:r>
        <w:t>) ile test kümesinde ortalaması alınarak ay–saat sınıf klimatolojisine göre bir beceri skoru (RPSS) olarak ifade edilmektedir. Yarım saatlik örnekler güçlü öz ilişki gösterdiğinden %95 güven aralıkları tüm günleri yeniden örnekleyen bir blok bootstrap ile elde edilmekte [60], [61], tahminler arasındaki farklar ise aynı günlerin eşleştirilmiş yeniden örneklemeleriyle (kategorik skorlar için 2000, PR-AUC ve BSS için 300 yineleme) sınanmaktadır.</w:t>
      </w:r>
    </w:p>
    <w:p>
      <w:pPr>
        <w:pStyle w:val="Heading2"/>
        <w:numPr>
          <w:ilvl w:val="0"/>
          <w:numId w:val="0"/>
        </w:numPr>
      </w:pPr>
      <w:r>
        <w:t xml:space="preserve">H. </w:t>
      </w:r>
      <w:r>
        <w:t>Açıklanabilirlik</w:t>
      </w:r>
    </w:p>
    <w:p>
      <w:pPr>
        <w:pStyle w:val="Text"/>
      </w:pPr>
      <w:r>
        <w:t xml:space="preserve">LightGBM modelleri, ağaçlar için TreeSHAP [23] ile tam olarak hesaplanan SHAP değerleriyle [22] açıklanmaktadır. Log-odds çıktısı </w:t>
      </w:r>
      <w:r>
        <w:rPr>
          <w:i/>
        </w:rPr>
        <w:t>g</w:t>
      </w:r>
      <w:r>
        <w:t>(</w:t>
      </w:r>
      <w:r>
        <w:rPr>
          <w:b/>
        </w:rPr>
        <w:t>x</w:t>
      </w:r>
      <w:r>
        <w:t>)</w:t>
      </w:r>
      <w:r>
        <w:t xml:space="preserve"> olan bir tahmin için katkılar </w:t>
      </w:r>
      <w:r>
        <w:rPr>
          <w:i/>
        </w:rPr>
        <w:t>φ</w:t>
      </w:r>
      <w:r>
        <w:rPr>
          <w:i/>
          <w:vertAlign w:val="subscript"/>
        </w:rPr>
        <w:t>j</w:t>
      </w:r>
      <w:r>
        <w:t xml:space="preserve"> yerel doğruluk özelliğini sağlar:</w:t>
      </w:r>
    </w:p>
    <w:p>
      <w:pPr>
        <w:widowControl w:val="0"/>
        <w:pBdr>
          <w:top w:val="nil"/>
          <w:left w:val="nil"/>
          <w:bottom w:val="nil"/>
          <w:right w:val="nil"/>
          <w:between w:val="nil"/>
        </w:pBdr>
        <w:tabs>
          <w:tab w:val="center" w:pos="2790"/>
          <w:tab w:val="right" w:pos="5040"/>
        </w:tabs>
        <w:spacing w:line="252" w:lineRule="auto"/>
        <w:jc w:val="center"/>
        <w:rPr>
          <w:color w:val="000000"/>
        </w:rPr>
      </w:pPr>
      <w:r>
        <w:tab/>
      </w:r>
      <m:oMath xmlns:mml="http://www.w3.org/1998/Math/MathML">
        <m:r>
          <m:t>g(𝐱)=</m:t>
        </m:r>
        <m:sSub>
          <m:e>
            <m:r>
              <m:t>ϕ</m:t>
            </m:r>
          </m:e>
          <m:sub>
            <m:r>
              <m:t>0</m:t>
            </m:r>
          </m:sub>
        </m:sSub>
        <m:r>
          <m:t>+</m:t>
        </m:r>
        <m:nary>
          <m:naryPr>
            <m:chr m:val="∑"/>
            <m:limLoc m:val="subSup"/>
            <m:grow m:val="1"/>
            <m:subHide m:val="off"/>
            <m:supHide m:val="off"/>
          </m:naryPr>
          <m:sub>
            <m:r>
              <m:t>j=1</m:t>
            </m:r>
          </m:sub>
          <m:sup>
            <m:r>
              <m:t>M</m:t>
            </m:r>
          </m:sup>
          <m:e>
            <m:sSub>
              <m:e>
                <m:r>
                  <m:t>ϕ</m:t>
                </m:r>
              </m:e>
              <m:sub>
                <m:r>
                  <m:t>j</m:t>
                </m:r>
              </m:sub>
            </m:sSub>
          </m:e>
        </m:nary>
      </m:oMath>
      <w:r>
        <w:tab/>
      </w:r>
      <w:r>
        <w:t>(6)</w:t>
      </w:r>
    </w:p>
    <w:p>
      <w:pPr>
        <w:pStyle w:val="Text"/>
      </w:pPr>
      <w:r>
        <w:t xml:space="preserve">Burada </w:t>
      </w:r>
      <w:r>
        <w:rPr>
          <w:i/>
        </w:rPr>
        <w:t>φ</w:t>
      </w:r>
      <w:r>
        <w:rPr>
          <w:i w:val="0"/>
          <w:vertAlign w:val="subscript"/>
        </w:rPr>
        <w:t>0</w:t>
      </w:r>
      <w:r>
        <w:t xml:space="preserve"> beklenen model çıktısı, </w:t>
      </w:r>
      <w:r>
        <w:rPr>
          <w:i/>
        </w:rPr>
        <w:t>φ</w:t>
      </w:r>
      <w:r>
        <w:rPr>
          <w:i/>
          <w:vertAlign w:val="subscript"/>
        </w:rPr>
        <w:t>j</w:t>
      </w:r>
      <w:r>
        <w:t xml:space="preserve"> ise </w:t>
      </w:r>
      <w:r>
        <w:rPr>
          <w:i/>
        </w:rPr>
        <w:t>j</w:t>
      </w:r>
      <w:r>
        <w:t xml:space="preserve"> özniteliğinin Shapley değeridir [62]. Küresel önem, tüm sis durumlarını ve rastgele seçilmiş 6000 sissiz durumu içeren bir test örneğinde ortalama mutlak SHAP değeriyle özetlenmekte; bağımlılık grafikleri ise katkıları sisin fiziksel etkenleriyle ilişkilendirmektedir [21].</w:t>
      </w:r>
    </w:p>
    <w:p>
      <w:pPr>
        <w:pStyle w:val="Heading2"/>
        <w:numPr>
          <w:ilvl w:val="0"/>
          <w:numId w:val="0"/>
        </w:numPr>
      </w:pPr>
      <w:r>
        <w:t xml:space="preserve">I. </w:t>
      </w:r>
      <w:r>
        <w:t>Erken Uyarı Uygulaması</w:t>
      </w:r>
    </w:p>
    <w:p>
      <w:pPr>
        <w:pStyle w:val="Text"/>
      </w:pPr>
      <w:r>
        <w:t>Operasyonel sistem bir FastAPI web uygulamasıdır (Şekil 14). Uygulama her on dakikada bir son 120 saatin METAR'larını NOAA Aviation Weather Center'dan (yedek kaynak IEM) indirir; çevrimdışı çalışmayla tamamen aynı çözme, kalite kontrolü, ızgaralama ve öznitelik kodunu çalıştırır ve 1–6 saat için kalibre edilmiş sis olasılıklarını, 1, 3 ve 6 saat için ILS kategorisi görünümünü, bir uyarı seviyesini ve öne çıkan SHAP katkılarını yayımlar. TreeSHAP değerleri toplanabilir olduğundan 77 katkı, uzman olmayan kullanıcıların da okuyabilmesi için ayrıca on sade etken grubunda (ör. nem, rüzgâr, günün saati) toplanmaktadır. Sis gözleniyorsa veya 1–2 saatlik olasılık eşiğini aşıyorsa uyarı kırmızı, yalnızca 3–6 saatlik tahminler eşiklerini aşıyorsa turuncu, herhangi bir olasılık eşiğinin yarısını aşıyorsa sarıdır (izleme). Her tahmin kaydedilmekte ve geçerlilik zamanı geldiğinde otomatik olarak doğrulanmaktadır; böylece gerçek anlamda gerçek zamanlı bir doğrulama kaydı oluşmaktadır. Sunucu gerektirmeyen herkese açık bir kopya aynı döngüyü GitHub Actions üzerinde her 30 dakikada bir çalıştırmakta ve arayüzü https://atasakik.github.io/esenboga-fog-nowcasting/ adresinde yayımlamaktadır.</w:t>
      </w:r>
    </w:p>
    <w:p>
      <w:pPr>
        <w:pStyle w:val="Heading1"/>
      </w:pPr>
      <w:r>
        <w:t xml:space="preserve">V. </w:t>
      </w:r>
      <w:r>
        <w:t>Bulgular</w:t>
      </w:r>
    </w:p>
    <w:p>
      <w:pPr>
        <w:pStyle w:val="Heading2"/>
        <w:numPr>
          <w:ilvl w:val="0"/>
          <w:numId w:val="0"/>
        </w:numPr>
      </w:pPr>
      <w:r>
        <w:t xml:space="preserve">A. </w:t>
      </w:r>
      <w:r>
        <w:t>Genel Başarım</w:t>
      </w:r>
    </w:p>
    <w:p>
      <w:pPr>
        <w:pStyle w:val="Text"/>
      </w:pPr>
      <w:r>
        <w:t>Tablo IV, dört test sezonundaki tüm tahminlerin skorlarını vermektedir. 1 saatte tüm ML modelleri kalıcılık tahmininden açıkça daha başarılıdır; LightGBM en iyi CSI (0,729) ve HSS (0,842) değerlerine ve 0,739'luk bir Brier beceri skoruna ulaşırken kalıcılığın CSI değeri 0,652'dir. Fark öngörü süresiyle büyümektedir: 3 saatte en iyi CSI 0,472 (LSTM) iken kalıcılıkta 0,321, 6 saatte ise 0,340 (LSTM) iken 0,129'dur. Kalıcılık 3 ve 6 saatte klimatolojiden bile kötüleşirken (negatif BSS) tüm ML modelleri 6 saatte 0,26 ile 0,32 arasında BSS değerlerini korumaktadır. Çok sayıdaki kolay sissiz durum nedeniyle ROC alanları her modelde 0,98'in üzerindedir; bu yüzden Şekil 3'teki PR eğrileri daha bilgilendiricidir: 1 saatte altı model neredeyse ayırt edilemezken 3 ve 6 saatte yinelemeli ağlar eğrinin büyük bölümüne hâkimdir ve en yüksek PR-AUC değerlerine ulaşır (GRU: 0,685 ve 0,517).</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widowControl w:val="0"/>
        <w:pBdr>
          <w:top w:val="nil"/>
          <w:left w:val="nil"/>
          <w:bottom w:val="nil"/>
          <w:right w:val="nil"/>
          <w:between w:val="nil"/>
        </w:pBdr>
        <w:spacing w:line="252" w:lineRule="auto"/>
        <w:ind w:firstLine="202"/>
        <w:jc w:val="center"/>
      </w:pPr>
      <w:r>
        <w:rPr>
          <w:sz w:val="16"/>
        </w:rPr>
        <w:t>TABLO IV</w:t>
      </w:r>
    </w:p>
    <w:p>
      <w:pPr>
        <w:pStyle w:val="TableTitle"/>
        <w:keepNext/>
        <w:spacing w:after="60"/>
      </w:pPr>
      <w:r>
        <w:rPr>
          <w:sz w:val="16"/>
        </w:rPr>
        <w:t>Sis (görüş &lt; 1000 m) tahminlerinin 2022/23–2025/26 test sezonlarında doğrulanması</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037"/>
        <w:gridCol w:w="1037"/>
        <w:gridCol w:w="1037"/>
        <w:gridCol w:w="1037"/>
        <w:gridCol w:w="1037"/>
        <w:gridCol w:w="1037"/>
        <w:gridCol w:w="1037"/>
        <w:gridCol w:w="1037"/>
        <w:gridCol w:w="1037"/>
        <w:gridCol w:w="1037"/>
      </w:tblGrid>
      <w:tr>
        <w:tc>
          <w:tcPr>
            <w:tcW w:type="dxa" w:w="694"/>
            <w:tcBorders>
              <w:bottom w:val="single" w:sz="4" w:color="000000"/>
            </w:tcBorders>
          </w:tcPr>
          <w:p>
            <w:pPr>
              <w:spacing w:before="10" w:after="10"/>
              <w:jc w:val="left"/>
              <w:rPr>
                <w:sz w:val="15"/>
              </w:rPr>
            </w:pPr>
            <w:r>
              <w:rPr>
                <w:b/>
                <w:sz w:val="15"/>
              </w:rPr>
              <w:t>Süre</w:t>
            </w:r>
          </w:p>
        </w:tc>
        <w:tc>
          <w:tcPr>
            <w:tcW w:type="dxa" w:w="2235"/>
            <w:tcBorders>
              <w:bottom w:val="single" w:sz="4" w:color="000000"/>
            </w:tcBorders>
          </w:tcPr>
          <w:p>
            <w:pPr>
              <w:spacing w:before="10" w:after="10"/>
              <w:jc w:val="left"/>
              <w:rPr>
                <w:sz w:val="15"/>
              </w:rPr>
            </w:pPr>
            <w:r>
              <w:rPr>
                <w:b/>
                <w:sz w:val="15"/>
              </w:rPr>
              <w:t>Tahmin</w:t>
            </w:r>
          </w:p>
        </w:tc>
        <w:tc>
          <w:tcPr>
            <w:tcW w:type="dxa" w:w="956"/>
            <w:tcBorders>
              <w:bottom w:val="single" w:sz="4" w:color="000000"/>
            </w:tcBorders>
          </w:tcPr>
          <w:p>
            <w:pPr>
              <w:spacing w:before="10" w:after="10"/>
              <w:jc w:val="center"/>
              <w:rPr>
                <w:sz w:val="15"/>
              </w:rPr>
            </w:pPr>
            <w:r>
              <w:rPr>
                <w:b/>
                <w:sz w:val="15"/>
              </w:rPr>
              <w:t>PR-AUC</w:t>
            </w:r>
          </w:p>
        </w:tc>
        <w:tc>
          <w:tcPr>
            <w:tcW w:type="dxa" w:w="956"/>
            <w:tcBorders>
              <w:bottom w:val="single" w:sz="4" w:color="000000"/>
            </w:tcBorders>
          </w:tcPr>
          <w:p>
            <w:pPr>
              <w:spacing w:before="10" w:after="10"/>
              <w:jc w:val="center"/>
              <w:rPr>
                <w:sz w:val="15"/>
              </w:rPr>
            </w:pPr>
            <w:r>
              <w:rPr>
                <w:b/>
                <w:sz w:val="15"/>
              </w:rPr>
              <w:t>ROC-AUC</w:t>
            </w:r>
          </w:p>
        </w:tc>
        <w:tc>
          <w:tcPr>
            <w:tcW w:type="dxa" w:w="956"/>
            <w:tcBorders>
              <w:bottom w:val="single" w:sz="4" w:color="000000"/>
            </w:tcBorders>
          </w:tcPr>
          <w:p>
            <w:pPr>
              <w:spacing w:before="10" w:after="10"/>
              <w:jc w:val="center"/>
              <w:rPr>
                <w:sz w:val="15"/>
              </w:rPr>
            </w:pPr>
            <w:r>
              <w:rPr>
                <w:b/>
                <w:sz w:val="15"/>
              </w:rPr>
              <w:t>BS</w:t>
            </w:r>
          </w:p>
        </w:tc>
        <w:tc>
          <w:tcPr>
            <w:tcW w:type="dxa" w:w="894"/>
            <w:tcBorders>
              <w:bottom w:val="single" w:sz="4" w:color="000000"/>
            </w:tcBorders>
          </w:tcPr>
          <w:p>
            <w:pPr>
              <w:spacing w:before="10" w:after="10"/>
              <w:jc w:val="center"/>
              <w:rPr>
                <w:sz w:val="15"/>
              </w:rPr>
            </w:pPr>
            <w:r>
              <w:rPr>
                <w:b/>
                <w:sz w:val="15"/>
              </w:rPr>
              <w:t>BSS</w:t>
            </w:r>
          </w:p>
        </w:tc>
        <w:tc>
          <w:tcPr>
            <w:tcW w:type="dxa" w:w="848"/>
            <w:tcBorders>
              <w:bottom w:val="single" w:sz="4" w:color="000000"/>
            </w:tcBorders>
          </w:tcPr>
          <w:p>
            <w:pPr>
              <w:spacing w:before="10" w:after="10"/>
              <w:jc w:val="center"/>
              <w:rPr>
                <w:sz w:val="15"/>
              </w:rPr>
            </w:pPr>
            <w:r>
              <w:rPr>
                <w:b/>
                <w:sz w:val="15"/>
              </w:rPr>
              <w:t>POD</w:t>
            </w:r>
          </w:p>
        </w:tc>
        <w:tc>
          <w:tcPr>
            <w:tcW w:type="dxa" w:w="848"/>
            <w:tcBorders>
              <w:bottom w:val="single" w:sz="4" w:color="000000"/>
            </w:tcBorders>
          </w:tcPr>
          <w:p>
            <w:pPr>
              <w:spacing w:before="10" w:after="10"/>
              <w:jc w:val="center"/>
              <w:rPr>
                <w:sz w:val="15"/>
              </w:rPr>
            </w:pPr>
            <w:r>
              <w:rPr>
                <w:b/>
                <w:sz w:val="15"/>
              </w:rPr>
              <w:t>FAR</w:t>
            </w:r>
          </w:p>
        </w:tc>
        <w:tc>
          <w:tcPr>
            <w:tcW w:type="dxa" w:w="848"/>
            <w:tcBorders>
              <w:bottom w:val="single" w:sz="4" w:color="000000"/>
            </w:tcBorders>
          </w:tcPr>
          <w:p>
            <w:pPr>
              <w:spacing w:before="10" w:after="10"/>
              <w:jc w:val="center"/>
              <w:rPr>
                <w:sz w:val="15"/>
              </w:rPr>
            </w:pPr>
            <w:r>
              <w:rPr>
                <w:b/>
                <w:sz w:val="15"/>
              </w:rPr>
              <w:t>CSI</w:t>
            </w:r>
          </w:p>
        </w:tc>
        <w:tc>
          <w:tcPr>
            <w:tcW w:type="dxa" w:w="848"/>
            <w:tcBorders>
              <w:bottom w:val="single" w:sz="4" w:color="000000"/>
            </w:tcBorders>
          </w:tcPr>
          <w:p>
            <w:pPr>
              <w:spacing w:before="10" w:after="10"/>
              <w:jc w:val="center"/>
              <w:rPr>
                <w:sz w:val="15"/>
              </w:rPr>
            </w:pPr>
            <w:r>
              <w:rPr>
                <w:b/>
                <w:sz w:val="15"/>
              </w:rPr>
              <w:t>HSS</w:t>
            </w:r>
          </w:p>
        </w:tc>
      </w:tr>
      <w:tr>
        <w:tc>
          <w:tcPr>
            <w:tcW w:type="dxa" w:w="694"/>
          </w:tcPr>
          <w:p>
            <w:pPr>
              <w:spacing w:before="10" w:after="10"/>
              <w:jc w:val="left"/>
              <w:rPr>
                <w:sz w:val="15"/>
              </w:rPr>
            </w:pPr>
            <w:r>
              <w:rPr>
                <w:sz w:val="15"/>
              </w:rPr>
              <w:t>1 sa</w:t>
            </w:r>
          </w:p>
        </w:tc>
        <w:tc>
          <w:tcPr>
            <w:tcW w:type="dxa" w:w="2235"/>
          </w:tcPr>
          <w:p>
            <w:pPr>
              <w:spacing w:before="10" w:after="10"/>
              <w:jc w:val="left"/>
              <w:rPr>
                <w:sz w:val="15"/>
              </w:rPr>
            </w:pPr>
            <w:r>
              <w:rPr>
                <w:sz w:val="15"/>
              </w:rPr>
              <w:t>Lojistik regresyon</w:t>
            </w:r>
          </w:p>
        </w:tc>
        <w:tc>
          <w:tcPr>
            <w:tcW w:type="dxa" w:w="956"/>
          </w:tcPr>
          <w:p>
            <w:pPr>
              <w:spacing w:before="10" w:after="10"/>
              <w:jc w:val="center"/>
              <w:rPr>
                <w:sz w:val="15"/>
              </w:rPr>
            </w:pPr>
            <w:r>
              <w:rPr>
                <w:sz w:val="15"/>
              </w:rPr>
              <w:t>0,885</w:t>
            </w:r>
          </w:p>
        </w:tc>
        <w:tc>
          <w:tcPr>
            <w:tcW w:type="dxa" w:w="956"/>
          </w:tcPr>
          <w:p>
            <w:pPr>
              <w:spacing w:before="10" w:after="10"/>
              <w:jc w:val="center"/>
              <w:rPr>
                <w:sz w:val="15"/>
              </w:rPr>
            </w:pPr>
            <w:r>
              <w:rPr>
                <w:sz w:val="15"/>
              </w:rPr>
              <w:t>0,997</w:t>
            </w:r>
          </w:p>
        </w:tc>
        <w:tc>
          <w:tcPr>
            <w:tcW w:type="dxa" w:w="956"/>
          </w:tcPr>
          <w:p>
            <w:pPr>
              <w:spacing w:before="10" w:after="10"/>
              <w:jc w:val="center"/>
              <w:rPr>
                <w:sz w:val="15"/>
              </w:rPr>
            </w:pPr>
            <w:r>
              <w:rPr>
                <w:sz w:val="15"/>
              </w:rPr>
              <w:t>0,0017</w:t>
            </w:r>
          </w:p>
        </w:tc>
        <w:tc>
          <w:tcPr>
            <w:tcW w:type="dxa" w:w="894"/>
          </w:tcPr>
          <w:p>
            <w:pPr>
              <w:spacing w:before="10" w:after="10"/>
              <w:jc w:val="center"/>
              <w:rPr>
                <w:sz w:val="15"/>
              </w:rPr>
            </w:pPr>
            <w:r>
              <w:rPr>
                <w:sz w:val="15"/>
              </w:rPr>
              <w:t>0,722</w:t>
            </w:r>
          </w:p>
        </w:tc>
        <w:tc>
          <w:tcPr>
            <w:tcW w:type="dxa" w:w="848"/>
          </w:tcPr>
          <w:p>
            <w:pPr>
              <w:spacing w:before="10" w:after="10"/>
              <w:jc w:val="center"/>
              <w:rPr>
                <w:sz w:val="15"/>
              </w:rPr>
            </w:pPr>
            <w:r>
              <w:rPr>
                <w:sz w:val="15"/>
              </w:rPr>
              <w:t>0,767</w:t>
            </w:r>
          </w:p>
        </w:tc>
        <w:tc>
          <w:tcPr>
            <w:tcW w:type="dxa" w:w="848"/>
          </w:tcPr>
          <w:p>
            <w:pPr>
              <w:spacing w:before="10" w:after="10"/>
              <w:jc w:val="center"/>
              <w:rPr>
                <w:sz w:val="15"/>
              </w:rPr>
            </w:pPr>
            <w:r>
              <w:rPr>
                <w:sz w:val="15"/>
              </w:rPr>
              <w:t>0,128</w:t>
            </w:r>
          </w:p>
        </w:tc>
        <w:tc>
          <w:tcPr>
            <w:tcW w:type="dxa" w:w="848"/>
          </w:tcPr>
          <w:p>
            <w:pPr>
              <w:spacing w:before="10" w:after="10"/>
              <w:jc w:val="center"/>
              <w:rPr>
                <w:sz w:val="15"/>
              </w:rPr>
            </w:pPr>
            <w:r>
              <w:rPr>
                <w:sz w:val="15"/>
              </w:rPr>
              <w:t>0,690</w:t>
            </w:r>
          </w:p>
        </w:tc>
        <w:tc>
          <w:tcPr>
            <w:tcW w:type="dxa" w:w="848"/>
          </w:tcPr>
          <w:p>
            <w:pPr>
              <w:spacing w:before="10" w:after="10"/>
              <w:jc w:val="center"/>
              <w:rPr>
                <w:sz w:val="15"/>
              </w:rPr>
            </w:pPr>
            <w:r>
              <w:rPr>
                <w:sz w:val="15"/>
              </w:rPr>
              <w:t>0,815</w:t>
            </w:r>
          </w:p>
        </w:tc>
      </w:tr>
      <w:tr>
        <w:tc>
          <w:tcPr>
            <w:tcW w:type="dxa" w:w="694"/>
          </w:tcPr>
          <w:p>
            <w:pPr>
              <w:spacing w:before="10" w:after="10"/>
              <w:jc w:val="left"/>
              <w:rPr>
                <w:sz w:val="15"/>
              </w:rPr>
            </w:pPr>
          </w:p>
        </w:tc>
        <w:tc>
          <w:tcPr>
            <w:tcW w:type="dxa" w:w="2235"/>
          </w:tcPr>
          <w:p>
            <w:pPr>
              <w:spacing w:before="10" w:after="10"/>
              <w:jc w:val="left"/>
              <w:rPr>
                <w:sz w:val="15"/>
              </w:rPr>
            </w:pPr>
            <w:r>
              <w:rPr>
                <w:sz w:val="15"/>
              </w:rPr>
              <w:t>Rastgele orman</w:t>
            </w:r>
          </w:p>
        </w:tc>
        <w:tc>
          <w:tcPr>
            <w:tcW w:type="dxa" w:w="956"/>
          </w:tcPr>
          <w:p>
            <w:pPr>
              <w:spacing w:before="10" w:after="10"/>
              <w:jc w:val="center"/>
              <w:rPr>
                <w:sz w:val="15"/>
              </w:rPr>
            </w:pPr>
            <w:r>
              <w:rPr>
                <w:sz w:val="15"/>
              </w:rPr>
              <w:t>0,889</w:t>
            </w:r>
          </w:p>
        </w:tc>
        <w:tc>
          <w:tcPr>
            <w:tcW w:type="dxa" w:w="956"/>
          </w:tcPr>
          <w:p>
            <w:pPr>
              <w:spacing w:before="10" w:after="10"/>
              <w:jc w:val="center"/>
              <w:rPr>
                <w:sz w:val="15"/>
              </w:rPr>
            </w:pPr>
            <w:r>
              <w:rPr>
                <w:sz w:val="15"/>
              </w:rPr>
              <w:t>0,997</w:t>
            </w:r>
          </w:p>
        </w:tc>
        <w:tc>
          <w:tcPr>
            <w:tcW w:type="dxa" w:w="956"/>
          </w:tcPr>
          <w:p>
            <w:pPr>
              <w:spacing w:before="10" w:after="10"/>
              <w:jc w:val="center"/>
              <w:rPr>
                <w:sz w:val="15"/>
              </w:rPr>
            </w:pPr>
            <w:r>
              <w:rPr>
                <w:b/>
                <w:sz w:val="15"/>
              </w:rPr>
              <w:t>0,0016</w:t>
            </w:r>
          </w:p>
        </w:tc>
        <w:tc>
          <w:tcPr>
            <w:tcW w:type="dxa" w:w="894"/>
          </w:tcPr>
          <w:p>
            <w:pPr>
              <w:spacing w:before="10" w:after="10"/>
              <w:jc w:val="center"/>
              <w:rPr>
                <w:sz w:val="15"/>
              </w:rPr>
            </w:pPr>
            <w:r>
              <w:rPr>
                <w:sz w:val="15"/>
              </w:rPr>
              <w:t>0,733</w:t>
            </w:r>
          </w:p>
        </w:tc>
        <w:tc>
          <w:tcPr>
            <w:tcW w:type="dxa" w:w="848"/>
          </w:tcPr>
          <w:p>
            <w:pPr>
              <w:spacing w:before="10" w:after="10"/>
              <w:jc w:val="center"/>
              <w:rPr>
                <w:sz w:val="15"/>
              </w:rPr>
            </w:pPr>
            <w:r>
              <w:rPr>
                <w:sz w:val="15"/>
              </w:rPr>
              <w:t>0,794</w:t>
            </w:r>
          </w:p>
        </w:tc>
        <w:tc>
          <w:tcPr>
            <w:tcW w:type="dxa" w:w="848"/>
          </w:tcPr>
          <w:p>
            <w:pPr>
              <w:spacing w:before="10" w:after="10"/>
              <w:jc w:val="center"/>
              <w:rPr>
                <w:sz w:val="15"/>
              </w:rPr>
            </w:pPr>
            <w:r>
              <w:rPr>
                <w:sz w:val="15"/>
              </w:rPr>
              <w:t>0,122</w:t>
            </w:r>
          </w:p>
        </w:tc>
        <w:tc>
          <w:tcPr>
            <w:tcW w:type="dxa" w:w="848"/>
          </w:tcPr>
          <w:p>
            <w:pPr>
              <w:spacing w:before="10" w:after="10"/>
              <w:jc w:val="center"/>
              <w:rPr>
                <w:sz w:val="15"/>
              </w:rPr>
            </w:pPr>
            <w:r>
              <w:rPr>
                <w:sz w:val="15"/>
              </w:rPr>
              <w:t>0,715</w:t>
            </w:r>
          </w:p>
        </w:tc>
        <w:tc>
          <w:tcPr>
            <w:tcW w:type="dxa" w:w="848"/>
          </w:tcPr>
          <w:p>
            <w:pPr>
              <w:spacing w:before="10" w:after="10"/>
              <w:jc w:val="center"/>
              <w:rPr>
                <w:sz w:val="15"/>
              </w:rPr>
            </w:pPr>
            <w:r>
              <w:rPr>
                <w:sz w:val="15"/>
              </w:rPr>
              <w:t>0,833</w:t>
            </w:r>
          </w:p>
        </w:tc>
      </w:tr>
      <w:tr>
        <w:tc>
          <w:tcPr>
            <w:tcW w:type="dxa" w:w="694"/>
          </w:tcPr>
          <w:p>
            <w:pPr>
              <w:spacing w:before="10" w:after="10"/>
              <w:jc w:val="left"/>
              <w:rPr>
                <w:sz w:val="15"/>
              </w:rPr>
            </w:pPr>
          </w:p>
        </w:tc>
        <w:tc>
          <w:tcPr>
            <w:tcW w:type="dxa" w:w="2235"/>
          </w:tcPr>
          <w:p>
            <w:pPr>
              <w:spacing w:before="10" w:after="10"/>
              <w:jc w:val="left"/>
              <w:rPr>
                <w:sz w:val="15"/>
              </w:rPr>
            </w:pPr>
            <w:r>
              <w:rPr>
                <w:sz w:val="15"/>
              </w:rPr>
              <w:t>XGBoost</w:t>
            </w:r>
          </w:p>
        </w:tc>
        <w:tc>
          <w:tcPr>
            <w:tcW w:type="dxa" w:w="956"/>
          </w:tcPr>
          <w:p>
            <w:pPr>
              <w:spacing w:before="10" w:after="10"/>
              <w:jc w:val="center"/>
              <w:rPr>
                <w:sz w:val="15"/>
              </w:rPr>
            </w:pPr>
            <w:r>
              <w:rPr>
                <w:b/>
                <w:sz w:val="15"/>
              </w:rPr>
              <w:t>0,892</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b/>
                <w:sz w:val="15"/>
              </w:rPr>
              <w:t>0,0016</w:t>
            </w:r>
          </w:p>
        </w:tc>
        <w:tc>
          <w:tcPr>
            <w:tcW w:type="dxa" w:w="894"/>
          </w:tcPr>
          <w:p>
            <w:pPr>
              <w:spacing w:before="10" w:after="10"/>
              <w:jc w:val="center"/>
              <w:rPr>
                <w:sz w:val="15"/>
              </w:rPr>
            </w:pPr>
            <w:r>
              <w:rPr>
                <w:sz w:val="15"/>
              </w:rPr>
              <w:t>0,737</w:t>
            </w:r>
          </w:p>
        </w:tc>
        <w:tc>
          <w:tcPr>
            <w:tcW w:type="dxa" w:w="848"/>
          </w:tcPr>
          <w:p>
            <w:pPr>
              <w:spacing w:before="10" w:after="10"/>
              <w:jc w:val="center"/>
              <w:rPr>
                <w:sz w:val="15"/>
              </w:rPr>
            </w:pPr>
            <w:r>
              <w:rPr>
                <w:sz w:val="15"/>
              </w:rPr>
              <w:t>0,789</w:t>
            </w:r>
          </w:p>
        </w:tc>
        <w:tc>
          <w:tcPr>
            <w:tcW w:type="dxa" w:w="848"/>
          </w:tcPr>
          <w:p>
            <w:pPr>
              <w:spacing w:before="10" w:after="10"/>
              <w:jc w:val="center"/>
              <w:rPr>
                <w:sz w:val="15"/>
              </w:rPr>
            </w:pPr>
            <w:r>
              <w:rPr>
                <w:b/>
                <w:sz w:val="15"/>
              </w:rPr>
              <w:t>0,120</w:t>
            </w:r>
          </w:p>
        </w:tc>
        <w:tc>
          <w:tcPr>
            <w:tcW w:type="dxa" w:w="848"/>
          </w:tcPr>
          <w:p>
            <w:pPr>
              <w:spacing w:before="10" w:after="10"/>
              <w:jc w:val="center"/>
              <w:rPr>
                <w:sz w:val="15"/>
              </w:rPr>
            </w:pPr>
            <w:r>
              <w:rPr>
                <w:sz w:val="15"/>
              </w:rPr>
              <w:t>0,713</w:t>
            </w:r>
          </w:p>
        </w:tc>
        <w:tc>
          <w:tcPr>
            <w:tcW w:type="dxa" w:w="848"/>
          </w:tcPr>
          <w:p>
            <w:pPr>
              <w:spacing w:before="10" w:after="10"/>
              <w:jc w:val="center"/>
              <w:rPr>
                <w:sz w:val="15"/>
              </w:rPr>
            </w:pPr>
            <w:r>
              <w:rPr>
                <w:sz w:val="15"/>
              </w:rPr>
              <w:t>0,831</w:t>
            </w:r>
          </w:p>
        </w:tc>
      </w:tr>
      <w:tr>
        <w:tc>
          <w:tcPr>
            <w:tcW w:type="dxa" w:w="694"/>
          </w:tcPr>
          <w:p>
            <w:pPr>
              <w:spacing w:before="10" w:after="10"/>
              <w:jc w:val="left"/>
              <w:rPr>
                <w:sz w:val="15"/>
              </w:rPr>
            </w:pPr>
          </w:p>
        </w:tc>
        <w:tc>
          <w:tcPr>
            <w:tcW w:type="dxa" w:w="2235"/>
          </w:tcPr>
          <w:p>
            <w:pPr>
              <w:spacing w:before="10" w:after="10"/>
              <w:jc w:val="left"/>
              <w:rPr>
                <w:sz w:val="15"/>
              </w:rPr>
            </w:pPr>
            <w:r>
              <w:rPr>
                <w:sz w:val="15"/>
              </w:rPr>
              <w:t>LightGBM</w:t>
            </w:r>
          </w:p>
        </w:tc>
        <w:tc>
          <w:tcPr>
            <w:tcW w:type="dxa" w:w="956"/>
          </w:tcPr>
          <w:p>
            <w:pPr>
              <w:spacing w:before="10" w:after="10"/>
              <w:jc w:val="center"/>
              <w:rPr>
                <w:sz w:val="15"/>
              </w:rPr>
            </w:pPr>
            <w:r>
              <w:rPr>
                <w:sz w:val="15"/>
              </w:rPr>
              <w:t>0,891</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b/>
                <w:sz w:val="15"/>
              </w:rPr>
              <w:t>0,0016</w:t>
            </w:r>
          </w:p>
        </w:tc>
        <w:tc>
          <w:tcPr>
            <w:tcW w:type="dxa" w:w="894"/>
          </w:tcPr>
          <w:p>
            <w:pPr>
              <w:spacing w:before="10" w:after="10"/>
              <w:jc w:val="center"/>
              <w:rPr>
                <w:sz w:val="15"/>
              </w:rPr>
            </w:pPr>
            <w:r>
              <w:rPr>
                <w:b/>
                <w:sz w:val="15"/>
              </w:rPr>
              <w:t>0,739</w:t>
            </w:r>
          </w:p>
        </w:tc>
        <w:tc>
          <w:tcPr>
            <w:tcW w:type="dxa" w:w="848"/>
          </w:tcPr>
          <w:p>
            <w:pPr>
              <w:spacing w:before="10" w:after="10"/>
              <w:jc w:val="center"/>
              <w:rPr>
                <w:sz w:val="15"/>
              </w:rPr>
            </w:pPr>
            <w:r>
              <w:rPr>
                <w:b/>
                <w:sz w:val="15"/>
              </w:rPr>
              <w:t>0,825</w:t>
            </w:r>
          </w:p>
        </w:tc>
        <w:tc>
          <w:tcPr>
            <w:tcW w:type="dxa" w:w="848"/>
          </w:tcPr>
          <w:p>
            <w:pPr>
              <w:spacing w:before="10" w:after="10"/>
              <w:jc w:val="center"/>
              <w:rPr>
                <w:sz w:val="15"/>
              </w:rPr>
            </w:pPr>
            <w:r>
              <w:rPr>
                <w:sz w:val="15"/>
              </w:rPr>
              <w:t>0,138</w:t>
            </w:r>
          </w:p>
        </w:tc>
        <w:tc>
          <w:tcPr>
            <w:tcW w:type="dxa" w:w="848"/>
          </w:tcPr>
          <w:p>
            <w:pPr>
              <w:spacing w:before="10" w:after="10"/>
              <w:jc w:val="center"/>
              <w:rPr>
                <w:sz w:val="15"/>
              </w:rPr>
            </w:pPr>
            <w:r>
              <w:rPr>
                <w:b/>
                <w:sz w:val="15"/>
              </w:rPr>
              <w:t>0,729</w:t>
            </w:r>
          </w:p>
        </w:tc>
        <w:tc>
          <w:tcPr>
            <w:tcW w:type="dxa" w:w="848"/>
          </w:tcPr>
          <w:p>
            <w:pPr>
              <w:spacing w:before="10" w:after="10"/>
              <w:jc w:val="center"/>
              <w:rPr>
                <w:sz w:val="15"/>
              </w:rPr>
            </w:pPr>
            <w:r>
              <w:rPr>
                <w:b/>
                <w:sz w:val="15"/>
              </w:rPr>
              <w:t>0,842</w:t>
            </w:r>
          </w:p>
        </w:tc>
      </w:tr>
      <w:tr>
        <w:tc>
          <w:tcPr>
            <w:tcW w:type="dxa" w:w="694"/>
          </w:tcPr>
          <w:p>
            <w:pPr>
              <w:spacing w:before="10" w:after="10"/>
              <w:jc w:val="left"/>
              <w:rPr>
                <w:sz w:val="15"/>
              </w:rPr>
            </w:pPr>
          </w:p>
        </w:tc>
        <w:tc>
          <w:tcPr>
            <w:tcW w:type="dxa" w:w="2235"/>
          </w:tcPr>
          <w:p>
            <w:pPr>
              <w:spacing w:before="10" w:after="10"/>
              <w:jc w:val="left"/>
              <w:rPr>
                <w:sz w:val="15"/>
              </w:rPr>
            </w:pPr>
            <w:r>
              <w:rPr>
                <w:sz w:val="15"/>
              </w:rPr>
              <w:t>GRU</w:t>
            </w:r>
          </w:p>
        </w:tc>
        <w:tc>
          <w:tcPr>
            <w:tcW w:type="dxa" w:w="956"/>
          </w:tcPr>
          <w:p>
            <w:pPr>
              <w:spacing w:before="10" w:after="10"/>
              <w:jc w:val="center"/>
              <w:rPr>
                <w:sz w:val="15"/>
              </w:rPr>
            </w:pPr>
            <w:r>
              <w:rPr>
                <w:sz w:val="15"/>
              </w:rPr>
              <w:t>0,882</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sz w:val="15"/>
              </w:rPr>
              <w:t>0,0017</w:t>
            </w:r>
          </w:p>
        </w:tc>
        <w:tc>
          <w:tcPr>
            <w:tcW w:type="dxa" w:w="894"/>
          </w:tcPr>
          <w:p>
            <w:pPr>
              <w:spacing w:before="10" w:after="10"/>
              <w:jc w:val="center"/>
              <w:rPr>
                <w:sz w:val="15"/>
              </w:rPr>
            </w:pPr>
            <w:r>
              <w:rPr>
                <w:sz w:val="15"/>
              </w:rPr>
              <w:t>0,722</w:t>
            </w:r>
          </w:p>
        </w:tc>
        <w:tc>
          <w:tcPr>
            <w:tcW w:type="dxa" w:w="848"/>
          </w:tcPr>
          <w:p>
            <w:pPr>
              <w:spacing w:before="10" w:after="10"/>
              <w:jc w:val="center"/>
              <w:rPr>
                <w:sz w:val="15"/>
              </w:rPr>
            </w:pPr>
            <w:r>
              <w:rPr>
                <w:sz w:val="15"/>
              </w:rPr>
              <w:t>0,809</w:t>
            </w:r>
          </w:p>
        </w:tc>
        <w:tc>
          <w:tcPr>
            <w:tcW w:type="dxa" w:w="848"/>
          </w:tcPr>
          <w:p>
            <w:pPr>
              <w:spacing w:before="10" w:after="10"/>
              <w:jc w:val="center"/>
              <w:rPr>
                <w:sz w:val="15"/>
              </w:rPr>
            </w:pPr>
            <w:r>
              <w:rPr>
                <w:sz w:val="15"/>
              </w:rPr>
              <w:t>0,138</w:t>
            </w:r>
          </w:p>
        </w:tc>
        <w:tc>
          <w:tcPr>
            <w:tcW w:type="dxa" w:w="848"/>
          </w:tcPr>
          <w:p>
            <w:pPr>
              <w:spacing w:before="10" w:after="10"/>
              <w:jc w:val="center"/>
              <w:rPr>
                <w:sz w:val="15"/>
              </w:rPr>
            </w:pPr>
            <w:r>
              <w:rPr>
                <w:sz w:val="15"/>
              </w:rPr>
              <w:t>0,716</w:t>
            </w:r>
          </w:p>
        </w:tc>
        <w:tc>
          <w:tcPr>
            <w:tcW w:type="dxa" w:w="848"/>
          </w:tcPr>
          <w:p>
            <w:pPr>
              <w:spacing w:before="10" w:after="10"/>
              <w:jc w:val="center"/>
              <w:rPr>
                <w:sz w:val="15"/>
              </w:rPr>
            </w:pPr>
            <w:r>
              <w:rPr>
                <w:sz w:val="15"/>
              </w:rPr>
              <w:t>0,834</w:t>
            </w:r>
          </w:p>
        </w:tc>
      </w:tr>
      <w:tr>
        <w:tc>
          <w:tcPr>
            <w:tcW w:type="dxa" w:w="694"/>
          </w:tcPr>
          <w:p>
            <w:pPr>
              <w:spacing w:before="10" w:after="10"/>
              <w:jc w:val="left"/>
              <w:rPr>
                <w:sz w:val="15"/>
              </w:rPr>
            </w:pPr>
          </w:p>
        </w:tc>
        <w:tc>
          <w:tcPr>
            <w:tcW w:type="dxa" w:w="2235"/>
          </w:tcPr>
          <w:p>
            <w:pPr>
              <w:spacing w:before="10" w:after="10"/>
              <w:jc w:val="left"/>
              <w:rPr>
                <w:sz w:val="15"/>
              </w:rPr>
            </w:pPr>
            <w:r>
              <w:rPr>
                <w:sz w:val="15"/>
              </w:rPr>
              <w:t>LSTM</w:t>
            </w:r>
          </w:p>
        </w:tc>
        <w:tc>
          <w:tcPr>
            <w:tcW w:type="dxa" w:w="956"/>
          </w:tcPr>
          <w:p>
            <w:pPr>
              <w:spacing w:before="10" w:after="10"/>
              <w:jc w:val="center"/>
              <w:rPr>
                <w:sz w:val="15"/>
              </w:rPr>
            </w:pPr>
            <w:r>
              <w:rPr>
                <w:sz w:val="15"/>
              </w:rPr>
              <w:t>0,885</w:t>
            </w:r>
          </w:p>
        </w:tc>
        <w:tc>
          <w:tcPr>
            <w:tcW w:type="dxa" w:w="956"/>
          </w:tcPr>
          <w:p>
            <w:pPr>
              <w:spacing w:before="10" w:after="10"/>
              <w:jc w:val="center"/>
              <w:rPr>
                <w:sz w:val="15"/>
              </w:rPr>
            </w:pPr>
            <w:r>
              <w:rPr>
                <w:b/>
                <w:sz w:val="15"/>
              </w:rPr>
              <w:t>0,998</w:t>
            </w:r>
          </w:p>
        </w:tc>
        <w:tc>
          <w:tcPr>
            <w:tcW w:type="dxa" w:w="956"/>
          </w:tcPr>
          <w:p>
            <w:pPr>
              <w:spacing w:before="10" w:after="10"/>
              <w:jc w:val="center"/>
              <w:rPr>
                <w:sz w:val="15"/>
              </w:rPr>
            </w:pPr>
            <w:r>
              <w:rPr>
                <w:sz w:val="15"/>
              </w:rPr>
              <w:t>0,0017</w:t>
            </w:r>
          </w:p>
        </w:tc>
        <w:tc>
          <w:tcPr>
            <w:tcW w:type="dxa" w:w="894"/>
          </w:tcPr>
          <w:p>
            <w:pPr>
              <w:spacing w:before="10" w:after="10"/>
              <w:jc w:val="center"/>
              <w:rPr>
                <w:sz w:val="15"/>
              </w:rPr>
            </w:pPr>
            <w:r>
              <w:rPr>
                <w:sz w:val="15"/>
              </w:rPr>
              <w:t>0,725</w:t>
            </w:r>
          </w:p>
        </w:tc>
        <w:tc>
          <w:tcPr>
            <w:tcW w:type="dxa" w:w="848"/>
          </w:tcPr>
          <w:p>
            <w:pPr>
              <w:spacing w:before="10" w:after="10"/>
              <w:jc w:val="center"/>
              <w:rPr>
                <w:sz w:val="15"/>
              </w:rPr>
            </w:pPr>
            <w:r>
              <w:rPr>
                <w:sz w:val="15"/>
              </w:rPr>
              <w:t>0,789</w:t>
            </w:r>
          </w:p>
        </w:tc>
        <w:tc>
          <w:tcPr>
            <w:tcW w:type="dxa" w:w="848"/>
          </w:tcPr>
          <w:p>
            <w:pPr>
              <w:spacing w:before="10" w:after="10"/>
              <w:jc w:val="center"/>
              <w:rPr>
                <w:sz w:val="15"/>
              </w:rPr>
            </w:pPr>
            <w:r>
              <w:rPr>
                <w:sz w:val="15"/>
              </w:rPr>
              <w:t>0,135</w:t>
            </w:r>
          </w:p>
        </w:tc>
        <w:tc>
          <w:tcPr>
            <w:tcW w:type="dxa" w:w="848"/>
          </w:tcPr>
          <w:p>
            <w:pPr>
              <w:spacing w:before="10" w:after="10"/>
              <w:jc w:val="center"/>
              <w:rPr>
                <w:sz w:val="15"/>
              </w:rPr>
            </w:pPr>
            <w:r>
              <w:rPr>
                <w:sz w:val="15"/>
              </w:rPr>
              <w:t>0,703</w:t>
            </w:r>
          </w:p>
        </w:tc>
        <w:tc>
          <w:tcPr>
            <w:tcW w:type="dxa" w:w="848"/>
          </w:tcPr>
          <w:p>
            <w:pPr>
              <w:spacing w:before="10" w:after="10"/>
              <w:jc w:val="center"/>
              <w:rPr>
                <w:sz w:val="15"/>
              </w:rPr>
            </w:pPr>
            <w:r>
              <w:rPr>
                <w:sz w:val="15"/>
              </w:rPr>
              <w:t>0,824</w:t>
            </w:r>
          </w:p>
        </w:tc>
      </w:tr>
      <w:tr>
        <w:tc>
          <w:tcPr>
            <w:tcW w:type="dxa" w:w="694"/>
          </w:tcPr>
          <w:p>
            <w:pPr>
              <w:spacing w:before="10" w:after="10"/>
              <w:jc w:val="left"/>
              <w:rPr>
                <w:sz w:val="15"/>
              </w:rPr>
            </w:pPr>
          </w:p>
        </w:tc>
        <w:tc>
          <w:tcPr>
            <w:tcW w:type="dxa" w:w="2235"/>
          </w:tcPr>
          <w:p>
            <w:pPr>
              <w:spacing w:before="10" w:after="10"/>
              <w:jc w:val="left"/>
              <w:rPr>
                <w:sz w:val="15"/>
              </w:rPr>
            </w:pPr>
            <w:r>
              <w:rPr>
                <w:sz w:val="15"/>
              </w:rPr>
              <w:t>Kalıcılık</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0,0027</w:t>
            </w:r>
          </w:p>
        </w:tc>
        <w:tc>
          <w:tcPr>
            <w:tcW w:type="dxa" w:w="894"/>
          </w:tcPr>
          <w:p>
            <w:pPr>
              <w:spacing w:before="10" w:after="10"/>
              <w:jc w:val="center"/>
              <w:rPr>
                <w:sz w:val="15"/>
              </w:rPr>
            </w:pPr>
            <w:r>
              <w:rPr>
                <w:sz w:val="15"/>
              </w:rPr>
              <w:t>0,563</w:t>
            </w:r>
          </w:p>
        </w:tc>
        <w:tc>
          <w:tcPr>
            <w:tcW w:type="dxa" w:w="848"/>
          </w:tcPr>
          <w:p>
            <w:pPr>
              <w:spacing w:before="10" w:after="10"/>
              <w:jc w:val="center"/>
              <w:rPr>
                <w:sz w:val="15"/>
              </w:rPr>
            </w:pPr>
            <w:r>
              <w:rPr>
                <w:sz w:val="15"/>
              </w:rPr>
              <w:t>0,789</w:t>
            </w:r>
          </w:p>
        </w:tc>
        <w:tc>
          <w:tcPr>
            <w:tcW w:type="dxa" w:w="848"/>
          </w:tcPr>
          <w:p>
            <w:pPr>
              <w:spacing w:before="10" w:after="10"/>
              <w:jc w:val="center"/>
              <w:rPr>
                <w:sz w:val="15"/>
              </w:rPr>
            </w:pPr>
            <w:r>
              <w:rPr>
                <w:sz w:val="15"/>
              </w:rPr>
              <w:t>0,211</w:t>
            </w:r>
          </w:p>
        </w:tc>
        <w:tc>
          <w:tcPr>
            <w:tcW w:type="dxa" w:w="848"/>
          </w:tcPr>
          <w:p>
            <w:pPr>
              <w:spacing w:before="10" w:after="10"/>
              <w:jc w:val="center"/>
              <w:rPr>
                <w:sz w:val="15"/>
              </w:rPr>
            </w:pPr>
            <w:r>
              <w:rPr>
                <w:sz w:val="15"/>
              </w:rPr>
              <w:t>0,652</w:t>
            </w:r>
          </w:p>
        </w:tc>
        <w:tc>
          <w:tcPr>
            <w:tcW w:type="dxa" w:w="848"/>
          </w:tcPr>
          <w:p>
            <w:pPr>
              <w:spacing w:before="10" w:after="10"/>
              <w:jc w:val="center"/>
              <w:rPr>
                <w:sz w:val="15"/>
              </w:rPr>
            </w:pPr>
            <w:r>
              <w:rPr>
                <w:sz w:val="15"/>
              </w:rPr>
              <w:t>0,788</w:t>
            </w:r>
          </w:p>
        </w:tc>
      </w:tr>
      <w:tr>
        <w:tc>
          <w:tcPr>
            <w:tcW w:type="dxa" w:w="694"/>
          </w:tcPr>
          <w:p>
            <w:pPr>
              <w:spacing w:before="10" w:after="10"/>
              <w:jc w:val="left"/>
              <w:rPr>
                <w:sz w:val="15"/>
              </w:rPr>
            </w:pPr>
          </w:p>
        </w:tc>
        <w:tc>
          <w:tcPr>
            <w:tcW w:type="dxa" w:w="2235"/>
          </w:tcPr>
          <w:p>
            <w:pPr>
              <w:spacing w:before="10" w:after="10"/>
              <w:jc w:val="left"/>
              <w:rPr>
                <w:sz w:val="15"/>
              </w:rPr>
            </w:pPr>
            <w:r>
              <w:rPr>
                <w:sz w:val="15"/>
              </w:rPr>
              <w:t>TREND (hâkim)</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0,0029</w:t>
            </w:r>
          </w:p>
        </w:tc>
        <w:tc>
          <w:tcPr>
            <w:tcW w:type="dxa" w:w="894"/>
          </w:tcPr>
          <w:p>
            <w:pPr>
              <w:spacing w:before="10" w:after="10"/>
              <w:jc w:val="center"/>
              <w:rPr>
                <w:sz w:val="15"/>
              </w:rPr>
            </w:pPr>
            <w:r>
              <w:rPr>
                <w:sz w:val="15"/>
              </w:rPr>
              <w:t>0,529</w:t>
            </w:r>
          </w:p>
        </w:tc>
        <w:tc>
          <w:tcPr>
            <w:tcW w:type="dxa" w:w="848"/>
          </w:tcPr>
          <w:p>
            <w:pPr>
              <w:spacing w:before="10" w:after="10"/>
              <w:jc w:val="center"/>
              <w:rPr>
                <w:sz w:val="15"/>
              </w:rPr>
            </w:pPr>
            <w:r>
              <w:rPr>
                <w:sz w:val="15"/>
              </w:rPr>
              <w:t>0,753</w:t>
            </w:r>
          </w:p>
        </w:tc>
        <w:tc>
          <w:tcPr>
            <w:tcW w:type="dxa" w:w="848"/>
          </w:tcPr>
          <w:p>
            <w:pPr>
              <w:spacing w:before="10" w:after="10"/>
              <w:jc w:val="center"/>
              <w:rPr>
                <w:sz w:val="15"/>
              </w:rPr>
            </w:pPr>
            <w:r>
              <w:rPr>
                <w:sz w:val="15"/>
              </w:rPr>
              <w:t>0,217</w:t>
            </w:r>
          </w:p>
        </w:tc>
        <w:tc>
          <w:tcPr>
            <w:tcW w:type="dxa" w:w="848"/>
          </w:tcPr>
          <w:p>
            <w:pPr>
              <w:spacing w:before="10" w:after="10"/>
              <w:jc w:val="center"/>
              <w:rPr>
                <w:sz w:val="15"/>
              </w:rPr>
            </w:pPr>
            <w:r>
              <w:rPr>
                <w:sz w:val="15"/>
              </w:rPr>
              <w:t>0,623</w:t>
            </w:r>
          </w:p>
        </w:tc>
        <w:tc>
          <w:tcPr>
            <w:tcW w:type="dxa" w:w="848"/>
          </w:tcPr>
          <w:p>
            <w:pPr>
              <w:spacing w:before="10" w:after="10"/>
              <w:jc w:val="center"/>
              <w:rPr>
                <w:sz w:val="15"/>
              </w:rPr>
            </w:pPr>
            <w:r>
              <w:rPr>
                <w:sz w:val="15"/>
              </w:rPr>
              <w:t>0,767</w:t>
            </w:r>
          </w:p>
        </w:tc>
      </w:tr>
      <w:tr>
        <w:tc>
          <w:tcPr>
            <w:tcW w:type="dxa" w:w="694"/>
            <w:tcBorders>
              <w:bottom w:val="single" w:sz="4" w:color="000000"/>
            </w:tcBorders>
          </w:tcPr>
          <w:p>
            <w:pPr>
              <w:spacing w:before="10" w:after="10"/>
              <w:jc w:val="left"/>
              <w:rPr>
                <w:sz w:val="15"/>
              </w:rPr>
            </w:pPr>
          </w:p>
        </w:tc>
        <w:tc>
          <w:tcPr>
            <w:tcW w:type="dxa" w:w="2235"/>
            <w:tcBorders>
              <w:bottom w:val="single" w:sz="4" w:color="000000"/>
            </w:tcBorders>
          </w:tcPr>
          <w:p>
            <w:pPr>
              <w:spacing w:before="10" w:after="10"/>
              <w:jc w:val="left"/>
              <w:rPr>
                <w:sz w:val="15"/>
              </w:rPr>
            </w:pPr>
            <w:r>
              <w:rPr>
                <w:sz w:val="15"/>
              </w:rPr>
              <w:t>TREND (en kötü)</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0,0030</w:t>
            </w:r>
          </w:p>
        </w:tc>
        <w:tc>
          <w:tcPr>
            <w:tcW w:type="dxa" w:w="894"/>
            <w:tcBorders>
              <w:bottom w:val="single" w:sz="4" w:color="000000"/>
            </w:tcBorders>
          </w:tcPr>
          <w:p>
            <w:pPr>
              <w:spacing w:before="10" w:after="10"/>
              <w:jc w:val="center"/>
              <w:rPr>
                <w:sz w:val="15"/>
              </w:rPr>
            </w:pPr>
            <w:r>
              <w:rPr>
                <w:sz w:val="15"/>
              </w:rPr>
              <w:t>0,512</w:t>
            </w:r>
          </w:p>
        </w:tc>
        <w:tc>
          <w:tcPr>
            <w:tcW w:type="dxa" w:w="848"/>
            <w:tcBorders>
              <w:bottom w:val="single" w:sz="4" w:color="000000"/>
            </w:tcBorders>
          </w:tcPr>
          <w:p>
            <w:pPr>
              <w:spacing w:before="10" w:after="10"/>
              <w:jc w:val="center"/>
              <w:rPr>
                <w:sz w:val="15"/>
              </w:rPr>
            </w:pPr>
            <w:r>
              <w:rPr>
                <w:sz w:val="15"/>
              </w:rPr>
              <w:t>0,774</w:t>
            </w:r>
          </w:p>
        </w:tc>
        <w:tc>
          <w:tcPr>
            <w:tcW w:type="dxa" w:w="848"/>
            <w:tcBorders>
              <w:bottom w:val="single" w:sz="4" w:color="000000"/>
            </w:tcBorders>
          </w:tcPr>
          <w:p>
            <w:pPr>
              <w:spacing w:before="10" w:after="10"/>
              <w:jc w:val="center"/>
              <w:rPr>
                <w:sz w:val="15"/>
              </w:rPr>
            </w:pPr>
            <w:r>
              <w:rPr>
                <w:sz w:val="15"/>
              </w:rPr>
              <w:t>0,240</w:t>
            </w:r>
          </w:p>
        </w:tc>
        <w:tc>
          <w:tcPr>
            <w:tcW w:type="dxa" w:w="848"/>
            <w:tcBorders>
              <w:bottom w:val="single" w:sz="4" w:color="000000"/>
            </w:tcBorders>
          </w:tcPr>
          <w:p>
            <w:pPr>
              <w:spacing w:before="10" w:after="10"/>
              <w:jc w:val="center"/>
              <w:rPr>
                <w:sz w:val="15"/>
              </w:rPr>
            </w:pPr>
            <w:r>
              <w:rPr>
                <w:sz w:val="15"/>
              </w:rPr>
              <w:t>0,622</w:t>
            </w:r>
          </w:p>
        </w:tc>
        <w:tc>
          <w:tcPr>
            <w:tcW w:type="dxa" w:w="848"/>
            <w:tcBorders>
              <w:bottom w:val="single" w:sz="4" w:color="000000"/>
            </w:tcBorders>
          </w:tcPr>
          <w:p>
            <w:pPr>
              <w:spacing w:before="10" w:after="10"/>
              <w:jc w:val="center"/>
              <w:rPr>
                <w:sz w:val="15"/>
              </w:rPr>
            </w:pPr>
            <w:r>
              <w:rPr>
                <w:sz w:val="15"/>
              </w:rPr>
              <w:t>0,765</w:t>
            </w:r>
          </w:p>
        </w:tc>
      </w:tr>
      <w:tr>
        <w:tc>
          <w:tcPr>
            <w:tcW w:type="dxa" w:w="694"/>
          </w:tcPr>
          <w:p>
            <w:pPr>
              <w:spacing w:before="10" w:after="10"/>
              <w:jc w:val="left"/>
              <w:rPr>
                <w:sz w:val="15"/>
              </w:rPr>
            </w:pPr>
            <w:r>
              <w:rPr>
                <w:sz w:val="15"/>
              </w:rPr>
              <w:t>3 sa</w:t>
            </w:r>
          </w:p>
        </w:tc>
        <w:tc>
          <w:tcPr>
            <w:tcW w:type="dxa" w:w="2235"/>
          </w:tcPr>
          <w:p>
            <w:pPr>
              <w:spacing w:before="10" w:after="10"/>
              <w:jc w:val="left"/>
              <w:rPr>
                <w:sz w:val="15"/>
              </w:rPr>
            </w:pPr>
            <w:r>
              <w:rPr>
                <w:sz w:val="15"/>
              </w:rPr>
              <w:t>Lojistik regresyon</w:t>
            </w:r>
          </w:p>
        </w:tc>
        <w:tc>
          <w:tcPr>
            <w:tcW w:type="dxa" w:w="956"/>
          </w:tcPr>
          <w:p>
            <w:pPr>
              <w:spacing w:before="10" w:after="10"/>
              <w:jc w:val="center"/>
              <w:rPr>
                <w:sz w:val="15"/>
              </w:rPr>
            </w:pPr>
            <w:r>
              <w:rPr>
                <w:sz w:val="15"/>
              </w:rPr>
              <w:t>0,637</w:t>
            </w:r>
          </w:p>
        </w:tc>
        <w:tc>
          <w:tcPr>
            <w:tcW w:type="dxa" w:w="956"/>
          </w:tcPr>
          <w:p>
            <w:pPr>
              <w:spacing w:before="10" w:after="10"/>
              <w:jc w:val="center"/>
              <w:rPr>
                <w:sz w:val="15"/>
              </w:rPr>
            </w:pPr>
            <w:r>
              <w:rPr>
                <w:sz w:val="15"/>
              </w:rPr>
              <w:t>0,993</w:t>
            </w:r>
          </w:p>
        </w:tc>
        <w:tc>
          <w:tcPr>
            <w:tcW w:type="dxa" w:w="956"/>
          </w:tcPr>
          <w:p>
            <w:pPr>
              <w:spacing w:before="10" w:after="10"/>
              <w:jc w:val="center"/>
              <w:rPr>
                <w:sz w:val="15"/>
              </w:rPr>
            </w:pPr>
            <w:r>
              <w:rPr>
                <w:sz w:val="15"/>
              </w:rPr>
              <w:t>0,0035</w:t>
            </w:r>
          </w:p>
        </w:tc>
        <w:tc>
          <w:tcPr>
            <w:tcW w:type="dxa" w:w="894"/>
          </w:tcPr>
          <w:p>
            <w:pPr>
              <w:spacing w:before="10" w:after="10"/>
              <w:jc w:val="center"/>
              <w:rPr>
                <w:sz w:val="15"/>
              </w:rPr>
            </w:pPr>
            <w:r>
              <w:rPr>
                <w:sz w:val="15"/>
              </w:rPr>
              <w:t>0,425</w:t>
            </w:r>
          </w:p>
        </w:tc>
        <w:tc>
          <w:tcPr>
            <w:tcW w:type="dxa" w:w="848"/>
          </w:tcPr>
          <w:p>
            <w:pPr>
              <w:spacing w:before="10" w:after="10"/>
              <w:jc w:val="center"/>
              <w:rPr>
                <w:sz w:val="15"/>
              </w:rPr>
            </w:pPr>
            <w:r>
              <w:rPr>
                <w:sz w:val="15"/>
              </w:rPr>
              <w:t>0,529</w:t>
            </w:r>
          </w:p>
        </w:tc>
        <w:tc>
          <w:tcPr>
            <w:tcW w:type="dxa" w:w="848"/>
          </w:tcPr>
          <w:p>
            <w:pPr>
              <w:spacing w:before="10" w:after="10"/>
              <w:jc w:val="center"/>
              <w:rPr>
                <w:sz w:val="15"/>
              </w:rPr>
            </w:pPr>
            <w:r>
              <w:rPr>
                <w:sz w:val="15"/>
              </w:rPr>
              <w:t>0,328</w:t>
            </w:r>
          </w:p>
        </w:tc>
        <w:tc>
          <w:tcPr>
            <w:tcW w:type="dxa" w:w="848"/>
          </w:tcPr>
          <w:p>
            <w:pPr>
              <w:spacing w:before="10" w:after="10"/>
              <w:jc w:val="center"/>
              <w:rPr>
                <w:sz w:val="15"/>
              </w:rPr>
            </w:pPr>
            <w:r>
              <w:rPr>
                <w:sz w:val="15"/>
              </w:rPr>
              <w:t>0,421</w:t>
            </w:r>
          </w:p>
        </w:tc>
        <w:tc>
          <w:tcPr>
            <w:tcW w:type="dxa" w:w="848"/>
          </w:tcPr>
          <w:p>
            <w:pPr>
              <w:spacing w:before="10" w:after="10"/>
              <w:jc w:val="center"/>
              <w:rPr>
                <w:sz w:val="15"/>
              </w:rPr>
            </w:pPr>
            <w:r>
              <w:rPr>
                <w:sz w:val="15"/>
              </w:rPr>
              <w:t>0,590</w:t>
            </w:r>
          </w:p>
        </w:tc>
      </w:tr>
      <w:tr>
        <w:tc>
          <w:tcPr>
            <w:tcW w:type="dxa" w:w="694"/>
          </w:tcPr>
          <w:p>
            <w:pPr>
              <w:spacing w:before="10" w:after="10"/>
              <w:jc w:val="left"/>
              <w:rPr>
                <w:sz w:val="15"/>
              </w:rPr>
            </w:pPr>
          </w:p>
        </w:tc>
        <w:tc>
          <w:tcPr>
            <w:tcW w:type="dxa" w:w="2235"/>
          </w:tcPr>
          <w:p>
            <w:pPr>
              <w:spacing w:before="10" w:after="10"/>
              <w:jc w:val="left"/>
              <w:rPr>
                <w:sz w:val="15"/>
              </w:rPr>
            </w:pPr>
            <w:r>
              <w:rPr>
                <w:sz w:val="15"/>
              </w:rPr>
              <w:t>Rastgele orman</w:t>
            </w:r>
          </w:p>
        </w:tc>
        <w:tc>
          <w:tcPr>
            <w:tcW w:type="dxa" w:w="956"/>
          </w:tcPr>
          <w:p>
            <w:pPr>
              <w:spacing w:before="10" w:after="10"/>
              <w:jc w:val="center"/>
              <w:rPr>
                <w:sz w:val="15"/>
              </w:rPr>
            </w:pPr>
            <w:r>
              <w:rPr>
                <w:sz w:val="15"/>
              </w:rPr>
              <w:t>0,665</w:t>
            </w:r>
          </w:p>
        </w:tc>
        <w:tc>
          <w:tcPr>
            <w:tcW w:type="dxa" w:w="956"/>
          </w:tcPr>
          <w:p>
            <w:pPr>
              <w:spacing w:before="10" w:after="10"/>
              <w:jc w:val="center"/>
              <w:rPr>
                <w:sz w:val="15"/>
              </w:rPr>
            </w:pPr>
            <w:r>
              <w:rPr>
                <w:sz w:val="15"/>
              </w:rPr>
              <w:t>0,993</w:t>
            </w:r>
          </w:p>
        </w:tc>
        <w:tc>
          <w:tcPr>
            <w:tcW w:type="dxa" w:w="956"/>
          </w:tcPr>
          <w:p>
            <w:pPr>
              <w:spacing w:before="10" w:after="10"/>
              <w:jc w:val="center"/>
              <w:rPr>
                <w:sz w:val="15"/>
              </w:rPr>
            </w:pPr>
            <w:r>
              <w:rPr>
                <w:sz w:val="15"/>
              </w:rPr>
              <w:t>0,0034</w:t>
            </w:r>
          </w:p>
        </w:tc>
        <w:tc>
          <w:tcPr>
            <w:tcW w:type="dxa" w:w="894"/>
          </w:tcPr>
          <w:p>
            <w:pPr>
              <w:spacing w:before="10" w:after="10"/>
              <w:jc w:val="center"/>
              <w:rPr>
                <w:sz w:val="15"/>
              </w:rPr>
            </w:pPr>
            <w:r>
              <w:rPr>
                <w:sz w:val="15"/>
              </w:rPr>
              <w:t>0,455</w:t>
            </w:r>
          </w:p>
        </w:tc>
        <w:tc>
          <w:tcPr>
            <w:tcW w:type="dxa" w:w="848"/>
          </w:tcPr>
          <w:p>
            <w:pPr>
              <w:spacing w:before="10" w:after="10"/>
              <w:jc w:val="center"/>
              <w:rPr>
                <w:sz w:val="15"/>
              </w:rPr>
            </w:pPr>
            <w:r>
              <w:rPr>
                <w:sz w:val="15"/>
              </w:rPr>
              <w:t>0,574</w:t>
            </w:r>
          </w:p>
        </w:tc>
        <w:tc>
          <w:tcPr>
            <w:tcW w:type="dxa" w:w="848"/>
          </w:tcPr>
          <w:p>
            <w:pPr>
              <w:spacing w:before="10" w:after="10"/>
              <w:jc w:val="center"/>
              <w:rPr>
                <w:sz w:val="15"/>
              </w:rPr>
            </w:pPr>
            <w:r>
              <w:rPr>
                <w:sz w:val="15"/>
              </w:rPr>
              <w:t>0,279</w:t>
            </w:r>
          </w:p>
        </w:tc>
        <w:tc>
          <w:tcPr>
            <w:tcW w:type="dxa" w:w="848"/>
          </w:tcPr>
          <w:p>
            <w:pPr>
              <w:spacing w:before="10" w:after="10"/>
              <w:jc w:val="center"/>
              <w:rPr>
                <w:sz w:val="15"/>
              </w:rPr>
            </w:pPr>
            <w:r>
              <w:rPr>
                <w:sz w:val="15"/>
              </w:rPr>
              <w:t>0,470</w:t>
            </w:r>
          </w:p>
        </w:tc>
        <w:tc>
          <w:tcPr>
            <w:tcW w:type="dxa" w:w="848"/>
          </w:tcPr>
          <w:p>
            <w:pPr>
              <w:spacing w:before="10" w:after="10"/>
              <w:jc w:val="center"/>
              <w:rPr>
                <w:sz w:val="15"/>
              </w:rPr>
            </w:pPr>
            <w:r>
              <w:rPr>
                <w:sz w:val="15"/>
              </w:rPr>
              <w:t>0,637</w:t>
            </w:r>
          </w:p>
        </w:tc>
      </w:tr>
      <w:tr>
        <w:tc>
          <w:tcPr>
            <w:tcW w:type="dxa" w:w="694"/>
          </w:tcPr>
          <w:p>
            <w:pPr>
              <w:spacing w:before="10" w:after="10"/>
              <w:jc w:val="left"/>
              <w:rPr>
                <w:sz w:val="15"/>
              </w:rPr>
            </w:pPr>
          </w:p>
        </w:tc>
        <w:tc>
          <w:tcPr>
            <w:tcW w:type="dxa" w:w="2235"/>
          </w:tcPr>
          <w:p>
            <w:pPr>
              <w:spacing w:before="10" w:after="10"/>
              <w:jc w:val="left"/>
              <w:rPr>
                <w:sz w:val="15"/>
              </w:rPr>
            </w:pPr>
            <w:r>
              <w:rPr>
                <w:sz w:val="15"/>
              </w:rPr>
              <w:t>XGBoost</w:t>
            </w:r>
          </w:p>
        </w:tc>
        <w:tc>
          <w:tcPr>
            <w:tcW w:type="dxa" w:w="956"/>
          </w:tcPr>
          <w:p>
            <w:pPr>
              <w:spacing w:before="10" w:after="10"/>
              <w:jc w:val="center"/>
              <w:rPr>
                <w:sz w:val="15"/>
              </w:rPr>
            </w:pPr>
            <w:r>
              <w:rPr>
                <w:sz w:val="15"/>
              </w:rPr>
              <w:t>0,657</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sz w:val="15"/>
              </w:rPr>
              <w:t>0,0034</w:t>
            </w:r>
          </w:p>
        </w:tc>
        <w:tc>
          <w:tcPr>
            <w:tcW w:type="dxa" w:w="894"/>
          </w:tcPr>
          <w:p>
            <w:pPr>
              <w:spacing w:before="10" w:after="10"/>
              <w:jc w:val="center"/>
              <w:rPr>
                <w:sz w:val="15"/>
              </w:rPr>
            </w:pPr>
            <w:r>
              <w:rPr>
                <w:sz w:val="15"/>
              </w:rPr>
              <w:t>0,455</w:t>
            </w:r>
          </w:p>
        </w:tc>
        <w:tc>
          <w:tcPr>
            <w:tcW w:type="dxa" w:w="848"/>
          </w:tcPr>
          <w:p>
            <w:pPr>
              <w:spacing w:before="10" w:after="10"/>
              <w:jc w:val="center"/>
              <w:rPr>
                <w:sz w:val="15"/>
              </w:rPr>
            </w:pPr>
            <w:r>
              <w:rPr>
                <w:sz w:val="15"/>
              </w:rPr>
              <w:t>0,531</w:t>
            </w:r>
          </w:p>
        </w:tc>
        <w:tc>
          <w:tcPr>
            <w:tcW w:type="dxa" w:w="848"/>
          </w:tcPr>
          <w:p>
            <w:pPr>
              <w:spacing w:before="10" w:after="10"/>
              <w:jc w:val="center"/>
              <w:rPr>
                <w:sz w:val="15"/>
              </w:rPr>
            </w:pPr>
            <w:r>
              <w:rPr>
                <w:b/>
                <w:sz w:val="15"/>
              </w:rPr>
              <w:t>0,245</w:t>
            </w:r>
          </w:p>
        </w:tc>
        <w:tc>
          <w:tcPr>
            <w:tcW w:type="dxa" w:w="848"/>
          </w:tcPr>
          <w:p>
            <w:pPr>
              <w:spacing w:before="10" w:after="10"/>
              <w:jc w:val="center"/>
              <w:rPr>
                <w:sz w:val="15"/>
              </w:rPr>
            </w:pPr>
            <w:r>
              <w:rPr>
                <w:sz w:val="15"/>
              </w:rPr>
              <w:t>0,453</w:t>
            </w:r>
          </w:p>
        </w:tc>
        <w:tc>
          <w:tcPr>
            <w:tcW w:type="dxa" w:w="848"/>
          </w:tcPr>
          <w:p>
            <w:pPr>
              <w:spacing w:before="10" w:after="10"/>
              <w:jc w:val="center"/>
              <w:rPr>
                <w:sz w:val="15"/>
              </w:rPr>
            </w:pPr>
            <w:r>
              <w:rPr>
                <w:sz w:val="15"/>
              </w:rPr>
              <w:t>0,622</w:t>
            </w:r>
          </w:p>
        </w:tc>
      </w:tr>
      <w:tr>
        <w:tc>
          <w:tcPr>
            <w:tcW w:type="dxa" w:w="694"/>
          </w:tcPr>
          <w:p>
            <w:pPr>
              <w:spacing w:before="10" w:after="10"/>
              <w:jc w:val="left"/>
              <w:rPr>
                <w:sz w:val="15"/>
              </w:rPr>
            </w:pPr>
          </w:p>
        </w:tc>
        <w:tc>
          <w:tcPr>
            <w:tcW w:type="dxa" w:w="2235"/>
          </w:tcPr>
          <w:p>
            <w:pPr>
              <w:spacing w:before="10" w:after="10"/>
              <w:jc w:val="left"/>
              <w:rPr>
                <w:sz w:val="15"/>
              </w:rPr>
            </w:pPr>
            <w:r>
              <w:rPr>
                <w:sz w:val="15"/>
              </w:rPr>
              <w:t>LightGBM</w:t>
            </w:r>
          </w:p>
        </w:tc>
        <w:tc>
          <w:tcPr>
            <w:tcW w:type="dxa" w:w="956"/>
          </w:tcPr>
          <w:p>
            <w:pPr>
              <w:spacing w:before="10" w:after="10"/>
              <w:jc w:val="center"/>
              <w:rPr>
                <w:sz w:val="15"/>
              </w:rPr>
            </w:pPr>
            <w:r>
              <w:rPr>
                <w:sz w:val="15"/>
              </w:rPr>
              <w:t>0,657</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sz w:val="15"/>
              </w:rPr>
              <w:t>0,0034</w:t>
            </w:r>
          </w:p>
        </w:tc>
        <w:tc>
          <w:tcPr>
            <w:tcW w:type="dxa" w:w="894"/>
          </w:tcPr>
          <w:p>
            <w:pPr>
              <w:spacing w:before="10" w:after="10"/>
              <w:jc w:val="center"/>
              <w:rPr>
                <w:sz w:val="15"/>
              </w:rPr>
            </w:pPr>
            <w:r>
              <w:rPr>
                <w:sz w:val="15"/>
              </w:rPr>
              <w:t>0,455</w:t>
            </w:r>
          </w:p>
        </w:tc>
        <w:tc>
          <w:tcPr>
            <w:tcW w:type="dxa" w:w="848"/>
          </w:tcPr>
          <w:p>
            <w:pPr>
              <w:spacing w:before="10" w:after="10"/>
              <w:jc w:val="center"/>
              <w:rPr>
                <w:sz w:val="15"/>
              </w:rPr>
            </w:pPr>
            <w:r>
              <w:rPr>
                <w:sz w:val="15"/>
              </w:rPr>
              <w:t>0,585</w:t>
            </w:r>
          </w:p>
        </w:tc>
        <w:tc>
          <w:tcPr>
            <w:tcW w:type="dxa" w:w="848"/>
          </w:tcPr>
          <w:p>
            <w:pPr>
              <w:spacing w:before="10" w:after="10"/>
              <w:jc w:val="center"/>
              <w:rPr>
                <w:sz w:val="15"/>
              </w:rPr>
            </w:pPr>
            <w:r>
              <w:rPr>
                <w:sz w:val="15"/>
              </w:rPr>
              <w:t>0,302</w:t>
            </w:r>
          </w:p>
        </w:tc>
        <w:tc>
          <w:tcPr>
            <w:tcW w:type="dxa" w:w="848"/>
          </w:tcPr>
          <w:p>
            <w:pPr>
              <w:spacing w:before="10" w:after="10"/>
              <w:jc w:val="center"/>
              <w:rPr>
                <w:sz w:val="15"/>
              </w:rPr>
            </w:pPr>
            <w:r>
              <w:rPr>
                <w:sz w:val="15"/>
              </w:rPr>
              <w:t>0,467</w:t>
            </w:r>
          </w:p>
        </w:tc>
        <w:tc>
          <w:tcPr>
            <w:tcW w:type="dxa" w:w="848"/>
          </w:tcPr>
          <w:p>
            <w:pPr>
              <w:spacing w:before="10" w:after="10"/>
              <w:jc w:val="center"/>
              <w:rPr>
                <w:sz w:val="15"/>
              </w:rPr>
            </w:pPr>
            <w:r>
              <w:rPr>
                <w:sz w:val="15"/>
              </w:rPr>
              <w:t>0,634</w:t>
            </w:r>
          </w:p>
        </w:tc>
      </w:tr>
      <w:tr>
        <w:tc>
          <w:tcPr>
            <w:tcW w:type="dxa" w:w="694"/>
          </w:tcPr>
          <w:p>
            <w:pPr>
              <w:spacing w:before="10" w:after="10"/>
              <w:jc w:val="left"/>
              <w:rPr>
                <w:sz w:val="15"/>
              </w:rPr>
            </w:pPr>
          </w:p>
        </w:tc>
        <w:tc>
          <w:tcPr>
            <w:tcW w:type="dxa" w:w="2235"/>
          </w:tcPr>
          <w:p>
            <w:pPr>
              <w:spacing w:before="10" w:after="10"/>
              <w:jc w:val="left"/>
              <w:rPr>
                <w:sz w:val="15"/>
              </w:rPr>
            </w:pPr>
            <w:r>
              <w:rPr>
                <w:sz w:val="15"/>
              </w:rPr>
              <w:t>GRU</w:t>
            </w:r>
          </w:p>
        </w:tc>
        <w:tc>
          <w:tcPr>
            <w:tcW w:type="dxa" w:w="956"/>
          </w:tcPr>
          <w:p>
            <w:pPr>
              <w:spacing w:before="10" w:after="10"/>
              <w:jc w:val="center"/>
              <w:rPr>
                <w:sz w:val="15"/>
              </w:rPr>
            </w:pPr>
            <w:r>
              <w:rPr>
                <w:b/>
                <w:sz w:val="15"/>
              </w:rPr>
              <w:t>0,685</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b/>
                <w:sz w:val="15"/>
              </w:rPr>
              <w:t>0,0033</w:t>
            </w:r>
          </w:p>
        </w:tc>
        <w:tc>
          <w:tcPr>
            <w:tcW w:type="dxa" w:w="894"/>
          </w:tcPr>
          <w:p>
            <w:pPr>
              <w:spacing w:before="10" w:after="10"/>
              <w:jc w:val="center"/>
              <w:rPr>
                <w:sz w:val="15"/>
              </w:rPr>
            </w:pPr>
            <w:r>
              <w:rPr>
                <w:sz w:val="15"/>
              </w:rPr>
              <w:t>0,462</w:t>
            </w:r>
          </w:p>
        </w:tc>
        <w:tc>
          <w:tcPr>
            <w:tcW w:type="dxa" w:w="848"/>
          </w:tcPr>
          <w:p>
            <w:pPr>
              <w:spacing w:before="10" w:after="10"/>
              <w:jc w:val="center"/>
              <w:rPr>
                <w:sz w:val="15"/>
              </w:rPr>
            </w:pPr>
            <w:r>
              <w:rPr>
                <w:sz w:val="15"/>
              </w:rPr>
              <w:t>0,543</w:t>
            </w:r>
          </w:p>
        </w:tc>
        <w:tc>
          <w:tcPr>
            <w:tcW w:type="dxa" w:w="848"/>
          </w:tcPr>
          <w:p>
            <w:pPr>
              <w:spacing w:before="10" w:after="10"/>
              <w:jc w:val="center"/>
              <w:rPr>
                <w:sz w:val="15"/>
              </w:rPr>
            </w:pPr>
            <w:r>
              <w:rPr>
                <w:sz w:val="15"/>
              </w:rPr>
              <w:t>0,255</w:t>
            </w:r>
          </w:p>
        </w:tc>
        <w:tc>
          <w:tcPr>
            <w:tcW w:type="dxa" w:w="848"/>
          </w:tcPr>
          <w:p>
            <w:pPr>
              <w:spacing w:before="10" w:after="10"/>
              <w:jc w:val="center"/>
              <w:rPr>
                <w:sz w:val="15"/>
              </w:rPr>
            </w:pPr>
            <w:r>
              <w:rPr>
                <w:sz w:val="15"/>
              </w:rPr>
              <w:t>0,457</w:t>
            </w:r>
          </w:p>
        </w:tc>
        <w:tc>
          <w:tcPr>
            <w:tcW w:type="dxa" w:w="848"/>
          </w:tcPr>
          <w:p>
            <w:pPr>
              <w:spacing w:before="10" w:after="10"/>
              <w:jc w:val="center"/>
              <w:rPr>
                <w:sz w:val="15"/>
              </w:rPr>
            </w:pPr>
            <w:r>
              <w:rPr>
                <w:sz w:val="15"/>
              </w:rPr>
              <w:t>0,626</w:t>
            </w:r>
          </w:p>
        </w:tc>
      </w:tr>
      <w:tr>
        <w:tc>
          <w:tcPr>
            <w:tcW w:type="dxa" w:w="694"/>
          </w:tcPr>
          <w:p>
            <w:pPr>
              <w:spacing w:before="10" w:after="10"/>
              <w:jc w:val="left"/>
              <w:rPr>
                <w:sz w:val="15"/>
              </w:rPr>
            </w:pPr>
          </w:p>
        </w:tc>
        <w:tc>
          <w:tcPr>
            <w:tcW w:type="dxa" w:w="2235"/>
          </w:tcPr>
          <w:p>
            <w:pPr>
              <w:spacing w:before="10" w:after="10"/>
              <w:jc w:val="left"/>
              <w:rPr>
                <w:sz w:val="15"/>
              </w:rPr>
            </w:pPr>
            <w:r>
              <w:rPr>
                <w:sz w:val="15"/>
              </w:rPr>
              <w:t>LSTM</w:t>
            </w:r>
          </w:p>
        </w:tc>
        <w:tc>
          <w:tcPr>
            <w:tcW w:type="dxa" w:w="956"/>
          </w:tcPr>
          <w:p>
            <w:pPr>
              <w:spacing w:before="10" w:after="10"/>
              <w:jc w:val="center"/>
              <w:rPr>
                <w:sz w:val="15"/>
              </w:rPr>
            </w:pPr>
            <w:r>
              <w:rPr>
                <w:sz w:val="15"/>
              </w:rPr>
              <w:t>0,673</w:t>
            </w:r>
          </w:p>
        </w:tc>
        <w:tc>
          <w:tcPr>
            <w:tcW w:type="dxa" w:w="956"/>
          </w:tcPr>
          <w:p>
            <w:pPr>
              <w:spacing w:before="10" w:after="10"/>
              <w:jc w:val="center"/>
              <w:rPr>
                <w:sz w:val="15"/>
              </w:rPr>
            </w:pPr>
            <w:r>
              <w:rPr>
                <w:b/>
                <w:sz w:val="15"/>
              </w:rPr>
              <w:t>0,994</w:t>
            </w:r>
          </w:p>
        </w:tc>
        <w:tc>
          <w:tcPr>
            <w:tcW w:type="dxa" w:w="956"/>
          </w:tcPr>
          <w:p>
            <w:pPr>
              <w:spacing w:before="10" w:after="10"/>
              <w:jc w:val="center"/>
              <w:rPr>
                <w:sz w:val="15"/>
              </w:rPr>
            </w:pPr>
            <w:r>
              <w:rPr>
                <w:b/>
                <w:sz w:val="15"/>
              </w:rPr>
              <w:t>0,0033</w:t>
            </w:r>
          </w:p>
        </w:tc>
        <w:tc>
          <w:tcPr>
            <w:tcW w:type="dxa" w:w="894"/>
          </w:tcPr>
          <w:p>
            <w:pPr>
              <w:spacing w:before="10" w:after="10"/>
              <w:jc w:val="center"/>
              <w:rPr>
                <w:sz w:val="15"/>
              </w:rPr>
            </w:pPr>
            <w:r>
              <w:rPr>
                <w:b/>
                <w:sz w:val="15"/>
              </w:rPr>
              <w:t>0,463</w:t>
            </w:r>
          </w:p>
        </w:tc>
        <w:tc>
          <w:tcPr>
            <w:tcW w:type="dxa" w:w="848"/>
          </w:tcPr>
          <w:p>
            <w:pPr>
              <w:spacing w:before="10" w:after="10"/>
              <w:jc w:val="center"/>
              <w:rPr>
                <w:sz w:val="15"/>
              </w:rPr>
            </w:pPr>
            <w:r>
              <w:rPr>
                <w:b/>
                <w:sz w:val="15"/>
              </w:rPr>
              <w:t>0,612</w:t>
            </w:r>
          </w:p>
        </w:tc>
        <w:tc>
          <w:tcPr>
            <w:tcW w:type="dxa" w:w="848"/>
          </w:tcPr>
          <w:p>
            <w:pPr>
              <w:spacing w:before="10" w:after="10"/>
              <w:jc w:val="center"/>
              <w:rPr>
                <w:sz w:val="15"/>
              </w:rPr>
            </w:pPr>
            <w:r>
              <w:rPr>
                <w:sz w:val="15"/>
              </w:rPr>
              <w:t>0,328</w:t>
            </w:r>
          </w:p>
        </w:tc>
        <w:tc>
          <w:tcPr>
            <w:tcW w:type="dxa" w:w="848"/>
          </w:tcPr>
          <w:p>
            <w:pPr>
              <w:spacing w:before="10" w:after="10"/>
              <w:jc w:val="center"/>
              <w:rPr>
                <w:sz w:val="15"/>
              </w:rPr>
            </w:pPr>
            <w:r>
              <w:rPr>
                <w:b/>
                <w:sz w:val="15"/>
              </w:rPr>
              <w:t>0,472</w:t>
            </w:r>
          </w:p>
        </w:tc>
        <w:tc>
          <w:tcPr>
            <w:tcW w:type="dxa" w:w="848"/>
          </w:tcPr>
          <w:p>
            <w:pPr>
              <w:spacing w:before="10" w:after="10"/>
              <w:jc w:val="center"/>
              <w:rPr>
                <w:sz w:val="15"/>
              </w:rPr>
            </w:pPr>
            <w:r>
              <w:rPr>
                <w:b/>
                <w:sz w:val="15"/>
              </w:rPr>
              <w:t>0,639</w:t>
            </w:r>
          </w:p>
        </w:tc>
      </w:tr>
      <w:tr>
        <w:tc>
          <w:tcPr>
            <w:tcW w:type="dxa" w:w="694"/>
            <w:tcBorders>
              <w:bottom w:val="single" w:sz="4" w:color="000000"/>
            </w:tcBorders>
          </w:tcPr>
          <w:p>
            <w:pPr>
              <w:spacing w:before="10" w:after="10"/>
              <w:jc w:val="left"/>
              <w:rPr>
                <w:sz w:val="15"/>
              </w:rPr>
            </w:pPr>
          </w:p>
        </w:tc>
        <w:tc>
          <w:tcPr>
            <w:tcW w:type="dxa" w:w="2235"/>
            <w:tcBorders>
              <w:bottom w:val="single" w:sz="4" w:color="000000"/>
            </w:tcBorders>
          </w:tcPr>
          <w:p>
            <w:pPr>
              <w:spacing w:before="10" w:after="10"/>
              <w:jc w:val="left"/>
              <w:rPr>
                <w:sz w:val="15"/>
              </w:rPr>
            </w:pPr>
            <w:r>
              <w:rPr>
                <w:sz w:val="15"/>
              </w:rPr>
              <w:t>Kalıcılık</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w:t>
            </w:r>
          </w:p>
        </w:tc>
        <w:tc>
          <w:tcPr>
            <w:tcW w:type="dxa" w:w="956"/>
            <w:tcBorders>
              <w:bottom w:val="single" w:sz="4" w:color="000000"/>
            </w:tcBorders>
          </w:tcPr>
          <w:p>
            <w:pPr>
              <w:spacing w:before="10" w:after="10"/>
              <w:jc w:val="center"/>
              <w:rPr>
                <w:sz w:val="15"/>
              </w:rPr>
            </w:pPr>
            <w:r>
              <w:rPr>
                <w:sz w:val="15"/>
              </w:rPr>
              <w:t>0,0065</w:t>
            </w:r>
          </w:p>
        </w:tc>
        <w:tc>
          <w:tcPr>
            <w:tcW w:type="dxa" w:w="894"/>
            <w:tcBorders>
              <w:bottom w:val="single" w:sz="4" w:color="000000"/>
            </w:tcBorders>
          </w:tcPr>
          <w:p>
            <w:pPr>
              <w:spacing w:before="10" w:after="10"/>
              <w:jc w:val="center"/>
              <w:rPr>
                <w:sz w:val="15"/>
              </w:rPr>
            </w:pPr>
            <w:r>
              <w:rPr>
                <w:sz w:val="15"/>
              </w:rPr>
              <w:t>-0,063</w:t>
            </w:r>
          </w:p>
        </w:tc>
        <w:tc>
          <w:tcPr>
            <w:tcW w:type="dxa" w:w="848"/>
            <w:tcBorders>
              <w:bottom w:val="single" w:sz="4" w:color="000000"/>
            </w:tcBorders>
          </w:tcPr>
          <w:p>
            <w:pPr>
              <w:spacing w:before="10" w:after="10"/>
              <w:jc w:val="center"/>
              <w:rPr>
                <w:sz w:val="15"/>
              </w:rPr>
            </w:pPr>
            <w:r>
              <w:rPr>
                <w:sz w:val="15"/>
              </w:rPr>
              <w:t>0,487</w:t>
            </w:r>
          </w:p>
        </w:tc>
        <w:tc>
          <w:tcPr>
            <w:tcW w:type="dxa" w:w="848"/>
            <w:tcBorders>
              <w:bottom w:val="single" w:sz="4" w:color="000000"/>
            </w:tcBorders>
          </w:tcPr>
          <w:p>
            <w:pPr>
              <w:spacing w:before="10" w:after="10"/>
              <w:jc w:val="center"/>
              <w:rPr>
                <w:sz w:val="15"/>
              </w:rPr>
            </w:pPr>
            <w:r>
              <w:rPr>
                <w:sz w:val="15"/>
              </w:rPr>
              <w:t>0,513</w:t>
            </w:r>
          </w:p>
        </w:tc>
        <w:tc>
          <w:tcPr>
            <w:tcW w:type="dxa" w:w="848"/>
            <w:tcBorders>
              <w:bottom w:val="single" w:sz="4" w:color="000000"/>
            </w:tcBorders>
          </w:tcPr>
          <w:p>
            <w:pPr>
              <w:spacing w:before="10" w:after="10"/>
              <w:jc w:val="center"/>
              <w:rPr>
                <w:sz w:val="15"/>
              </w:rPr>
            </w:pPr>
            <w:r>
              <w:rPr>
                <w:sz w:val="15"/>
              </w:rPr>
              <w:t>0,321</w:t>
            </w:r>
          </w:p>
        </w:tc>
        <w:tc>
          <w:tcPr>
            <w:tcW w:type="dxa" w:w="848"/>
            <w:tcBorders>
              <w:bottom w:val="single" w:sz="4" w:color="000000"/>
            </w:tcBorders>
          </w:tcPr>
          <w:p>
            <w:pPr>
              <w:spacing w:before="10" w:after="10"/>
              <w:jc w:val="center"/>
              <w:rPr>
                <w:sz w:val="15"/>
              </w:rPr>
            </w:pPr>
            <w:r>
              <w:rPr>
                <w:sz w:val="15"/>
              </w:rPr>
              <w:t>0,483</w:t>
            </w:r>
          </w:p>
        </w:tc>
      </w:tr>
      <w:tr>
        <w:tc>
          <w:tcPr>
            <w:tcW w:type="dxa" w:w="694"/>
          </w:tcPr>
          <w:p>
            <w:pPr>
              <w:spacing w:before="10" w:after="10"/>
              <w:jc w:val="left"/>
              <w:rPr>
                <w:sz w:val="15"/>
              </w:rPr>
            </w:pPr>
            <w:r>
              <w:rPr>
                <w:sz w:val="15"/>
              </w:rPr>
              <w:t>6 sa</w:t>
            </w:r>
          </w:p>
        </w:tc>
        <w:tc>
          <w:tcPr>
            <w:tcW w:type="dxa" w:w="2235"/>
          </w:tcPr>
          <w:p>
            <w:pPr>
              <w:spacing w:before="10" w:after="10"/>
              <w:jc w:val="left"/>
              <w:rPr>
                <w:sz w:val="15"/>
              </w:rPr>
            </w:pPr>
            <w:r>
              <w:rPr>
                <w:sz w:val="15"/>
              </w:rPr>
              <w:t>Lojistik regresyon</w:t>
            </w:r>
          </w:p>
        </w:tc>
        <w:tc>
          <w:tcPr>
            <w:tcW w:type="dxa" w:w="956"/>
          </w:tcPr>
          <w:p>
            <w:pPr>
              <w:spacing w:before="10" w:after="10"/>
              <w:jc w:val="center"/>
              <w:rPr>
                <w:sz w:val="15"/>
              </w:rPr>
            </w:pPr>
            <w:r>
              <w:rPr>
                <w:sz w:val="15"/>
              </w:rPr>
              <w:t>0,453</w:t>
            </w:r>
          </w:p>
        </w:tc>
        <w:tc>
          <w:tcPr>
            <w:tcW w:type="dxa" w:w="956"/>
          </w:tcPr>
          <w:p>
            <w:pPr>
              <w:spacing w:before="10" w:after="10"/>
              <w:jc w:val="center"/>
              <w:rPr>
                <w:sz w:val="15"/>
              </w:rPr>
            </w:pPr>
            <w:r>
              <w:rPr>
                <w:sz w:val="15"/>
              </w:rPr>
              <w:t>0,987</w:t>
            </w:r>
          </w:p>
        </w:tc>
        <w:tc>
          <w:tcPr>
            <w:tcW w:type="dxa" w:w="956"/>
          </w:tcPr>
          <w:p>
            <w:pPr>
              <w:spacing w:before="10" w:after="10"/>
              <w:jc w:val="center"/>
              <w:rPr>
                <w:sz w:val="15"/>
              </w:rPr>
            </w:pPr>
            <w:r>
              <w:rPr>
                <w:sz w:val="15"/>
              </w:rPr>
              <w:t>0,0045</w:t>
            </w:r>
          </w:p>
        </w:tc>
        <w:tc>
          <w:tcPr>
            <w:tcW w:type="dxa" w:w="894"/>
          </w:tcPr>
          <w:p>
            <w:pPr>
              <w:spacing w:before="10" w:after="10"/>
              <w:jc w:val="center"/>
              <w:rPr>
                <w:sz w:val="15"/>
              </w:rPr>
            </w:pPr>
            <w:r>
              <w:rPr>
                <w:sz w:val="15"/>
              </w:rPr>
              <w:t>0,264</w:t>
            </w:r>
          </w:p>
        </w:tc>
        <w:tc>
          <w:tcPr>
            <w:tcW w:type="dxa" w:w="848"/>
          </w:tcPr>
          <w:p>
            <w:pPr>
              <w:spacing w:before="10" w:after="10"/>
              <w:jc w:val="center"/>
              <w:rPr>
                <w:sz w:val="15"/>
              </w:rPr>
            </w:pPr>
            <w:r>
              <w:rPr>
                <w:sz w:val="15"/>
              </w:rPr>
              <w:t>0,496</w:t>
            </w:r>
          </w:p>
        </w:tc>
        <w:tc>
          <w:tcPr>
            <w:tcW w:type="dxa" w:w="848"/>
          </w:tcPr>
          <w:p>
            <w:pPr>
              <w:spacing w:before="10" w:after="10"/>
              <w:jc w:val="center"/>
              <w:rPr>
                <w:sz w:val="15"/>
              </w:rPr>
            </w:pPr>
            <w:r>
              <w:rPr>
                <w:sz w:val="15"/>
              </w:rPr>
              <w:t>0,584</w:t>
            </w:r>
          </w:p>
        </w:tc>
        <w:tc>
          <w:tcPr>
            <w:tcW w:type="dxa" w:w="848"/>
          </w:tcPr>
          <w:p>
            <w:pPr>
              <w:spacing w:before="10" w:after="10"/>
              <w:jc w:val="center"/>
              <w:rPr>
                <w:sz w:val="15"/>
              </w:rPr>
            </w:pPr>
            <w:r>
              <w:rPr>
                <w:sz w:val="15"/>
              </w:rPr>
              <w:t>0,292</w:t>
            </w:r>
          </w:p>
        </w:tc>
        <w:tc>
          <w:tcPr>
            <w:tcW w:type="dxa" w:w="848"/>
          </w:tcPr>
          <w:p>
            <w:pPr>
              <w:spacing w:before="10" w:after="10"/>
              <w:jc w:val="center"/>
              <w:rPr>
                <w:sz w:val="15"/>
              </w:rPr>
            </w:pPr>
            <w:r>
              <w:rPr>
                <w:sz w:val="15"/>
              </w:rPr>
              <w:t>0,449</w:t>
            </w:r>
          </w:p>
        </w:tc>
      </w:tr>
      <w:tr>
        <w:tc>
          <w:tcPr>
            <w:tcW w:type="dxa" w:w="694"/>
          </w:tcPr>
          <w:p>
            <w:pPr>
              <w:spacing w:before="10" w:after="10"/>
              <w:jc w:val="left"/>
              <w:rPr>
                <w:sz w:val="15"/>
              </w:rPr>
            </w:pPr>
          </w:p>
        </w:tc>
        <w:tc>
          <w:tcPr>
            <w:tcW w:type="dxa" w:w="2235"/>
          </w:tcPr>
          <w:p>
            <w:pPr>
              <w:spacing w:before="10" w:after="10"/>
              <w:jc w:val="left"/>
              <w:rPr>
                <w:sz w:val="15"/>
              </w:rPr>
            </w:pPr>
            <w:r>
              <w:rPr>
                <w:sz w:val="15"/>
              </w:rPr>
              <w:t>Rastgele orman</w:t>
            </w:r>
          </w:p>
        </w:tc>
        <w:tc>
          <w:tcPr>
            <w:tcW w:type="dxa" w:w="956"/>
          </w:tcPr>
          <w:p>
            <w:pPr>
              <w:spacing w:before="10" w:after="10"/>
              <w:jc w:val="center"/>
              <w:rPr>
                <w:sz w:val="15"/>
              </w:rPr>
            </w:pPr>
            <w:r>
              <w:rPr>
                <w:sz w:val="15"/>
              </w:rPr>
              <w:t>0,470</w:t>
            </w:r>
          </w:p>
        </w:tc>
        <w:tc>
          <w:tcPr>
            <w:tcW w:type="dxa" w:w="956"/>
          </w:tcPr>
          <w:p>
            <w:pPr>
              <w:spacing w:before="10" w:after="10"/>
              <w:jc w:val="center"/>
              <w:rPr>
                <w:sz w:val="15"/>
              </w:rPr>
            </w:pPr>
            <w:r>
              <w:rPr>
                <w:sz w:val="15"/>
              </w:rPr>
              <w:t>0,987</w:t>
            </w:r>
          </w:p>
        </w:tc>
        <w:tc>
          <w:tcPr>
            <w:tcW w:type="dxa" w:w="956"/>
          </w:tcPr>
          <w:p>
            <w:pPr>
              <w:spacing w:before="10" w:after="10"/>
              <w:jc w:val="center"/>
              <w:rPr>
                <w:sz w:val="15"/>
              </w:rPr>
            </w:pPr>
            <w:r>
              <w:rPr>
                <w:sz w:val="15"/>
              </w:rPr>
              <w:t>0,0044</w:t>
            </w:r>
          </w:p>
        </w:tc>
        <w:tc>
          <w:tcPr>
            <w:tcW w:type="dxa" w:w="894"/>
          </w:tcPr>
          <w:p>
            <w:pPr>
              <w:spacing w:before="10" w:after="10"/>
              <w:jc w:val="center"/>
              <w:rPr>
                <w:sz w:val="15"/>
              </w:rPr>
            </w:pPr>
            <w:r>
              <w:rPr>
                <w:sz w:val="15"/>
              </w:rPr>
              <w:t>0,277</w:t>
            </w:r>
          </w:p>
        </w:tc>
        <w:tc>
          <w:tcPr>
            <w:tcW w:type="dxa" w:w="848"/>
          </w:tcPr>
          <w:p>
            <w:pPr>
              <w:spacing w:before="10" w:after="10"/>
              <w:jc w:val="center"/>
              <w:rPr>
                <w:sz w:val="15"/>
              </w:rPr>
            </w:pPr>
            <w:r>
              <w:rPr>
                <w:sz w:val="15"/>
              </w:rPr>
              <w:t>0,480</w:t>
            </w:r>
          </w:p>
        </w:tc>
        <w:tc>
          <w:tcPr>
            <w:tcW w:type="dxa" w:w="848"/>
          </w:tcPr>
          <w:p>
            <w:pPr>
              <w:spacing w:before="10" w:after="10"/>
              <w:jc w:val="center"/>
              <w:rPr>
                <w:sz w:val="15"/>
              </w:rPr>
            </w:pPr>
            <w:r>
              <w:rPr>
                <w:sz w:val="15"/>
              </w:rPr>
              <w:t>0,536</w:t>
            </w:r>
          </w:p>
        </w:tc>
        <w:tc>
          <w:tcPr>
            <w:tcW w:type="dxa" w:w="848"/>
          </w:tcPr>
          <w:p>
            <w:pPr>
              <w:spacing w:before="10" w:after="10"/>
              <w:jc w:val="center"/>
              <w:rPr>
                <w:sz w:val="15"/>
              </w:rPr>
            </w:pPr>
            <w:r>
              <w:rPr>
                <w:sz w:val="15"/>
              </w:rPr>
              <w:t>0,309</w:t>
            </w:r>
          </w:p>
        </w:tc>
        <w:tc>
          <w:tcPr>
            <w:tcW w:type="dxa" w:w="848"/>
          </w:tcPr>
          <w:p>
            <w:pPr>
              <w:spacing w:before="10" w:after="10"/>
              <w:jc w:val="center"/>
              <w:rPr>
                <w:sz w:val="15"/>
              </w:rPr>
            </w:pPr>
            <w:r>
              <w:rPr>
                <w:sz w:val="15"/>
              </w:rPr>
              <w:t>0,468</w:t>
            </w:r>
          </w:p>
        </w:tc>
      </w:tr>
      <w:tr>
        <w:tc>
          <w:tcPr>
            <w:tcW w:type="dxa" w:w="694"/>
          </w:tcPr>
          <w:p>
            <w:pPr>
              <w:spacing w:before="10" w:after="10"/>
              <w:jc w:val="left"/>
              <w:rPr>
                <w:sz w:val="15"/>
              </w:rPr>
            </w:pPr>
          </w:p>
        </w:tc>
        <w:tc>
          <w:tcPr>
            <w:tcW w:type="dxa" w:w="2235"/>
          </w:tcPr>
          <w:p>
            <w:pPr>
              <w:spacing w:before="10" w:after="10"/>
              <w:jc w:val="left"/>
              <w:rPr>
                <w:sz w:val="15"/>
              </w:rPr>
            </w:pPr>
            <w:r>
              <w:rPr>
                <w:sz w:val="15"/>
              </w:rPr>
              <w:t>XGBoost</w:t>
            </w:r>
          </w:p>
        </w:tc>
        <w:tc>
          <w:tcPr>
            <w:tcW w:type="dxa" w:w="956"/>
          </w:tcPr>
          <w:p>
            <w:pPr>
              <w:spacing w:before="10" w:after="10"/>
              <w:jc w:val="center"/>
              <w:rPr>
                <w:sz w:val="15"/>
              </w:rPr>
            </w:pPr>
            <w:r>
              <w:rPr>
                <w:sz w:val="15"/>
              </w:rPr>
              <w:t>0,471</w:t>
            </w:r>
          </w:p>
        </w:tc>
        <w:tc>
          <w:tcPr>
            <w:tcW w:type="dxa" w:w="956"/>
          </w:tcPr>
          <w:p>
            <w:pPr>
              <w:spacing w:before="10" w:after="10"/>
              <w:jc w:val="center"/>
              <w:rPr>
                <w:sz w:val="15"/>
              </w:rPr>
            </w:pPr>
            <w:r>
              <w:rPr>
                <w:b/>
                <w:sz w:val="15"/>
              </w:rPr>
              <w:t>0,989</w:t>
            </w:r>
          </w:p>
        </w:tc>
        <w:tc>
          <w:tcPr>
            <w:tcW w:type="dxa" w:w="956"/>
          </w:tcPr>
          <w:p>
            <w:pPr>
              <w:spacing w:before="10" w:after="10"/>
              <w:jc w:val="center"/>
              <w:rPr>
                <w:sz w:val="15"/>
              </w:rPr>
            </w:pPr>
            <w:r>
              <w:rPr>
                <w:sz w:val="15"/>
              </w:rPr>
              <w:t>0,0044</w:t>
            </w:r>
          </w:p>
        </w:tc>
        <w:tc>
          <w:tcPr>
            <w:tcW w:type="dxa" w:w="894"/>
          </w:tcPr>
          <w:p>
            <w:pPr>
              <w:spacing w:before="10" w:after="10"/>
              <w:jc w:val="center"/>
              <w:rPr>
                <w:sz w:val="15"/>
              </w:rPr>
            </w:pPr>
            <w:r>
              <w:rPr>
                <w:sz w:val="15"/>
              </w:rPr>
              <w:t>0,281</w:t>
            </w:r>
          </w:p>
        </w:tc>
        <w:tc>
          <w:tcPr>
            <w:tcW w:type="dxa" w:w="848"/>
          </w:tcPr>
          <w:p>
            <w:pPr>
              <w:spacing w:before="10" w:after="10"/>
              <w:jc w:val="center"/>
              <w:rPr>
                <w:sz w:val="15"/>
              </w:rPr>
            </w:pPr>
            <w:r>
              <w:rPr>
                <w:sz w:val="15"/>
              </w:rPr>
              <w:t>0,473</w:t>
            </w:r>
          </w:p>
        </w:tc>
        <w:tc>
          <w:tcPr>
            <w:tcW w:type="dxa" w:w="848"/>
          </w:tcPr>
          <w:p>
            <w:pPr>
              <w:spacing w:before="10" w:after="10"/>
              <w:jc w:val="center"/>
              <w:rPr>
                <w:sz w:val="15"/>
              </w:rPr>
            </w:pPr>
            <w:r>
              <w:rPr>
                <w:sz w:val="15"/>
              </w:rPr>
              <w:t>0,530</w:t>
            </w:r>
          </w:p>
        </w:tc>
        <w:tc>
          <w:tcPr>
            <w:tcW w:type="dxa" w:w="848"/>
          </w:tcPr>
          <w:p>
            <w:pPr>
              <w:spacing w:before="10" w:after="10"/>
              <w:jc w:val="center"/>
              <w:rPr>
                <w:sz w:val="15"/>
              </w:rPr>
            </w:pPr>
            <w:r>
              <w:rPr>
                <w:sz w:val="15"/>
              </w:rPr>
              <w:t>0,308</w:t>
            </w:r>
          </w:p>
        </w:tc>
        <w:tc>
          <w:tcPr>
            <w:tcW w:type="dxa" w:w="848"/>
          </w:tcPr>
          <w:p>
            <w:pPr>
              <w:spacing w:before="10" w:after="10"/>
              <w:jc w:val="center"/>
              <w:rPr>
                <w:sz w:val="15"/>
              </w:rPr>
            </w:pPr>
            <w:r>
              <w:rPr>
                <w:sz w:val="15"/>
              </w:rPr>
              <w:t>0,468</w:t>
            </w:r>
          </w:p>
        </w:tc>
      </w:tr>
      <w:tr>
        <w:tc>
          <w:tcPr>
            <w:tcW w:type="dxa" w:w="694"/>
          </w:tcPr>
          <w:p>
            <w:pPr>
              <w:spacing w:before="10" w:after="10"/>
              <w:jc w:val="left"/>
              <w:rPr>
                <w:sz w:val="15"/>
              </w:rPr>
            </w:pPr>
          </w:p>
        </w:tc>
        <w:tc>
          <w:tcPr>
            <w:tcW w:type="dxa" w:w="2235"/>
          </w:tcPr>
          <w:p>
            <w:pPr>
              <w:spacing w:before="10" w:after="10"/>
              <w:jc w:val="left"/>
              <w:rPr>
                <w:sz w:val="15"/>
              </w:rPr>
            </w:pPr>
            <w:r>
              <w:rPr>
                <w:sz w:val="15"/>
              </w:rPr>
              <w:t>LightGBM</w:t>
            </w:r>
          </w:p>
        </w:tc>
        <w:tc>
          <w:tcPr>
            <w:tcW w:type="dxa" w:w="956"/>
          </w:tcPr>
          <w:p>
            <w:pPr>
              <w:spacing w:before="10" w:after="10"/>
              <w:jc w:val="center"/>
              <w:rPr>
                <w:sz w:val="15"/>
              </w:rPr>
            </w:pPr>
            <w:r>
              <w:rPr>
                <w:sz w:val="15"/>
              </w:rPr>
              <w:t>0,457</w:t>
            </w:r>
          </w:p>
        </w:tc>
        <w:tc>
          <w:tcPr>
            <w:tcW w:type="dxa" w:w="956"/>
          </w:tcPr>
          <w:p>
            <w:pPr>
              <w:spacing w:before="10" w:after="10"/>
              <w:jc w:val="center"/>
              <w:rPr>
                <w:sz w:val="15"/>
              </w:rPr>
            </w:pPr>
            <w:r>
              <w:rPr>
                <w:sz w:val="15"/>
              </w:rPr>
              <w:t>0,988</w:t>
            </w:r>
          </w:p>
        </w:tc>
        <w:tc>
          <w:tcPr>
            <w:tcW w:type="dxa" w:w="956"/>
          </w:tcPr>
          <w:p>
            <w:pPr>
              <w:spacing w:before="10" w:after="10"/>
              <w:jc w:val="center"/>
              <w:rPr>
                <w:sz w:val="15"/>
              </w:rPr>
            </w:pPr>
            <w:r>
              <w:rPr>
                <w:sz w:val="15"/>
              </w:rPr>
              <w:t>0,0045</w:t>
            </w:r>
          </w:p>
        </w:tc>
        <w:tc>
          <w:tcPr>
            <w:tcW w:type="dxa" w:w="894"/>
          </w:tcPr>
          <w:p>
            <w:pPr>
              <w:spacing w:before="10" w:after="10"/>
              <w:jc w:val="center"/>
              <w:rPr>
                <w:sz w:val="15"/>
              </w:rPr>
            </w:pPr>
            <w:r>
              <w:rPr>
                <w:sz w:val="15"/>
              </w:rPr>
              <w:t>0,270</w:t>
            </w:r>
          </w:p>
        </w:tc>
        <w:tc>
          <w:tcPr>
            <w:tcW w:type="dxa" w:w="848"/>
          </w:tcPr>
          <w:p>
            <w:pPr>
              <w:spacing w:before="10" w:after="10"/>
              <w:jc w:val="center"/>
              <w:rPr>
                <w:sz w:val="15"/>
              </w:rPr>
            </w:pPr>
            <w:r>
              <w:rPr>
                <w:b/>
                <w:sz w:val="15"/>
              </w:rPr>
              <w:t>0,522</w:t>
            </w:r>
          </w:p>
        </w:tc>
        <w:tc>
          <w:tcPr>
            <w:tcW w:type="dxa" w:w="848"/>
          </w:tcPr>
          <w:p>
            <w:pPr>
              <w:spacing w:before="10" w:after="10"/>
              <w:jc w:val="center"/>
              <w:rPr>
                <w:sz w:val="15"/>
              </w:rPr>
            </w:pPr>
            <w:r>
              <w:rPr>
                <w:sz w:val="15"/>
              </w:rPr>
              <w:t>0,592</w:t>
            </w:r>
          </w:p>
        </w:tc>
        <w:tc>
          <w:tcPr>
            <w:tcW w:type="dxa" w:w="848"/>
          </w:tcPr>
          <w:p>
            <w:pPr>
              <w:spacing w:before="10" w:after="10"/>
              <w:jc w:val="center"/>
              <w:rPr>
                <w:sz w:val="15"/>
              </w:rPr>
            </w:pPr>
            <w:r>
              <w:rPr>
                <w:sz w:val="15"/>
              </w:rPr>
              <w:t>0,297</w:t>
            </w:r>
          </w:p>
        </w:tc>
        <w:tc>
          <w:tcPr>
            <w:tcW w:type="dxa" w:w="848"/>
          </w:tcPr>
          <w:p>
            <w:pPr>
              <w:spacing w:before="10" w:after="10"/>
              <w:jc w:val="center"/>
              <w:rPr>
                <w:sz w:val="15"/>
              </w:rPr>
            </w:pPr>
            <w:r>
              <w:rPr>
                <w:sz w:val="15"/>
              </w:rPr>
              <w:t>0,454</w:t>
            </w:r>
          </w:p>
        </w:tc>
      </w:tr>
      <w:tr>
        <w:tc>
          <w:tcPr>
            <w:tcW w:type="dxa" w:w="694"/>
          </w:tcPr>
          <w:p>
            <w:pPr>
              <w:spacing w:before="10" w:after="10"/>
              <w:jc w:val="left"/>
              <w:rPr>
                <w:sz w:val="15"/>
              </w:rPr>
            </w:pPr>
          </w:p>
        </w:tc>
        <w:tc>
          <w:tcPr>
            <w:tcW w:type="dxa" w:w="2235"/>
          </w:tcPr>
          <w:p>
            <w:pPr>
              <w:spacing w:before="10" w:after="10"/>
              <w:jc w:val="left"/>
              <w:rPr>
                <w:sz w:val="15"/>
              </w:rPr>
            </w:pPr>
            <w:r>
              <w:rPr>
                <w:sz w:val="15"/>
              </w:rPr>
              <w:t>GRU</w:t>
            </w:r>
          </w:p>
        </w:tc>
        <w:tc>
          <w:tcPr>
            <w:tcW w:type="dxa" w:w="956"/>
          </w:tcPr>
          <w:p>
            <w:pPr>
              <w:spacing w:before="10" w:after="10"/>
              <w:jc w:val="center"/>
              <w:rPr>
                <w:sz w:val="15"/>
              </w:rPr>
            </w:pPr>
            <w:r>
              <w:rPr>
                <w:b/>
                <w:sz w:val="15"/>
              </w:rPr>
              <w:t>0,517</w:t>
            </w:r>
          </w:p>
        </w:tc>
        <w:tc>
          <w:tcPr>
            <w:tcW w:type="dxa" w:w="956"/>
          </w:tcPr>
          <w:p>
            <w:pPr>
              <w:spacing w:before="10" w:after="10"/>
              <w:jc w:val="center"/>
              <w:rPr>
                <w:sz w:val="15"/>
              </w:rPr>
            </w:pPr>
            <w:r>
              <w:rPr>
                <w:sz w:val="15"/>
              </w:rPr>
              <w:t>0,988</w:t>
            </w:r>
          </w:p>
        </w:tc>
        <w:tc>
          <w:tcPr>
            <w:tcW w:type="dxa" w:w="956"/>
          </w:tcPr>
          <w:p>
            <w:pPr>
              <w:spacing w:before="10" w:after="10"/>
              <w:jc w:val="center"/>
              <w:rPr>
                <w:sz w:val="15"/>
              </w:rPr>
            </w:pPr>
            <w:r>
              <w:rPr>
                <w:b/>
                <w:sz w:val="15"/>
              </w:rPr>
              <w:t>0,0042</w:t>
            </w:r>
          </w:p>
        </w:tc>
        <w:tc>
          <w:tcPr>
            <w:tcW w:type="dxa" w:w="894"/>
          </w:tcPr>
          <w:p>
            <w:pPr>
              <w:spacing w:before="10" w:after="10"/>
              <w:jc w:val="center"/>
              <w:rPr>
                <w:sz w:val="15"/>
              </w:rPr>
            </w:pPr>
            <w:r>
              <w:rPr>
                <w:b/>
                <w:sz w:val="15"/>
              </w:rPr>
              <w:t>0,317</w:t>
            </w:r>
          </w:p>
        </w:tc>
        <w:tc>
          <w:tcPr>
            <w:tcW w:type="dxa" w:w="848"/>
          </w:tcPr>
          <w:p>
            <w:pPr>
              <w:spacing w:before="10" w:after="10"/>
              <w:jc w:val="center"/>
              <w:rPr>
                <w:sz w:val="15"/>
              </w:rPr>
            </w:pPr>
            <w:r>
              <w:rPr>
                <w:sz w:val="15"/>
              </w:rPr>
              <w:t>0,352</w:t>
            </w:r>
          </w:p>
        </w:tc>
        <w:tc>
          <w:tcPr>
            <w:tcW w:type="dxa" w:w="848"/>
          </w:tcPr>
          <w:p>
            <w:pPr>
              <w:spacing w:before="10" w:after="10"/>
              <w:jc w:val="center"/>
              <w:rPr>
                <w:sz w:val="15"/>
              </w:rPr>
            </w:pPr>
            <w:r>
              <w:rPr>
                <w:b/>
                <w:sz w:val="15"/>
              </w:rPr>
              <w:t>0,377</w:t>
            </w:r>
          </w:p>
        </w:tc>
        <w:tc>
          <w:tcPr>
            <w:tcW w:type="dxa" w:w="848"/>
          </w:tcPr>
          <w:p>
            <w:pPr>
              <w:spacing w:before="10" w:after="10"/>
              <w:jc w:val="center"/>
              <w:rPr>
                <w:sz w:val="15"/>
              </w:rPr>
            </w:pPr>
            <w:r>
              <w:rPr>
                <w:sz w:val="15"/>
              </w:rPr>
              <w:t>0,290</w:t>
            </w:r>
          </w:p>
        </w:tc>
        <w:tc>
          <w:tcPr>
            <w:tcW w:type="dxa" w:w="848"/>
          </w:tcPr>
          <w:p>
            <w:pPr>
              <w:spacing w:before="10" w:after="10"/>
              <w:jc w:val="center"/>
              <w:rPr>
                <w:sz w:val="15"/>
              </w:rPr>
            </w:pPr>
            <w:r>
              <w:rPr>
                <w:sz w:val="15"/>
              </w:rPr>
              <w:t>0,447</w:t>
            </w:r>
          </w:p>
        </w:tc>
      </w:tr>
      <w:tr>
        <w:tc>
          <w:tcPr>
            <w:tcW w:type="dxa" w:w="694"/>
          </w:tcPr>
          <w:p>
            <w:pPr>
              <w:spacing w:before="10" w:after="10"/>
              <w:jc w:val="left"/>
              <w:rPr>
                <w:sz w:val="15"/>
              </w:rPr>
            </w:pPr>
          </w:p>
        </w:tc>
        <w:tc>
          <w:tcPr>
            <w:tcW w:type="dxa" w:w="2235"/>
          </w:tcPr>
          <w:p>
            <w:pPr>
              <w:spacing w:before="10" w:after="10"/>
              <w:jc w:val="left"/>
              <w:rPr>
                <w:sz w:val="15"/>
              </w:rPr>
            </w:pPr>
            <w:r>
              <w:rPr>
                <w:sz w:val="15"/>
              </w:rPr>
              <w:t>LSTM</w:t>
            </w:r>
          </w:p>
        </w:tc>
        <w:tc>
          <w:tcPr>
            <w:tcW w:type="dxa" w:w="956"/>
          </w:tcPr>
          <w:p>
            <w:pPr>
              <w:spacing w:before="10" w:after="10"/>
              <w:jc w:val="center"/>
              <w:rPr>
                <w:sz w:val="15"/>
              </w:rPr>
            </w:pPr>
            <w:r>
              <w:rPr>
                <w:sz w:val="15"/>
              </w:rPr>
              <w:t>0,509</w:t>
            </w:r>
          </w:p>
        </w:tc>
        <w:tc>
          <w:tcPr>
            <w:tcW w:type="dxa" w:w="956"/>
          </w:tcPr>
          <w:p>
            <w:pPr>
              <w:spacing w:before="10" w:after="10"/>
              <w:jc w:val="center"/>
              <w:rPr>
                <w:sz w:val="15"/>
              </w:rPr>
            </w:pPr>
            <w:r>
              <w:rPr>
                <w:sz w:val="15"/>
              </w:rPr>
              <w:t>0,988</w:t>
            </w:r>
          </w:p>
        </w:tc>
        <w:tc>
          <w:tcPr>
            <w:tcW w:type="dxa" w:w="956"/>
          </w:tcPr>
          <w:p>
            <w:pPr>
              <w:spacing w:before="10" w:after="10"/>
              <w:jc w:val="center"/>
              <w:rPr>
                <w:sz w:val="15"/>
              </w:rPr>
            </w:pPr>
            <w:r>
              <w:rPr>
                <w:b/>
                <w:sz w:val="15"/>
              </w:rPr>
              <w:t>0,0042</w:t>
            </w:r>
          </w:p>
        </w:tc>
        <w:tc>
          <w:tcPr>
            <w:tcW w:type="dxa" w:w="894"/>
          </w:tcPr>
          <w:p>
            <w:pPr>
              <w:spacing w:before="10" w:after="10"/>
              <w:jc w:val="center"/>
              <w:rPr>
                <w:sz w:val="15"/>
              </w:rPr>
            </w:pPr>
            <w:r>
              <w:rPr>
                <w:sz w:val="15"/>
              </w:rPr>
              <w:t>0,314</w:t>
            </w:r>
          </w:p>
        </w:tc>
        <w:tc>
          <w:tcPr>
            <w:tcW w:type="dxa" w:w="848"/>
          </w:tcPr>
          <w:p>
            <w:pPr>
              <w:spacing w:before="10" w:after="10"/>
              <w:jc w:val="center"/>
              <w:rPr>
                <w:sz w:val="15"/>
              </w:rPr>
            </w:pPr>
            <w:r>
              <w:rPr>
                <w:sz w:val="15"/>
              </w:rPr>
              <w:t>0,475</w:t>
            </w:r>
          </w:p>
        </w:tc>
        <w:tc>
          <w:tcPr>
            <w:tcW w:type="dxa" w:w="848"/>
          </w:tcPr>
          <w:p>
            <w:pPr>
              <w:spacing w:before="10" w:after="10"/>
              <w:jc w:val="center"/>
              <w:rPr>
                <w:sz w:val="15"/>
              </w:rPr>
            </w:pPr>
            <w:r>
              <w:rPr>
                <w:sz w:val="15"/>
              </w:rPr>
              <w:t>0,456</w:t>
            </w:r>
          </w:p>
        </w:tc>
        <w:tc>
          <w:tcPr>
            <w:tcW w:type="dxa" w:w="848"/>
          </w:tcPr>
          <w:p>
            <w:pPr>
              <w:spacing w:before="10" w:after="10"/>
              <w:jc w:val="center"/>
              <w:rPr>
                <w:sz w:val="15"/>
              </w:rPr>
            </w:pPr>
            <w:r>
              <w:rPr>
                <w:b/>
                <w:sz w:val="15"/>
              </w:rPr>
              <w:t>0,340</w:t>
            </w:r>
          </w:p>
        </w:tc>
        <w:tc>
          <w:tcPr>
            <w:tcW w:type="dxa" w:w="848"/>
          </w:tcPr>
          <w:p>
            <w:pPr>
              <w:spacing w:before="10" w:after="10"/>
              <w:jc w:val="center"/>
              <w:rPr>
                <w:sz w:val="15"/>
              </w:rPr>
            </w:pPr>
            <w:r>
              <w:rPr>
                <w:b/>
                <w:sz w:val="15"/>
              </w:rPr>
              <w:t>0,504</w:t>
            </w:r>
          </w:p>
        </w:tc>
      </w:tr>
      <w:tr>
        <w:tc>
          <w:tcPr>
            <w:tcW w:type="dxa" w:w="694"/>
          </w:tcPr>
          <w:p>
            <w:pPr>
              <w:spacing w:before="10" w:after="10"/>
              <w:jc w:val="left"/>
              <w:rPr>
                <w:sz w:val="15"/>
              </w:rPr>
            </w:pPr>
          </w:p>
        </w:tc>
        <w:tc>
          <w:tcPr>
            <w:tcW w:type="dxa" w:w="2235"/>
          </w:tcPr>
          <w:p>
            <w:pPr>
              <w:spacing w:before="10" w:after="10"/>
              <w:jc w:val="left"/>
              <w:rPr>
                <w:sz w:val="15"/>
              </w:rPr>
            </w:pPr>
            <w:r>
              <w:rPr>
                <w:sz w:val="15"/>
              </w:rPr>
              <w:t>Kalıcılık</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w:t>
            </w:r>
          </w:p>
        </w:tc>
        <w:tc>
          <w:tcPr>
            <w:tcW w:type="dxa" w:w="956"/>
          </w:tcPr>
          <w:p>
            <w:pPr>
              <w:spacing w:before="10" w:after="10"/>
              <w:jc w:val="center"/>
              <w:rPr>
                <w:sz w:val="15"/>
              </w:rPr>
            </w:pPr>
            <w:r>
              <w:rPr>
                <w:sz w:val="15"/>
              </w:rPr>
              <w:t>0,0098</w:t>
            </w:r>
          </w:p>
        </w:tc>
        <w:tc>
          <w:tcPr>
            <w:tcW w:type="dxa" w:w="894"/>
          </w:tcPr>
          <w:p>
            <w:pPr>
              <w:spacing w:before="10" w:after="10"/>
              <w:jc w:val="center"/>
              <w:rPr>
                <w:sz w:val="15"/>
              </w:rPr>
            </w:pPr>
            <w:r>
              <w:rPr>
                <w:sz w:val="15"/>
              </w:rPr>
              <w:t>-0,598</w:t>
            </w:r>
          </w:p>
        </w:tc>
        <w:tc>
          <w:tcPr>
            <w:tcW w:type="dxa" w:w="848"/>
          </w:tcPr>
          <w:p>
            <w:pPr>
              <w:spacing w:before="10" w:after="10"/>
              <w:jc w:val="center"/>
              <w:rPr>
                <w:sz w:val="15"/>
              </w:rPr>
            </w:pPr>
            <w:r>
              <w:rPr>
                <w:sz w:val="15"/>
              </w:rPr>
              <w:t>0,229</w:t>
            </w:r>
          </w:p>
        </w:tc>
        <w:tc>
          <w:tcPr>
            <w:tcW w:type="dxa" w:w="848"/>
          </w:tcPr>
          <w:p>
            <w:pPr>
              <w:spacing w:before="10" w:after="10"/>
              <w:jc w:val="center"/>
              <w:rPr>
                <w:sz w:val="15"/>
              </w:rPr>
            </w:pPr>
            <w:r>
              <w:rPr>
                <w:sz w:val="15"/>
              </w:rPr>
              <w:t>0,771</w:t>
            </w:r>
          </w:p>
        </w:tc>
        <w:tc>
          <w:tcPr>
            <w:tcW w:type="dxa" w:w="848"/>
          </w:tcPr>
          <w:p>
            <w:pPr>
              <w:spacing w:before="10" w:after="10"/>
              <w:jc w:val="center"/>
              <w:rPr>
                <w:sz w:val="15"/>
              </w:rPr>
            </w:pPr>
            <w:r>
              <w:rPr>
                <w:sz w:val="15"/>
              </w:rPr>
              <w:t>0,129</w:t>
            </w:r>
          </w:p>
        </w:tc>
        <w:tc>
          <w:tcPr>
            <w:tcW w:type="dxa" w:w="848"/>
          </w:tcPr>
          <w:p>
            <w:pPr>
              <w:spacing w:before="10" w:after="10"/>
              <w:jc w:val="center"/>
              <w:rPr>
                <w:sz w:val="15"/>
              </w:rPr>
            </w:pPr>
            <w:r>
              <w:rPr>
                <w:sz w:val="15"/>
              </w:rPr>
              <w:t>0,224</w:t>
            </w:r>
          </w:p>
        </w:tc>
      </w:tr>
    </w:tbl>
    <w:p>
      <w:pPr>
        <w:pStyle w:val="FigureCaption"/>
        <w:spacing w:before="40"/>
      </w:pPr>
      <w:r>
        <w:rPr>
          <w:sz w:val="14"/>
        </w:rPr>
        <w:t>BS: Brier skoru; BSS, eğitim döneminin ay–saat klimatolojisine göredir. Kategorik skorlar doğrulama kümesinde CSI'yı en büyükleyen eşikle hesaplanmıştır. Her öngörü süresindeki en iyi değer kalın yazılmıştır. TREND yalnızca 2 saate kadar tanımlıdır.</w:t>
      </w:r>
    </w:p>
    <w:p>
      <w:pPr>
        <w:spacing w:after="80"/>
      </w:pP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355080" cy="1947672"/>
            <wp:docPr id="3" name="Picture 3"/>
            <wp:cNvGraphicFramePr>
              <a:graphicFrameLocks noChangeAspect="1"/>
            </wp:cNvGraphicFramePr>
            <a:graphic>
              <a:graphicData uri="http://schemas.openxmlformats.org/drawingml/2006/picture">
                <pic:pic>
                  <pic:nvPicPr>
                    <pic:cNvPr id="0" name="pr_curves.png"/>
                    <pic:cNvPicPr/>
                  </pic:nvPicPr>
                  <pic:blipFill>
                    <a:blip r:embed="rId34"/>
                    <a:stretch>
                      <a:fillRect/>
                    </a:stretch>
                  </pic:blipFill>
                  <pic:spPr>
                    <a:xfrm>
                      <a:off x="0" y="0"/>
                      <a:ext cx="6355080" cy="1947672"/>
                    </a:xfrm>
                    <a:prstGeom prst="rect"/>
                  </pic:spPr>
                </pic:pic>
              </a:graphicData>
            </a:graphic>
          </wp:inline>
        </w:drawing>
      </w:r>
    </w:p>
    <w:p>
      <w:pPr>
        <w:pStyle w:val="FigureCaption"/>
        <w:spacing w:after="160"/>
      </w:pPr>
      <w:r>
        <w:rPr>
          <w:sz w:val="16"/>
        </w:rPr>
        <w:t xml:space="preserve">Şekil 3. </w:t>
      </w:r>
      <w:r>
        <w:rPr>
          <w:sz w:val="16"/>
        </w:rPr>
        <w:t>Test sezonlarında sis tahminlerinin kesinlik–duyarlılık eğrileri (parantez içinde PR-AUC). İşaretler deterministik karşılaştırma tahminlerini göstermektedir.</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Text"/>
      </w:pPr>
      <w:r>
        <w:t>Gün-blok bootstrap (Tablo V), iyileşmelerin sağlam olduğunu doğrulamaktadır: altı modelin her biri ile kalıcılık arasındaki eşleştirilmiş CSI ve HSS farkları üç öngörü süresinin tamamında anlamlı biçimde pozitiftir—örneğin LightGBM için ΔCSI 1 saatte 0,077 [0,052; 0,104], 3 saatte 0,146 [0,105; 0,188] ve 6 saatte 0,168 [0,099; 0,234]'tür. Beceri öngörü süresiyle düzgün biçimde azalmakta (Şekil 4), LightGBM'nin kalıcılığa göre göreli CSI kazancı 1 saatte %12'den 3 saatte %45'e ve 6 saatte %130'a yükselmektedir. İyileşme elverişli tek bir yıla da bağlı değildir: her model, dört test sezonunun her birinde ve her öngörü süresinde kalıcılıktan daha başarılıdır (Tablo VI).</w:t>
      </w:r>
    </w:p>
    <w:p>
      <w:pPr>
        <w:keepNext/>
        <w:widowControl w:val="0"/>
        <w:pBdr>
          <w:top w:val="nil"/>
          <w:left w:val="nil"/>
          <w:bottom w:val="nil"/>
          <w:right w:val="nil"/>
          <w:between w:val="nil"/>
        </w:pBdr>
        <w:spacing w:line="252" w:lineRule="auto"/>
        <w:ind w:firstLine="202"/>
        <w:jc w:val="center"/>
      </w:pPr>
      <w:r>
        <w:rPr>
          <w:sz w:val="16"/>
        </w:rPr>
        <w:t>TABLO V</w:t>
      </w:r>
    </w:p>
    <w:p>
      <w:pPr>
        <w:pStyle w:val="TableTitle"/>
        <w:keepNext/>
        <w:spacing w:after="60"/>
      </w:pPr>
      <w:r>
        <w:rPr>
          <w:sz w:val="16"/>
        </w:rPr>
        <w:t>%95 gün-blok bootstrap güven aralıkları (test sezonları)</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2074"/>
        <w:gridCol w:w="2074"/>
        <w:gridCol w:w="2074"/>
        <w:gridCol w:w="2074"/>
        <w:gridCol w:w="2074"/>
      </w:tblGrid>
      <w:tr>
        <w:tc>
          <w:tcPr>
            <w:tcW w:type="dxa" w:w="488"/>
            <w:tcBorders>
              <w:bottom w:val="single" w:sz="4" w:color="000000"/>
            </w:tcBorders>
          </w:tcPr>
          <w:p>
            <w:pPr>
              <w:spacing w:before="10" w:after="10"/>
              <w:jc w:val="left"/>
              <w:rPr>
                <w:sz w:val="14"/>
              </w:rPr>
            </w:pPr>
            <w:r>
              <w:rPr>
                <w:b/>
                <w:sz w:val="14"/>
              </w:rPr>
              <w:t>Süre</w:t>
            </w:r>
          </w:p>
        </w:tc>
        <w:tc>
          <w:tcPr>
            <w:tcW w:type="dxa" w:w="1149"/>
            <w:tcBorders>
              <w:bottom w:val="single" w:sz="4" w:color="000000"/>
            </w:tcBorders>
          </w:tcPr>
          <w:p>
            <w:pPr>
              <w:spacing w:before="10" w:after="10"/>
              <w:jc w:val="left"/>
              <w:rPr>
                <w:sz w:val="14"/>
              </w:rPr>
            </w:pPr>
            <w:r>
              <w:rPr>
                <w:b/>
                <w:sz w:val="14"/>
              </w:rPr>
              <w:t>Tahmin</w:t>
            </w:r>
          </w:p>
        </w:tc>
        <w:tc>
          <w:tcPr>
            <w:tcW w:type="dxa" w:w="1177"/>
            <w:tcBorders>
              <w:bottom w:val="single" w:sz="4" w:color="000000"/>
            </w:tcBorders>
          </w:tcPr>
          <w:p>
            <w:pPr>
              <w:spacing w:before="10" w:after="10"/>
              <w:jc w:val="center"/>
              <w:rPr>
                <w:sz w:val="14"/>
              </w:rPr>
            </w:pPr>
            <w:r>
              <w:rPr>
                <w:b/>
                <w:sz w:val="14"/>
              </w:rPr>
              <w:t>CSI</w:t>
            </w:r>
          </w:p>
        </w:tc>
        <w:tc>
          <w:tcPr>
            <w:tcW w:type="dxa" w:w="1077"/>
            <w:tcBorders>
              <w:bottom w:val="single" w:sz="4" w:color="000000"/>
            </w:tcBorders>
          </w:tcPr>
          <w:p>
            <w:pPr>
              <w:spacing w:before="10" w:after="10"/>
              <w:jc w:val="center"/>
              <w:rPr>
                <w:sz w:val="14"/>
              </w:rPr>
            </w:pPr>
            <w:r>
              <w:rPr>
                <w:b/>
                <w:sz w:val="14"/>
              </w:rPr>
              <w:t>HSS</w:t>
            </w:r>
          </w:p>
        </w:tc>
        <w:tc>
          <w:tcPr>
            <w:tcW w:type="dxa" w:w="1077"/>
            <w:tcBorders>
              <w:bottom w:val="single" w:sz="4" w:color="000000"/>
            </w:tcBorders>
          </w:tcPr>
          <w:p>
            <w:pPr>
              <w:spacing w:before="10" w:after="10"/>
              <w:jc w:val="center"/>
              <w:rPr>
                <w:sz w:val="14"/>
              </w:rPr>
            </w:pPr>
            <w:r>
              <w:rPr>
                <w:b/>
                <w:sz w:val="14"/>
              </w:rPr>
              <w:t>PR-AUC</w:t>
            </w:r>
          </w:p>
        </w:tc>
      </w:tr>
      <w:tr>
        <w:tc>
          <w:tcPr>
            <w:tcW w:type="dxa" w:w="488"/>
          </w:tcPr>
          <w:p>
            <w:pPr>
              <w:spacing w:before="10" w:after="10"/>
              <w:jc w:val="left"/>
              <w:rPr>
                <w:sz w:val="14"/>
              </w:rPr>
            </w:pPr>
            <w:r>
              <w:rPr>
                <w:sz w:val="14"/>
              </w:rPr>
              <w:t>1 sa</w:t>
            </w:r>
          </w:p>
        </w:tc>
        <w:tc>
          <w:tcPr>
            <w:tcW w:type="dxa" w:w="1149"/>
          </w:tcPr>
          <w:p>
            <w:pPr>
              <w:spacing w:before="10" w:after="10"/>
              <w:jc w:val="left"/>
              <w:rPr>
                <w:sz w:val="14"/>
              </w:rPr>
            </w:pPr>
            <w:r>
              <w:rPr>
                <w:sz w:val="14"/>
              </w:rPr>
              <w:t>LightGBM</w:t>
            </w:r>
          </w:p>
        </w:tc>
        <w:tc>
          <w:tcPr>
            <w:tcW w:type="dxa" w:w="1177"/>
          </w:tcPr>
          <w:p>
            <w:pPr>
              <w:spacing w:before="10" w:after="10"/>
              <w:jc w:val="center"/>
              <w:rPr>
                <w:sz w:val="14"/>
              </w:rPr>
            </w:pPr>
            <w:r>
              <w:rPr>
                <w:sz w:val="14"/>
              </w:rPr>
              <w:t>0,73* [0,66; 0,78]</w:t>
            </w:r>
          </w:p>
        </w:tc>
        <w:tc>
          <w:tcPr>
            <w:tcW w:type="dxa" w:w="1077"/>
          </w:tcPr>
          <w:p>
            <w:pPr>
              <w:spacing w:before="10" w:after="10"/>
              <w:jc w:val="center"/>
              <w:rPr>
                <w:sz w:val="14"/>
              </w:rPr>
            </w:pPr>
            <w:r>
              <w:rPr>
                <w:sz w:val="14"/>
              </w:rPr>
              <w:t>0,84 [0,80; 0,88]</w:t>
            </w:r>
          </w:p>
        </w:tc>
        <w:tc>
          <w:tcPr>
            <w:tcW w:type="dxa" w:w="1077"/>
          </w:tcPr>
          <w:p>
            <w:pPr>
              <w:spacing w:before="10" w:after="10"/>
              <w:jc w:val="center"/>
              <w:rPr>
                <w:sz w:val="14"/>
              </w:rPr>
            </w:pPr>
            <w:r>
              <w:rPr>
                <w:sz w:val="14"/>
              </w:rPr>
              <w:t>0,89 [0,84; 0,93]</w:t>
            </w:r>
          </w:p>
        </w:tc>
      </w:tr>
      <w:tr>
        <w:tc>
          <w:tcPr>
            <w:tcW w:type="dxa" w:w="488"/>
          </w:tcPr>
          <w:p>
            <w:pPr>
              <w:spacing w:before="10" w:after="10"/>
              <w:jc w:val="left"/>
              <w:rPr>
                <w:sz w:val="14"/>
              </w:rPr>
            </w:pPr>
          </w:p>
        </w:tc>
        <w:tc>
          <w:tcPr>
            <w:tcW w:type="dxa" w:w="1149"/>
          </w:tcPr>
          <w:p>
            <w:pPr>
              <w:spacing w:before="10" w:after="10"/>
              <w:jc w:val="left"/>
              <w:rPr>
                <w:sz w:val="14"/>
              </w:rPr>
            </w:pPr>
            <w:r>
              <w:rPr>
                <w:sz w:val="14"/>
              </w:rPr>
              <w:t>GRU</w:t>
            </w:r>
          </w:p>
        </w:tc>
        <w:tc>
          <w:tcPr>
            <w:tcW w:type="dxa" w:w="1177"/>
          </w:tcPr>
          <w:p>
            <w:pPr>
              <w:spacing w:before="10" w:after="10"/>
              <w:jc w:val="center"/>
              <w:rPr>
                <w:sz w:val="14"/>
              </w:rPr>
            </w:pPr>
            <w:r>
              <w:rPr>
                <w:sz w:val="14"/>
              </w:rPr>
              <w:t>0,72* [0,65; 0,76]</w:t>
            </w:r>
          </w:p>
        </w:tc>
        <w:tc>
          <w:tcPr>
            <w:tcW w:type="dxa" w:w="1077"/>
          </w:tcPr>
          <w:p>
            <w:pPr>
              <w:spacing w:before="10" w:after="10"/>
              <w:jc w:val="center"/>
              <w:rPr>
                <w:sz w:val="14"/>
              </w:rPr>
            </w:pPr>
            <w:r>
              <w:rPr>
                <w:sz w:val="14"/>
              </w:rPr>
              <w:t>0,83 [0,79; 0,87]</w:t>
            </w:r>
          </w:p>
        </w:tc>
        <w:tc>
          <w:tcPr>
            <w:tcW w:type="dxa" w:w="1077"/>
          </w:tcPr>
          <w:p>
            <w:pPr>
              <w:spacing w:before="10" w:after="10"/>
              <w:jc w:val="center"/>
              <w:rPr>
                <w:sz w:val="14"/>
              </w:rPr>
            </w:pPr>
            <w:r>
              <w:rPr>
                <w:sz w:val="14"/>
              </w:rPr>
              <w:t>0,88 [0,83; 0,92]</w:t>
            </w:r>
          </w:p>
        </w:tc>
      </w:tr>
      <w:tr>
        <w:tc>
          <w:tcPr>
            <w:tcW w:type="dxa" w:w="488"/>
          </w:tcPr>
          <w:p>
            <w:pPr>
              <w:spacing w:before="10" w:after="10"/>
              <w:jc w:val="left"/>
              <w:rPr>
                <w:sz w:val="14"/>
              </w:rPr>
            </w:pPr>
          </w:p>
        </w:tc>
        <w:tc>
          <w:tcPr>
            <w:tcW w:type="dxa" w:w="1149"/>
          </w:tcPr>
          <w:p>
            <w:pPr>
              <w:spacing w:before="10" w:after="10"/>
              <w:jc w:val="left"/>
              <w:rPr>
                <w:sz w:val="14"/>
              </w:rPr>
            </w:pPr>
            <w:r>
              <w:rPr>
                <w:sz w:val="14"/>
              </w:rPr>
              <w:t>Kalıcılık</w:t>
            </w:r>
          </w:p>
        </w:tc>
        <w:tc>
          <w:tcPr>
            <w:tcW w:type="dxa" w:w="1177"/>
          </w:tcPr>
          <w:p>
            <w:pPr>
              <w:spacing w:before="10" w:after="10"/>
              <w:jc w:val="center"/>
              <w:rPr>
                <w:sz w:val="14"/>
              </w:rPr>
            </w:pPr>
            <w:r>
              <w:rPr>
                <w:sz w:val="14"/>
              </w:rPr>
              <w:t>0,65 [0,59; 0,71]</w:t>
            </w:r>
          </w:p>
        </w:tc>
        <w:tc>
          <w:tcPr>
            <w:tcW w:type="dxa" w:w="1077"/>
          </w:tcPr>
          <w:p>
            <w:pPr>
              <w:spacing w:before="10" w:after="10"/>
              <w:jc w:val="center"/>
              <w:rPr>
                <w:sz w:val="14"/>
              </w:rPr>
            </w:pPr>
            <w:r>
              <w:rPr>
                <w:sz w:val="14"/>
              </w:rPr>
              <w:t>0,79 [0,74; 0,83]</w:t>
            </w:r>
          </w:p>
        </w:tc>
        <w:tc>
          <w:tcPr>
            <w:tcW w:type="dxa" w:w="1077"/>
          </w:tcPr>
          <w:p>
            <w:pPr>
              <w:spacing w:before="10" w:after="10"/>
              <w:jc w:val="center"/>
              <w:rPr>
                <w:sz w:val="14"/>
              </w:rPr>
            </w:pPr>
            <w:r>
              <w:rPr>
                <w:sz w:val="14"/>
              </w:rPr>
              <w:t>–</w:t>
            </w:r>
          </w:p>
        </w:tc>
      </w:tr>
      <w:tr>
        <w:tc>
          <w:tcPr>
            <w:tcW w:type="dxa" w:w="488"/>
          </w:tcPr>
          <w:p>
            <w:pPr>
              <w:spacing w:before="10" w:after="10"/>
              <w:jc w:val="left"/>
              <w:rPr>
                <w:sz w:val="14"/>
              </w:rPr>
            </w:pPr>
            <w:r>
              <w:rPr>
                <w:sz w:val="14"/>
              </w:rPr>
              <w:t>3 sa</w:t>
            </w:r>
          </w:p>
        </w:tc>
        <w:tc>
          <w:tcPr>
            <w:tcW w:type="dxa" w:w="1149"/>
          </w:tcPr>
          <w:p>
            <w:pPr>
              <w:spacing w:before="10" w:after="10"/>
              <w:jc w:val="left"/>
              <w:rPr>
                <w:sz w:val="14"/>
              </w:rPr>
            </w:pPr>
            <w:r>
              <w:rPr>
                <w:sz w:val="14"/>
              </w:rPr>
              <w:t>LightGBM</w:t>
            </w:r>
          </w:p>
        </w:tc>
        <w:tc>
          <w:tcPr>
            <w:tcW w:type="dxa" w:w="1177"/>
          </w:tcPr>
          <w:p>
            <w:pPr>
              <w:spacing w:before="10" w:after="10"/>
              <w:jc w:val="center"/>
              <w:rPr>
                <w:sz w:val="14"/>
              </w:rPr>
            </w:pPr>
            <w:r>
              <w:rPr>
                <w:sz w:val="14"/>
              </w:rPr>
              <w:t>0,47* [0,38; 0,54]</w:t>
            </w:r>
          </w:p>
        </w:tc>
        <w:tc>
          <w:tcPr>
            <w:tcW w:type="dxa" w:w="1077"/>
          </w:tcPr>
          <w:p>
            <w:pPr>
              <w:spacing w:before="10" w:after="10"/>
              <w:jc w:val="center"/>
              <w:rPr>
                <w:sz w:val="14"/>
              </w:rPr>
            </w:pPr>
            <w:r>
              <w:rPr>
                <w:sz w:val="14"/>
              </w:rPr>
              <w:t>0,63 [0,54; 0,70]</w:t>
            </w:r>
          </w:p>
        </w:tc>
        <w:tc>
          <w:tcPr>
            <w:tcW w:type="dxa" w:w="1077"/>
          </w:tcPr>
          <w:p>
            <w:pPr>
              <w:spacing w:before="10" w:after="10"/>
              <w:jc w:val="center"/>
              <w:rPr>
                <w:sz w:val="14"/>
              </w:rPr>
            </w:pPr>
            <w:r>
              <w:rPr>
                <w:sz w:val="14"/>
              </w:rPr>
              <w:t>0,66 [0,55; 0,74]</w:t>
            </w:r>
          </w:p>
        </w:tc>
      </w:tr>
      <w:tr>
        <w:tc>
          <w:tcPr>
            <w:tcW w:type="dxa" w:w="488"/>
          </w:tcPr>
          <w:p>
            <w:pPr>
              <w:spacing w:before="10" w:after="10"/>
              <w:jc w:val="left"/>
              <w:rPr>
                <w:sz w:val="14"/>
              </w:rPr>
            </w:pPr>
          </w:p>
        </w:tc>
        <w:tc>
          <w:tcPr>
            <w:tcW w:type="dxa" w:w="1149"/>
          </w:tcPr>
          <w:p>
            <w:pPr>
              <w:spacing w:before="10" w:after="10"/>
              <w:jc w:val="left"/>
              <w:rPr>
                <w:sz w:val="14"/>
              </w:rPr>
            </w:pPr>
            <w:r>
              <w:rPr>
                <w:sz w:val="14"/>
              </w:rPr>
              <w:t>GRU</w:t>
            </w:r>
          </w:p>
        </w:tc>
        <w:tc>
          <w:tcPr>
            <w:tcW w:type="dxa" w:w="1177"/>
          </w:tcPr>
          <w:p>
            <w:pPr>
              <w:spacing w:before="10" w:after="10"/>
              <w:jc w:val="center"/>
              <w:rPr>
                <w:sz w:val="14"/>
              </w:rPr>
            </w:pPr>
            <w:r>
              <w:rPr>
                <w:sz w:val="14"/>
              </w:rPr>
              <w:t>0,46* [0,35; 0,54]</w:t>
            </w:r>
          </w:p>
        </w:tc>
        <w:tc>
          <w:tcPr>
            <w:tcW w:type="dxa" w:w="1077"/>
          </w:tcPr>
          <w:p>
            <w:pPr>
              <w:spacing w:before="10" w:after="10"/>
              <w:jc w:val="center"/>
              <w:rPr>
                <w:sz w:val="14"/>
              </w:rPr>
            </w:pPr>
            <w:r>
              <w:rPr>
                <w:sz w:val="14"/>
              </w:rPr>
              <w:t>0,63 [0,52; 0,70]</w:t>
            </w:r>
          </w:p>
        </w:tc>
        <w:tc>
          <w:tcPr>
            <w:tcW w:type="dxa" w:w="1077"/>
          </w:tcPr>
          <w:p>
            <w:pPr>
              <w:spacing w:before="10" w:after="10"/>
              <w:jc w:val="center"/>
              <w:rPr>
                <w:sz w:val="14"/>
              </w:rPr>
            </w:pPr>
            <w:r>
              <w:rPr>
                <w:sz w:val="14"/>
              </w:rPr>
              <w:t>0,68 [0,59; 0,76]</w:t>
            </w:r>
          </w:p>
        </w:tc>
      </w:tr>
      <w:tr>
        <w:tc>
          <w:tcPr>
            <w:tcW w:type="dxa" w:w="488"/>
          </w:tcPr>
          <w:p>
            <w:pPr>
              <w:spacing w:before="10" w:after="10"/>
              <w:jc w:val="left"/>
              <w:rPr>
                <w:sz w:val="14"/>
              </w:rPr>
            </w:pPr>
          </w:p>
        </w:tc>
        <w:tc>
          <w:tcPr>
            <w:tcW w:type="dxa" w:w="1149"/>
          </w:tcPr>
          <w:p>
            <w:pPr>
              <w:spacing w:before="10" w:after="10"/>
              <w:jc w:val="left"/>
              <w:rPr>
                <w:sz w:val="14"/>
              </w:rPr>
            </w:pPr>
            <w:r>
              <w:rPr>
                <w:sz w:val="14"/>
              </w:rPr>
              <w:t>Kalıcılık</w:t>
            </w:r>
          </w:p>
        </w:tc>
        <w:tc>
          <w:tcPr>
            <w:tcW w:type="dxa" w:w="1177"/>
          </w:tcPr>
          <w:p>
            <w:pPr>
              <w:spacing w:before="10" w:after="10"/>
              <w:jc w:val="center"/>
              <w:rPr>
                <w:sz w:val="14"/>
              </w:rPr>
            </w:pPr>
            <w:r>
              <w:rPr>
                <w:sz w:val="14"/>
              </w:rPr>
              <w:t>0,32 [0,24; 0,39]</w:t>
            </w:r>
          </w:p>
        </w:tc>
        <w:tc>
          <w:tcPr>
            <w:tcW w:type="dxa" w:w="1077"/>
          </w:tcPr>
          <w:p>
            <w:pPr>
              <w:spacing w:before="10" w:after="10"/>
              <w:jc w:val="center"/>
              <w:rPr>
                <w:sz w:val="14"/>
              </w:rPr>
            </w:pPr>
            <w:r>
              <w:rPr>
                <w:sz w:val="14"/>
              </w:rPr>
              <w:t>0,48 [0,38; 0,56]</w:t>
            </w:r>
          </w:p>
        </w:tc>
        <w:tc>
          <w:tcPr>
            <w:tcW w:type="dxa" w:w="1077"/>
          </w:tcPr>
          <w:p>
            <w:pPr>
              <w:spacing w:before="10" w:after="10"/>
              <w:jc w:val="center"/>
              <w:rPr>
                <w:sz w:val="14"/>
              </w:rPr>
            </w:pPr>
            <w:r>
              <w:rPr>
                <w:sz w:val="14"/>
              </w:rPr>
              <w:t>–</w:t>
            </w:r>
          </w:p>
        </w:tc>
      </w:tr>
      <w:tr>
        <w:tc>
          <w:tcPr>
            <w:tcW w:type="dxa" w:w="488"/>
          </w:tcPr>
          <w:p>
            <w:pPr>
              <w:spacing w:before="10" w:after="10"/>
              <w:jc w:val="left"/>
              <w:rPr>
                <w:sz w:val="14"/>
              </w:rPr>
            </w:pPr>
            <w:r>
              <w:rPr>
                <w:sz w:val="14"/>
              </w:rPr>
              <w:t>6 sa</w:t>
            </w:r>
          </w:p>
        </w:tc>
        <w:tc>
          <w:tcPr>
            <w:tcW w:type="dxa" w:w="1149"/>
          </w:tcPr>
          <w:p>
            <w:pPr>
              <w:spacing w:before="10" w:after="10"/>
              <w:jc w:val="left"/>
              <w:rPr>
                <w:sz w:val="14"/>
              </w:rPr>
            </w:pPr>
            <w:r>
              <w:rPr>
                <w:sz w:val="14"/>
              </w:rPr>
              <w:t>LightGBM</w:t>
            </w:r>
          </w:p>
        </w:tc>
        <w:tc>
          <w:tcPr>
            <w:tcW w:type="dxa" w:w="1177"/>
          </w:tcPr>
          <w:p>
            <w:pPr>
              <w:spacing w:before="10" w:after="10"/>
              <w:jc w:val="center"/>
              <w:rPr>
                <w:sz w:val="14"/>
              </w:rPr>
            </w:pPr>
            <w:r>
              <w:rPr>
                <w:sz w:val="14"/>
              </w:rPr>
              <w:t>0,30* [0,22; 0,37]</w:t>
            </w:r>
          </w:p>
        </w:tc>
        <w:tc>
          <w:tcPr>
            <w:tcW w:type="dxa" w:w="1077"/>
          </w:tcPr>
          <w:p>
            <w:pPr>
              <w:spacing w:before="10" w:after="10"/>
              <w:jc w:val="center"/>
              <w:rPr>
                <w:sz w:val="14"/>
              </w:rPr>
            </w:pPr>
            <w:r>
              <w:rPr>
                <w:sz w:val="14"/>
              </w:rPr>
              <w:t>0,45 [0,36; 0,54]</w:t>
            </w:r>
          </w:p>
        </w:tc>
        <w:tc>
          <w:tcPr>
            <w:tcW w:type="dxa" w:w="1077"/>
          </w:tcPr>
          <w:p>
            <w:pPr>
              <w:spacing w:before="10" w:after="10"/>
              <w:jc w:val="center"/>
              <w:rPr>
                <w:sz w:val="14"/>
              </w:rPr>
            </w:pPr>
            <w:r>
              <w:rPr>
                <w:sz w:val="14"/>
              </w:rPr>
              <w:t>0,46 [0,34; 0,55]</w:t>
            </w:r>
          </w:p>
        </w:tc>
      </w:tr>
      <w:tr>
        <w:tc>
          <w:tcPr>
            <w:tcW w:type="dxa" w:w="488"/>
          </w:tcPr>
          <w:p>
            <w:pPr>
              <w:spacing w:before="10" w:after="10"/>
              <w:jc w:val="left"/>
              <w:rPr>
                <w:sz w:val="14"/>
              </w:rPr>
            </w:pPr>
          </w:p>
        </w:tc>
        <w:tc>
          <w:tcPr>
            <w:tcW w:type="dxa" w:w="1149"/>
          </w:tcPr>
          <w:p>
            <w:pPr>
              <w:spacing w:before="10" w:after="10"/>
              <w:jc w:val="left"/>
              <w:rPr>
                <w:sz w:val="14"/>
              </w:rPr>
            </w:pPr>
            <w:r>
              <w:rPr>
                <w:sz w:val="14"/>
              </w:rPr>
              <w:t>GRU</w:t>
            </w:r>
          </w:p>
        </w:tc>
        <w:tc>
          <w:tcPr>
            <w:tcW w:type="dxa" w:w="1177"/>
          </w:tcPr>
          <w:p>
            <w:pPr>
              <w:spacing w:before="10" w:after="10"/>
              <w:jc w:val="center"/>
              <w:rPr>
                <w:sz w:val="14"/>
              </w:rPr>
            </w:pPr>
            <w:r>
              <w:rPr>
                <w:sz w:val="14"/>
              </w:rPr>
              <w:t>0,29* [0,19; 0,39]</w:t>
            </w:r>
          </w:p>
        </w:tc>
        <w:tc>
          <w:tcPr>
            <w:tcW w:type="dxa" w:w="1077"/>
          </w:tcPr>
          <w:p>
            <w:pPr>
              <w:spacing w:before="10" w:after="10"/>
              <w:jc w:val="center"/>
              <w:rPr>
                <w:sz w:val="14"/>
              </w:rPr>
            </w:pPr>
            <w:r>
              <w:rPr>
                <w:sz w:val="14"/>
              </w:rPr>
              <w:t>0,45 [0,32; 0,55]</w:t>
            </w:r>
          </w:p>
        </w:tc>
        <w:tc>
          <w:tcPr>
            <w:tcW w:type="dxa" w:w="1077"/>
          </w:tcPr>
          <w:p>
            <w:pPr>
              <w:spacing w:before="10" w:after="10"/>
              <w:jc w:val="center"/>
              <w:rPr>
                <w:sz w:val="14"/>
              </w:rPr>
            </w:pPr>
            <w:r>
              <w:rPr>
                <w:sz w:val="14"/>
              </w:rPr>
              <w:t>0,52 [0,40; 0,64]</w:t>
            </w:r>
          </w:p>
        </w:tc>
      </w:tr>
      <w:tr>
        <w:tc>
          <w:tcPr>
            <w:tcW w:type="dxa" w:w="488"/>
          </w:tcPr>
          <w:p>
            <w:pPr>
              <w:spacing w:before="10" w:after="10"/>
              <w:jc w:val="left"/>
              <w:rPr>
                <w:sz w:val="14"/>
              </w:rPr>
            </w:pPr>
          </w:p>
        </w:tc>
        <w:tc>
          <w:tcPr>
            <w:tcW w:type="dxa" w:w="1149"/>
          </w:tcPr>
          <w:p>
            <w:pPr>
              <w:spacing w:before="10" w:after="10"/>
              <w:jc w:val="left"/>
              <w:rPr>
                <w:sz w:val="14"/>
              </w:rPr>
            </w:pPr>
            <w:r>
              <w:rPr>
                <w:sz w:val="14"/>
              </w:rPr>
              <w:t>Kalıcılık</w:t>
            </w:r>
          </w:p>
        </w:tc>
        <w:tc>
          <w:tcPr>
            <w:tcW w:type="dxa" w:w="1177"/>
          </w:tcPr>
          <w:p>
            <w:pPr>
              <w:spacing w:before="10" w:after="10"/>
              <w:jc w:val="center"/>
              <w:rPr>
                <w:sz w:val="14"/>
              </w:rPr>
            </w:pPr>
            <w:r>
              <w:rPr>
                <w:sz w:val="14"/>
              </w:rPr>
              <w:t>0,13 [0,07; 0,19]</w:t>
            </w:r>
          </w:p>
        </w:tc>
        <w:tc>
          <w:tcPr>
            <w:tcW w:type="dxa" w:w="1077"/>
          </w:tcPr>
          <w:p>
            <w:pPr>
              <w:spacing w:before="10" w:after="10"/>
              <w:jc w:val="center"/>
              <w:rPr>
                <w:sz w:val="14"/>
              </w:rPr>
            </w:pPr>
            <w:r>
              <w:rPr>
                <w:sz w:val="14"/>
              </w:rPr>
              <w:t>0,22 [0,12; 0,31]</w:t>
            </w:r>
          </w:p>
        </w:tc>
        <w:tc>
          <w:tcPr>
            <w:tcW w:type="dxa" w:w="1077"/>
          </w:tcPr>
          <w:p>
            <w:pPr>
              <w:spacing w:before="10" w:after="10"/>
              <w:jc w:val="center"/>
              <w:rPr>
                <w:sz w:val="14"/>
              </w:rPr>
            </w:pPr>
            <w:r>
              <w:rPr>
                <w:sz w:val="14"/>
              </w:rPr>
              <w:t>–</w:t>
            </w:r>
          </w:p>
        </w:tc>
      </w:tr>
    </w:tbl>
    <w:p>
      <w:pPr>
        <w:pStyle w:val="FigureCaption"/>
        <w:spacing w:before="40"/>
      </w:pPr>
      <w:r>
        <w:rPr>
          <w:i/>
          <w:sz w:val="14"/>
        </w:rPr>
        <w:t xml:space="preserve"> CSI kalıcılıktan anlamlı olarak yüksek (eşleştirilmiş bootstrap, günlerin 2000 yeniden örneklemesi)</w:t>
      </w:r>
    </w:p>
    <w:p>
      <w:pPr>
        <w:spacing w:after="80"/>
      </w:pPr>
    </w:p>
    <w:p>
      <w:pPr>
        <w:keepNext/>
        <w:widowControl w:val="0"/>
        <w:pBdr>
          <w:top w:val="nil"/>
          <w:left w:val="nil"/>
          <w:bottom w:val="nil"/>
          <w:right w:val="nil"/>
          <w:between w:val="nil"/>
        </w:pBdr>
        <w:spacing w:line="252" w:lineRule="auto"/>
        <w:ind w:firstLine="202"/>
        <w:jc w:val="center"/>
      </w:pPr>
      <w:r>
        <w:rPr>
          <w:sz w:val="16"/>
        </w:rPr>
        <w:t>TABLO VI</w:t>
      </w:r>
    </w:p>
    <w:p>
      <w:pPr>
        <w:pStyle w:val="TableTitle"/>
        <w:keepNext/>
        <w:spacing w:after="60"/>
      </w:pPr>
      <w:r>
        <w:rPr>
          <w:sz w:val="16"/>
        </w:rPr>
        <w:t>3 sa için sezon bazında beceri (test)</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728"/>
        <w:gridCol w:w="1728"/>
        <w:gridCol w:w="1728"/>
        <w:gridCol w:w="1728"/>
        <w:gridCol w:w="1728"/>
        <w:gridCol w:w="1728"/>
      </w:tblGrid>
      <w:tr>
        <w:tc>
          <w:tcPr>
            <w:tcW w:type="dxa" w:w="797"/>
            <w:tcBorders>
              <w:bottom w:val="single" w:sz="4" w:color="000000"/>
            </w:tcBorders>
          </w:tcPr>
          <w:p>
            <w:pPr>
              <w:spacing w:before="10" w:after="10"/>
              <w:jc w:val="left"/>
              <w:rPr>
                <w:sz w:val="14"/>
              </w:rPr>
            </w:pPr>
            <w:r>
              <w:rPr>
                <w:b/>
                <w:sz w:val="14"/>
              </w:rPr>
              <w:t>Sezon</w:t>
            </w:r>
          </w:p>
        </w:tc>
        <w:tc>
          <w:tcPr>
            <w:tcW w:type="dxa" w:w="736"/>
            <w:tcBorders>
              <w:bottom w:val="single" w:sz="4" w:color="000000"/>
            </w:tcBorders>
          </w:tcPr>
          <w:p>
            <w:pPr>
              <w:spacing w:before="10" w:after="10"/>
              <w:jc w:val="center"/>
              <w:rPr>
                <w:sz w:val="14"/>
              </w:rPr>
            </w:pPr>
            <w:r>
              <w:rPr>
                <w:b/>
                <w:sz w:val="14"/>
              </w:rPr>
              <w:t>Sis dilimi</w:t>
            </w:r>
          </w:p>
        </w:tc>
        <w:tc>
          <w:tcPr>
            <w:tcW w:type="dxa" w:w="859"/>
            <w:tcBorders>
              <w:bottom w:val="single" w:sz="4" w:color="000000"/>
            </w:tcBorders>
          </w:tcPr>
          <w:p>
            <w:pPr>
              <w:spacing w:before="10" w:after="10"/>
              <w:jc w:val="center"/>
              <w:rPr>
                <w:sz w:val="14"/>
              </w:rPr>
            </w:pPr>
            <w:r>
              <w:rPr>
                <w:b/>
                <w:sz w:val="14"/>
              </w:rPr>
              <w:t>CSI LightGBM</w:t>
            </w:r>
          </w:p>
        </w:tc>
        <w:tc>
          <w:tcPr>
            <w:tcW w:type="dxa" w:w="736"/>
            <w:tcBorders>
              <w:bottom w:val="single" w:sz="4" w:color="000000"/>
            </w:tcBorders>
          </w:tcPr>
          <w:p>
            <w:pPr>
              <w:spacing w:before="10" w:after="10"/>
              <w:jc w:val="center"/>
              <w:rPr>
                <w:sz w:val="14"/>
              </w:rPr>
            </w:pPr>
            <w:r>
              <w:rPr>
                <w:b/>
                <w:sz w:val="14"/>
              </w:rPr>
              <w:t>CSI GRU</w:t>
            </w:r>
          </w:p>
        </w:tc>
        <w:tc>
          <w:tcPr>
            <w:tcW w:type="dxa" w:w="859"/>
            <w:tcBorders>
              <w:bottom w:val="single" w:sz="4" w:color="000000"/>
            </w:tcBorders>
          </w:tcPr>
          <w:p>
            <w:pPr>
              <w:spacing w:before="10" w:after="10"/>
              <w:jc w:val="center"/>
              <w:rPr>
                <w:sz w:val="14"/>
              </w:rPr>
            </w:pPr>
            <w:r>
              <w:rPr>
                <w:b/>
                <w:sz w:val="14"/>
              </w:rPr>
              <w:t>CSI kalıcılık</w:t>
            </w:r>
          </w:p>
        </w:tc>
        <w:tc>
          <w:tcPr>
            <w:tcW w:type="dxa" w:w="981"/>
            <w:tcBorders>
              <w:bottom w:val="single" w:sz="4" w:color="000000"/>
            </w:tcBorders>
          </w:tcPr>
          <w:p>
            <w:pPr>
              <w:spacing w:before="10" w:after="10"/>
              <w:jc w:val="center"/>
              <w:rPr>
                <w:sz w:val="14"/>
              </w:rPr>
            </w:pPr>
            <w:r>
              <w:rPr>
                <w:b/>
                <w:sz w:val="14"/>
              </w:rPr>
              <w:t>PR-AUC LightGBM</w:t>
            </w:r>
          </w:p>
        </w:tc>
      </w:tr>
      <w:tr>
        <w:tc>
          <w:tcPr>
            <w:tcW w:type="dxa" w:w="797"/>
          </w:tcPr>
          <w:p>
            <w:pPr>
              <w:spacing w:before="10" w:after="10"/>
              <w:jc w:val="left"/>
              <w:rPr>
                <w:sz w:val="14"/>
              </w:rPr>
            </w:pPr>
            <w:r>
              <w:rPr>
                <w:sz w:val="14"/>
              </w:rPr>
              <w:t>2022/23</w:t>
            </w:r>
          </w:p>
        </w:tc>
        <w:tc>
          <w:tcPr>
            <w:tcW w:type="dxa" w:w="736"/>
          </w:tcPr>
          <w:p>
            <w:pPr>
              <w:spacing w:before="10" w:after="10"/>
              <w:jc w:val="center"/>
              <w:rPr>
                <w:sz w:val="14"/>
              </w:rPr>
            </w:pPr>
            <w:r>
              <w:rPr>
                <w:sz w:val="14"/>
              </w:rPr>
              <w:t>83</w:t>
            </w:r>
          </w:p>
        </w:tc>
        <w:tc>
          <w:tcPr>
            <w:tcW w:type="dxa" w:w="859"/>
          </w:tcPr>
          <w:p>
            <w:pPr>
              <w:spacing w:before="10" w:after="10"/>
              <w:jc w:val="center"/>
              <w:rPr>
                <w:sz w:val="14"/>
              </w:rPr>
            </w:pPr>
            <w:r>
              <w:rPr>
                <w:sz w:val="14"/>
              </w:rPr>
              <w:t>0,414</w:t>
            </w:r>
          </w:p>
        </w:tc>
        <w:tc>
          <w:tcPr>
            <w:tcW w:type="dxa" w:w="736"/>
          </w:tcPr>
          <w:p>
            <w:pPr>
              <w:spacing w:before="10" w:after="10"/>
              <w:jc w:val="center"/>
              <w:rPr>
                <w:sz w:val="14"/>
              </w:rPr>
            </w:pPr>
            <w:r>
              <w:rPr>
                <w:sz w:val="14"/>
              </w:rPr>
              <w:t>0,500</w:t>
            </w:r>
          </w:p>
        </w:tc>
        <w:tc>
          <w:tcPr>
            <w:tcW w:type="dxa" w:w="859"/>
          </w:tcPr>
          <w:p>
            <w:pPr>
              <w:spacing w:before="10" w:after="10"/>
              <w:jc w:val="center"/>
              <w:rPr>
                <w:sz w:val="14"/>
              </w:rPr>
            </w:pPr>
            <w:r>
              <w:rPr>
                <w:sz w:val="14"/>
              </w:rPr>
              <w:t>0,317</w:t>
            </w:r>
          </w:p>
        </w:tc>
        <w:tc>
          <w:tcPr>
            <w:tcW w:type="dxa" w:w="981"/>
          </w:tcPr>
          <w:p>
            <w:pPr>
              <w:spacing w:before="10" w:after="10"/>
              <w:jc w:val="center"/>
              <w:rPr>
                <w:sz w:val="14"/>
              </w:rPr>
            </w:pPr>
            <w:r>
              <w:rPr>
                <w:sz w:val="14"/>
              </w:rPr>
              <w:t>0,582</w:t>
            </w:r>
          </w:p>
        </w:tc>
      </w:tr>
      <w:tr>
        <w:tc>
          <w:tcPr>
            <w:tcW w:type="dxa" w:w="797"/>
          </w:tcPr>
          <w:p>
            <w:pPr>
              <w:spacing w:before="10" w:after="10"/>
              <w:jc w:val="left"/>
              <w:rPr>
                <w:sz w:val="14"/>
              </w:rPr>
            </w:pPr>
            <w:r>
              <w:rPr>
                <w:sz w:val="14"/>
              </w:rPr>
              <w:t>2023/24</w:t>
            </w:r>
          </w:p>
        </w:tc>
        <w:tc>
          <w:tcPr>
            <w:tcW w:type="dxa" w:w="736"/>
          </w:tcPr>
          <w:p>
            <w:pPr>
              <w:spacing w:before="10" w:after="10"/>
              <w:jc w:val="center"/>
              <w:rPr>
                <w:sz w:val="14"/>
              </w:rPr>
            </w:pPr>
            <w:r>
              <w:rPr>
                <w:sz w:val="14"/>
              </w:rPr>
              <w:t>94</w:t>
            </w:r>
          </w:p>
        </w:tc>
        <w:tc>
          <w:tcPr>
            <w:tcW w:type="dxa" w:w="859"/>
          </w:tcPr>
          <w:p>
            <w:pPr>
              <w:spacing w:before="10" w:after="10"/>
              <w:jc w:val="center"/>
              <w:rPr>
                <w:sz w:val="14"/>
              </w:rPr>
            </w:pPr>
            <w:r>
              <w:rPr>
                <w:sz w:val="14"/>
              </w:rPr>
              <w:t>0,432</w:t>
            </w:r>
          </w:p>
        </w:tc>
        <w:tc>
          <w:tcPr>
            <w:tcW w:type="dxa" w:w="736"/>
          </w:tcPr>
          <w:p>
            <w:pPr>
              <w:spacing w:before="10" w:after="10"/>
              <w:jc w:val="center"/>
              <w:rPr>
                <w:sz w:val="14"/>
              </w:rPr>
            </w:pPr>
            <w:r>
              <w:rPr>
                <w:sz w:val="14"/>
              </w:rPr>
              <w:t>0,362</w:t>
            </w:r>
          </w:p>
        </w:tc>
        <w:tc>
          <w:tcPr>
            <w:tcW w:type="dxa" w:w="859"/>
          </w:tcPr>
          <w:p>
            <w:pPr>
              <w:spacing w:before="10" w:after="10"/>
              <w:jc w:val="center"/>
              <w:rPr>
                <w:sz w:val="14"/>
              </w:rPr>
            </w:pPr>
            <w:r>
              <w:rPr>
                <w:sz w:val="14"/>
              </w:rPr>
              <w:t>0,253</w:t>
            </w:r>
          </w:p>
        </w:tc>
        <w:tc>
          <w:tcPr>
            <w:tcW w:type="dxa" w:w="981"/>
          </w:tcPr>
          <w:p>
            <w:pPr>
              <w:spacing w:before="10" w:after="10"/>
              <w:jc w:val="center"/>
              <w:rPr>
                <w:sz w:val="14"/>
              </w:rPr>
            </w:pPr>
            <w:r>
              <w:rPr>
                <w:sz w:val="14"/>
              </w:rPr>
              <w:t>0,587</w:t>
            </w:r>
          </w:p>
        </w:tc>
      </w:tr>
      <w:tr>
        <w:tc>
          <w:tcPr>
            <w:tcW w:type="dxa" w:w="797"/>
          </w:tcPr>
          <w:p>
            <w:pPr>
              <w:spacing w:before="10" w:after="10"/>
              <w:jc w:val="left"/>
              <w:rPr>
                <w:sz w:val="14"/>
              </w:rPr>
            </w:pPr>
            <w:r>
              <w:rPr>
                <w:sz w:val="14"/>
              </w:rPr>
              <w:t>2024/25</w:t>
            </w:r>
          </w:p>
        </w:tc>
        <w:tc>
          <w:tcPr>
            <w:tcW w:type="dxa" w:w="736"/>
          </w:tcPr>
          <w:p>
            <w:pPr>
              <w:spacing w:before="10" w:after="10"/>
              <w:jc w:val="center"/>
              <w:rPr>
                <w:sz w:val="14"/>
              </w:rPr>
            </w:pPr>
            <w:r>
              <w:rPr>
                <w:sz w:val="14"/>
              </w:rPr>
              <w:t>190</w:t>
            </w:r>
          </w:p>
        </w:tc>
        <w:tc>
          <w:tcPr>
            <w:tcW w:type="dxa" w:w="859"/>
          </w:tcPr>
          <w:p>
            <w:pPr>
              <w:spacing w:before="10" w:after="10"/>
              <w:jc w:val="center"/>
              <w:rPr>
                <w:sz w:val="14"/>
              </w:rPr>
            </w:pPr>
            <w:r>
              <w:rPr>
                <w:sz w:val="14"/>
              </w:rPr>
              <w:t>0,502</w:t>
            </w:r>
          </w:p>
        </w:tc>
        <w:tc>
          <w:tcPr>
            <w:tcW w:type="dxa" w:w="736"/>
          </w:tcPr>
          <w:p>
            <w:pPr>
              <w:spacing w:before="10" w:after="10"/>
              <w:jc w:val="center"/>
              <w:rPr>
                <w:sz w:val="14"/>
              </w:rPr>
            </w:pPr>
            <w:r>
              <w:rPr>
                <w:sz w:val="14"/>
              </w:rPr>
              <w:t>0,491</w:t>
            </w:r>
          </w:p>
        </w:tc>
        <w:tc>
          <w:tcPr>
            <w:tcW w:type="dxa" w:w="859"/>
          </w:tcPr>
          <w:p>
            <w:pPr>
              <w:spacing w:before="10" w:after="10"/>
              <w:jc w:val="center"/>
              <w:rPr>
                <w:sz w:val="14"/>
              </w:rPr>
            </w:pPr>
            <w:r>
              <w:rPr>
                <w:sz w:val="14"/>
              </w:rPr>
              <w:t>0,397</w:t>
            </w:r>
          </w:p>
        </w:tc>
        <w:tc>
          <w:tcPr>
            <w:tcW w:type="dxa" w:w="981"/>
          </w:tcPr>
          <w:p>
            <w:pPr>
              <w:spacing w:before="10" w:after="10"/>
              <w:jc w:val="center"/>
              <w:rPr>
                <w:sz w:val="14"/>
              </w:rPr>
            </w:pPr>
            <w:r>
              <w:rPr>
                <w:sz w:val="14"/>
              </w:rPr>
              <w:t>0,728</w:t>
            </w:r>
          </w:p>
        </w:tc>
      </w:tr>
      <w:tr>
        <w:tc>
          <w:tcPr>
            <w:tcW w:type="dxa" w:w="797"/>
          </w:tcPr>
          <w:p>
            <w:pPr>
              <w:spacing w:before="10" w:after="10"/>
              <w:jc w:val="left"/>
              <w:rPr>
                <w:sz w:val="14"/>
              </w:rPr>
            </w:pPr>
            <w:r>
              <w:rPr>
                <w:sz w:val="14"/>
              </w:rPr>
              <w:t>2025/26</w:t>
            </w:r>
          </w:p>
        </w:tc>
        <w:tc>
          <w:tcPr>
            <w:tcW w:type="dxa" w:w="736"/>
          </w:tcPr>
          <w:p>
            <w:pPr>
              <w:spacing w:before="10" w:after="10"/>
              <w:jc w:val="center"/>
              <w:rPr>
                <w:sz w:val="14"/>
              </w:rPr>
            </w:pPr>
            <w:r>
              <w:rPr>
                <w:sz w:val="14"/>
              </w:rPr>
              <w:t>79</w:t>
            </w:r>
          </w:p>
        </w:tc>
        <w:tc>
          <w:tcPr>
            <w:tcW w:type="dxa" w:w="859"/>
          </w:tcPr>
          <w:p>
            <w:pPr>
              <w:spacing w:before="10" w:after="10"/>
              <w:jc w:val="center"/>
              <w:rPr>
                <w:sz w:val="14"/>
              </w:rPr>
            </w:pPr>
            <w:r>
              <w:rPr>
                <w:sz w:val="14"/>
              </w:rPr>
              <w:t>0,486</w:t>
            </w:r>
          </w:p>
        </w:tc>
        <w:tc>
          <w:tcPr>
            <w:tcW w:type="dxa" w:w="736"/>
          </w:tcPr>
          <w:p>
            <w:pPr>
              <w:spacing w:before="10" w:after="10"/>
              <w:jc w:val="center"/>
              <w:rPr>
                <w:sz w:val="14"/>
              </w:rPr>
            </w:pPr>
            <w:r>
              <w:rPr>
                <w:sz w:val="14"/>
              </w:rPr>
              <w:t>0,452</w:t>
            </w:r>
          </w:p>
        </w:tc>
        <w:tc>
          <w:tcPr>
            <w:tcW w:type="dxa" w:w="859"/>
          </w:tcPr>
          <w:p>
            <w:pPr>
              <w:spacing w:before="10" w:after="10"/>
              <w:jc w:val="center"/>
              <w:rPr>
                <w:sz w:val="14"/>
              </w:rPr>
            </w:pPr>
            <w:r>
              <w:rPr>
                <w:sz w:val="14"/>
              </w:rPr>
              <w:t>0,244</w:t>
            </w:r>
          </w:p>
        </w:tc>
        <w:tc>
          <w:tcPr>
            <w:tcW w:type="dxa" w:w="981"/>
          </w:tcPr>
          <w:p>
            <w:pPr>
              <w:spacing w:before="10" w:after="10"/>
              <w:jc w:val="center"/>
              <w:rPr>
                <w:sz w:val="14"/>
              </w:rPr>
            </w:pPr>
            <w:r>
              <w:rPr>
                <w:sz w:val="14"/>
              </w:rPr>
              <w:t>0,659</w:t>
            </w:r>
          </w:p>
        </w:tc>
      </w:tr>
    </w:tbl>
    <w:p>
      <w:pPr>
        <w:spacing w:after="80"/>
      </w:pPr>
    </w:p>
    <w:p>
      <w:pPr>
        <w:keepNext/>
        <w:spacing w:before="120"/>
        <w:jc w:val="center"/>
      </w:pPr>
      <w:r>
        <w:drawing>
          <wp:inline xmlns:a="http://schemas.openxmlformats.org/drawingml/2006/main" xmlns:pic="http://schemas.openxmlformats.org/drawingml/2006/picture">
            <wp:extent cx="3154680" cy="1154665"/>
            <wp:docPr id="4" name="Picture 4"/>
            <wp:cNvGraphicFramePr>
              <a:graphicFrameLocks noChangeAspect="1"/>
            </wp:cNvGraphicFramePr>
            <a:graphic>
              <a:graphicData uri="http://schemas.openxmlformats.org/drawingml/2006/picture">
                <pic:pic>
                  <pic:nvPicPr>
                    <pic:cNvPr id="0" name="leadtime.png"/>
                    <pic:cNvPicPr/>
                  </pic:nvPicPr>
                  <pic:blipFill>
                    <a:blip r:embed="rId35"/>
                    <a:stretch>
                      <a:fillRect/>
                    </a:stretch>
                  </pic:blipFill>
                  <pic:spPr>
                    <a:xfrm>
                      <a:off x="0" y="0"/>
                      <a:ext cx="3154680" cy="1154665"/>
                    </a:xfrm>
                    <a:prstGeom prst="rect"/>
                  </pic:spPr>
                </pic:pic>
              </a:graphicData>
            </a:graphic>
          </wp:inline>
        </w:drawing>
      </w:r>
    </w:p>
    <w:p>
      <w:pPr>
        <w:pStyle w:val="FigureCaption"/>
        <w:spacing w:after="160"/>
      </w:pPr>
      <w:r>
        <w:rPr>
          <w:sz w:val="16"/>
        </w:rPr>
        <w:t xml:space="preserve">Şekil 4. </w:t>
      </w:r>
      <w:r>
        <w:rPr>
          <w:sz w:val="16"/>
        </w:rPr>
        <w:t>Test sezonlarında LightGBM ve kalıcılık tahminlerinin öngörü süresine göre CSI ve HSS değerleri ile 1 saatte METAR TREND tahmini. Gölgelendirme: 1, 3 ve 6 saatte hesaplanan %95 gün-blok bootstrap aralıkları (aradaki değerler enterpole edilmiştir).</w:t>
      </w:r>
    </w:p>
    <w:p>
      <w:pPr>
        <w:pStyle w:val="Heading2"/>
        <w:numPr>
          <w:ilvl w:val="0"/>
          <w:numId w:val="0"/>
        </w:numPr>
      </w:pPr>
      <w:r>
        <w:t xml:space="preserve">B. </w:t>
      </w:r>
      <w:r>
        <w:t>Resmî TREND ve TAF Tahminleriyle Karşılaştırma</w:t>
      </w:r>
    </w:p>
    <w:p>
      <w:pPr>
        <w:pStyle w:val="Text"/>
      </w:pPr>
      <w:r>
        <w:t>TREND tahmini her test METAR'ında mevcuttur. Aynı durumlar üzerinde (Tablo VII) TREND'in hâkim okuması 1 saatte CSI 0,623 ve HSS 0,767, en kötü durum okuması ise 0,622 ve 0,765 değerlerine ulaşmakta; bu değerler kalıcılığın (0,652 ve 0,788) biraz altındadır. Başka bir deyişle resmî 2 saatlik tahmin mevcut gözlemin ötesinde nadiren bilgi eklemektedir: TREND grupları çoğunlukla iyileşmeleri bildirmekte, yeni sis oluşumu ise nadiren öngörülmektedir. LightGBM TREND'i ΔCSI = 0,105 [0,075; 0,140] ve ΔHSS = 0,076 [0,053; 0,103] farkla geçmektedir; her iki fark da anlamlıdır. Çalışmanın yazıldığı sırada erişilebilen 30 günlük TAF penceresinde (29 Eylül–30 Ekim 2026; öngörü süresi başına yaklaşık 1 420 tahmin) sis gözlenmemiştir; ne TAF—her iki okumada da—ne de LightGBM sis tahmini vermiş, dolayısıyla ikisi de yanlış alarm üretmemiştir; en kötü durum TAF okuması ise durumların yaklaşık %8'inde 5 km'nin altında pus bildirmiştir. Sis sezonunu kapsayan bir TAF karşılaştırması bu nedenle canlı doğrulamaya bırakılmıştır.</w:t>
      </w:r>
    </w:p>
    <w:p>
      <w:pPr>
        <w:keepNext/>
        <w:widowControl w:val="0"/>
        <w:pBdr>
          <w:top w:val="nil"/>
          <w:left w:val="nil"/>
          <w:bottom w:val="nil"/>
          <w:right w:val="nil"/>
          <w:between w:val="nil"/>
        </w:pBdr>
        <w:spacing w:line="252" w:lineRule="auto"/>
        <w:ind w:firstLine="202"/>
        <w:jc w:val="center"/>
      </w:pPr>
      <w:r>
        <w:rPr>
          <w:sz w:val="16"/>
        </w:rPr>
        <w:t>TABLO VII</w:t>
      </w:r>
    </w:p>
    <w:p>
      <w:pPr>
        <w:pStyle w:val="TableTitle"/>
        <w:keepNext/>
        <w:spacing w:after="60"/>
      </w:pPr>
      <w:r>
        <w:rPr>
          <w:sz w:val="16"/>
        </w:rPr>
        <w:t>Aynı test örneklerinde ML ile METAR TREND tahmininin karşılaştırılması</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728"/>
        <w:gridCol w:w="1728"/>
        <w:gridCol w:w="1728"/>
        <w:gridCol w:w="1728"/>
        <w:gridCol w:w="1728"/>
        <w:gridCol w:w="1728"/>
      </w:tblGrid>
      <w:tr>
        <w:tc>
          <w:tcPr>
            <w:tcW w:type="dxa" w:w="510"/>
            <w:tcBorders>
              <w:bottom w:val="single" w:sz="4" w:color="000000"/>
            </w:tcBorders>
          </w:tcPr>
          <w:p>
            <w:pPr>
              <w:spacing w:before="10" w:after="10"/>
              <w:jc w:val="left"/>
              <w:rPr>
                <w:sz w:val="14"/>
              </w:rPr>
            </w:pPr>
            <w:r>
              <w:rPr>
                <w:b/>
                <w:sz w:val="14"/>
              </w:rPr>
              <w:t>Süre</w:t>
            </w:r>
          </w:p>
        </w:tc>
        <w:tc>
          <w:tcPr>
            <w:tcW w:type="dxa" w:w="1656"/>
            <w:tcBorders>
              <w:bottom w:val="single" w:sz="4" w:color="000000"/>
            </w:tcBorders>
          </w:tcPr>
          <w:p>
            <w:pPr>
              <w:spacing w:before="10" w:after="10"/>
              <w:jc w:val="left"/>
              <w:rPr>
                <w:sz w:val="14"/>
              </w:rPr>
            </w:pPr>
            <w:r>
              <w:rPr>
                <w:b/>
                <w:sz w:val="14"/>
              </w:rPr>
              <w:t>Tahmin</w:t>
            </w:r>
          </w:p>
        </w:tc>
        <w:tc>
          <w:tcPr>
            <w:tcW w:type="dxa" w:w="701"/>
            <w:tcBorders>
              <w:bottom w:val="single" w:sz="4" w:color="000000"/>
            </w:tcBorders>
          </w:tcPr>
          <w:p>
            <w:pPr>
              <w:spacing w:before="10" w:after="10"/>
              <w:jc w:val="center"/>
              <w:rPr>
                <w:sz w:val="14"/>
              </w:rPr>
            </w:pPr>
            <w:r>
              <w:rPr>
                <w:b/>
                <w:sz w:val="14"/>
              </w:rPr>
              <w:t>POD</w:t>
            </w:r>
          </w:p>
        </w:tc>
        <w:tc>
          <w:tcPr>
            <w:tcW w:type="dxa" w:w="701"/>
            <w:tcBorders>
              <w:bottom w:val="single" w:sz="4" w:color="000000"/>
            </w:tcBorders>
          </w:tcPr>
          <w:p>
            <w:pPr>
              <w:spacing w:before="10" w:after="10"/>
              <w:jc w:val="center"/>
              <w:rPr>
                <w:sz w:val="14"/>
              </w:rPr>
            </w:pPr>
            <w:r>
              <w:rPr>
                <w:b/>
                <w:sz w:val="14"/>
              </w:rPr>
              <w:t>FAR</w:t>
            </w:r>
          </w:p>
        </w:tc>
        <w:tc>
          <w:tcPr>
            <w:tcW w:type="dxa" w:w="701"/>
            <w:tcBorders>
              <w:bottom w:val="single" w:sz="4" w:color="000000"/>
            </w:tcBorders>
          </w:tcPr>
          <w:p>
            <w:pPr>
              <w:spacing w:before="10" w:after="10"/>
              <w:jc w:val="center"/>
              <w:rPr>
                <w:sz w:val="14"/>
              </w:rPr>
            </w:pPr>
            <w:r>
              <w:rPr>
                <w:b/>
                <w:sz w:val="14"/>
              </w:rPr>
              <w:t>CSI</w:t>
            </w:r>
          </w:p>
        </w:tc>
        <w:tc>
          <w:tcPr>
            <w:tcW w:type="dxa" w:w="701"/>
            <w:tcBorders>
              <w:bottom w:val="single" w:sz="4" w:color="000000"/>
            </w:tcBorders>
          </w:tcPr>
          <w:p>
            <w:pPr>
              <w:spacing w:before="10" w:after="10"/>
              <w:jc w:val="center"/>
              <w:rPr>
                <w:sz w:val="14"/>
              </w:rPr>
            </w:pPr>
            <w:r>
              <w:rPr>
                <w:b/>
                <w:sz w:val="14"/>
              </w:rPr>
              <w:t>HSS</w:t>
            </w:r>
          </w:p>
        </w:tc>
      </w:tr>
      <w:tr>
        <w:tc>
          <w:tcPr>
            <w:tcW w:type="dxa" w:w="510"/>
          </w:tcPr>
          <w:p>
            <w:pPr>
              <w:spacing w:before="10" w:after="10"/>
              <w:jc w:val="left"/>
              <w:rPr>
                <w:sz w:val="14"/>
              </w:rPr>
            </w:pPr>
            <w:r>
              <w:rPr>
                <w:sz w:val="14"/>
              </w:rPr>
              <w:t>1 sa</w:t>
            </w:r>
          </w:p>
        </w:tc>
        <w:tc>
          <w:tcPr>
            <w:tcW w:type="dxa" w:w="1656"/>
          </w:tcPr>
          <w:p>
            <w:pPr>
              <w:spacing w:before="10" w:after="10"/>
              <w:jc w:val="left"/>
              <w:rPr>
                <w:sz w:val="14"/>
              </w:rPr>
            </w:pPr>
            <w:r>
              <w:rPr>
                <w:sz w:val="14"/>
              </w:rPr>
              <w:t>LightGBM</w:t>
            </w:r>
          </w:p>
        </w:tc>
        <w:tc>
          <w:tcPr>
            <w:tcW w:type="dxa" w:w="701"/>
          </w:tcPr>
          <w:p>
            <w:pPr>
              <w:spacing w:before="10" w:after="10"/>
              <w:jc w:val="center"/>
              <w:rPr>
                <w:sz w:val="14"/>
              </w:rPr>
            </w:pPr>
            <w:r>
              <w:rPr>
                <w:b/>
                <w:sz w:val="14"/>
              </w:rPr>
              <w:t>0,825</w:t>
            </w:r>
          </w:p>
        </w:tc>
        <w:tc>
          <w:tcPr>
            <w:tcW w:type="dxa" w:w="701"/>
          </w:tcPr>
          <w:p>
            <w:pPr>
              <w:spacing w:before="10" w:after="10"/>
              <w:jc w:val="center"/>
              <w:rPr>
                <w:sz w:val="14"/>
              </w:rPr>
            </w:pPr>
            <w:r>
              <w:rPr>
                <w:b/>
                <w:sz w:val="14"/>
              </w:rPr>
              <w:t>0,138</w:t>
            </w:r>
          </w:p>
        </w:tc>
        <w:tc>
          <w:tcPr>
            <w:tcW w:type="dxa" w:w="701"/>
          </w:tcPr>
          <w:p>
            <w:pPr>
              <w:spacing w:before="10" w:after="10"/>
              <w:jc w:val="center"/>
              <w:rPr>
                <w:sz w:val="14"/>
              </w:rPr>
            </w:pPr>
            <w:r>
              <w:rPr>
                <w:b/>
                <w:sz w:val="14"/>
              </w:rPr>
              <w:t>0,729</w:t>
            </w:r>
          </w:p>
        </w:tc>
        <w:tc>
          <w:tcPr>
            <w:tcW w:type="dxa" w:w="701"/>
          </w:tcPr>
          <w:p>
            <w:pPr>
              <w:spacing w:before="10" w:after="10"/>
              <w:jc w:val="center"/>
              <w:rPr>
                <w:sz w:val="14"/>
              </w:rPr>
            </w:pPr>
            <w:r>
              <w:rPr>
                <w:b/>
                <w:sz w:val="14"/>
              </w:rPr>
              <w:t>0,842</w:t>
            </w:r>
          </w:p>
        </w:tc>
      </w:tr>
      <w:tr>
        <w:tc>
          <w:tcPr>
            <w:tcW w:type="dxa" w:w="510"/>
          </w:tcPr>
          <w:p>
            <w:pPr>
              <w:spacing w:before="10" w:after="10"/>
              <w:jc w:val="left"/>
              <w:rPr>
                <w:sz w:val="14"/>
              </w:rPr>
            </w:pPr>
          </w:p>
        </w:tc>
        <w:tc>
          <w:tcPr>
            <w:tcW w:type="dxa" w:w="1656"/>
          </w:tcPr>
          <w:p>
            <w:pPr>
              <w:spacing w:before="10" w:after="10"/>
              <w:jc w:val="left"/>
              <w:rPr>
                <w:sz w:val="14"/>
              </w:rPr>
            </w:pPr>
            <w:r>
              <w:rPr>
                <w:sz w:val="14"/>
              </w:rPr>
              <w:t>GRU</w:t>
            </w:r>
          </w:p>
        </w:tc>
        <w:tc>
          <w:tcPr>
            <w:tcW w:type="dxa" w:w="701"/>
          </w:tcPr>
          <w:p>
            <w:pPr>
              <w:spacing w:before="10" w:after="10"/>
              <w:jc w:val="center"/>
              <w:rPr>
                <w:sz w:val="14"/>
              </w:rPr>
            </w:pPr>
            <w:r>
              <w:rPr>
                <w:sz w:val="14"/>
              </w:rPr>
              <w:t>0,809</w:t>
            </w:r>
          </w:p>
        </w:tc>
        <w:tc>
          <w:tcPr>
            <w:tcW w:type="dxa" w:w="701"/>
          </w:tcPr>
          <w:p>
            <w:pPr>
              <w:spacing w:before="10" w:after="10"/>
              <w:jc w:val="center"/>
              <w:rPr>
                <w:sz w:val="14"/>
              </w:rPr>
            </w:pPr>
            <w:r>
              <w:rPr>
                <w:b/>
                <w:sz w:val="14"/>
              </w:rPr>
              <w:t>0,138</w:t>
            </w:r>
          </w:p>
        </w:tc>
        <w:tc>
          <w:tcPr>
            <w:tcW w:type="dxa" w:w="701"/>
          </w:tcPr>
          <w:p>
            <w:pPr>
              <w:spacing w:before="10" w:after="10"/>
              <w:jc w:val="center"/>
              <w:rPr>
                <w:sz w:val="14"/>
              </w:rPr>
            </w:pPr>
            <w:r>
              <w:rPr>
                <w:sz w:val="14"/>
              </w:rPr>
              <w:t>0,716</w:t>
            </w:r>
          </w:p>
        </w:tc>
        <w:tc>
          <w:tcPr>
            <w:tcW w:type="dxa" w:w="701"/>
          </w:tcPr>
          <w:p>
            <w:pPr>
              <w:spacing w:before="10" w:after="10"/>
              <w:jc w:val="center"/>
              <w:rPr>
                <w:sz w:val="14"/>
              </w:rPr>
            </w:pPr>
            <w:r>
              <w:rPr>
                <w:sz w:val="14"/>
              </w:rPr>
              <w:t>0,834</w:t>
            </w:r>
          </w:p>
        </w:tc>
      </w:tr>
      <w:tr>
        <w:tc>
          <w:tcPr>
            <w:tcW w:type="dxa" w:w="510"/>
          </w:tcPr>
          <w:p>
            <w:pPr>
              <w:spacing w:before="10" w:after="10"/>
              <w:jc w:val="left"/>
              <w:rPr>
                <w:sz w:val="14"/>
              </w:rPr>
            </w:pPr>
          </w:p>
        </w:tc>
        <w:tc>
          <w:tcPr>
            <w:tcW w:type="dxa" w:w="1656"/>
          </w:tcPr>
          <w:p>
            <w:pPr>
              <w:spacing w:before="10" w:after="10"/>
              <w:jc w:val="left"/>
              <w:rPr>
                <w:sz w:val="14"/>
              </w:rPr>
            </w:pPr>
            <w:r>
              <w:rPr>
                <w:sz w:val="14"/>
              </w:rPr>
              <w:t>Kalıcılık</w:t>
            </w:r>
          </w:p>
        </w:tc>
        <w:tc>
          <w:tcPr>
            <w:tcW w:type="dxa" w:w="701"/>
          </w:tcPr>
          <w:p>
            <w:pPr>
              <w:spacing w:before="10" w:after="10"/>
              <w:jc w:val="center"/>
              <w:rPr>
                <w:sz w:val="14"/>
              </w:rPr>
            </w:pPr>
            <w:r>
              <w:rPr>
                <w:sz w:val="14"/>
              </w:rPr>
              <w:t>0,789</w:t>
            </w:r>
          </w:p>
        </w:tc>
        <w:tc>
          <w:tcPr>
            <w:tcW w:type="dxa" w:w="701"/>
          </w:tcPr>
          <w:p>
            <w:pPr>
              <w:spacing w:before="10" w:after="10"/>
              <w:jc w:val="center"/>
              <w:rPr>
                <w:sz w:val="14"/>
              </w:rPr>
            </w:pPr>
            <w:r>
              <w:rPr>
                <w:sz w:val="14"/>
              </w:rPr>
              <w:t>0,211</w:t>
            </w:r>
          </w:p>
        </w:tc>
        <w:tc>
          <w:tcPr>
            <w:tcW w:type="dxa" w:w="701"/>
          </w:tcPr>
          <w:p>
            <w:pPr>
              <w:spacing w:before="10" w:after="10"/>
              <w:jc w:val="center"/>
              <w:rPr>
                <w:sz w:val="14"/>
              </w:rPr>
            </w:pPr>
            <w:r>
              <w:rPr>
                <w:sz w:val="14"/>
              </w:rPr>
              <w:t>0,652</w:t>
            </w:r>
          </w:p>
        </w:tc>
        <w:tc>
          <w:tcPr>
            <w:tcW w:type="dxa" w:w="701"/>
          </w:tcPr>
          <w:p>
            <w:pPr>
              <w:spacing w:before="10" w:after="10"/>
              <w:jc w:val="center"/>
              <w:rPr>
                <w:sz w:val="14"/>
              </w:rPr>
            </w:pPr>
            <w:r>
              <w:rPr>
                <w:sz w:val="14"/>
              </w:rPr>
              <w:t>0,788</w:t>
            </w:r>
          </w:p>
        </w:tc>
      </w:tr>
      <w:tr>
        <w:tc>
          <w:tcPr>
            <w:tcW w:type="dxa" w:w="510"/>
          </w:tcPr>
          <w:p>
            <w:pPr>
              <w:spacing w:before="10" w:after="10"/>
              <w:jc w:val="left"/>
              <w:rPr>
                <w:sz w:val="14"/>
              </w:rPr>
            </w:pPr>
          </w:p>
        </w:tc>
        <w:tc>
          <w:tcPr>
            <w:tcW w:type="dxa" w:w="1656"/>
          </w:tcPr>
          <w:p>
            <w:pPr>
              <w:spacing w:before="10" w:after="10"/>
              <w:jc w:val="left"/>
              <w:rPr>
                <w:sz w:val="14"/>
              </w:rPr>
            </w:pPr>
            <w:r>
              <w:rPr>
                <w:sz w:val="14"/>
              </w:rPr>
              <w:t>TREND (hâkim)</w:t>
            </w:r>
          </w:p>
        </w:tc>
        <w:tc>
          <w:tcPr>
            <w:tcW w:type="dxa" w:w="701"/>
          </w:tcPr>
          <w:p>
            <w:pPr>
              <w:spacing w:before="10" w:after="10"/>
              <w:jc w:val="center"/>
              <w:rPr>
                <w:sz w:val="14"/>
              </w:rPr>
            </w:pPr>
            <w:r>
              <w:rPr>
                <w:sz w:val="14"/>
              </w:rPr>
              <w:t>0,753</w:t>
            </w:r>
          </w:p>
        </w:tc>
        <w:tc>
          <w:tcPr>
            <w:tcW w:type="dxa" w:w="701"/>
          </w:tcPr>
          <w:p>
            <w:pPr>
              <w:spacing w:before="10" w:after="10"/>
              <w:jc w:val="center"/>
              <w:rPr>
                <w:sz w:val="14"/>
              </w:rPr>
            </w:pPr>
            <w:r>
              <w:rPr>
                <w:sz w:val="14"/>
              </w:rPr>
              <w:t>0,217</w:t>
            </w:r>
          </w:p>
        </w:tc>
        <w:tc>
          <w:tcPr>
            <w:tcW w:type="dxa" w:w="701"/>
          </w:tcPr>
          <w:p>
            <w:pPr>
              <w:spacing w:before="10" w:after="10"/>
              <w:jc w:val="center"/>
              <w:rPr>
                <w:sz w:val="14"/>
              </w:rPr>
            </w:pPr>
            <w:r>
              <w:rPr>
                <w:sz w:val="14"/>
              </w:rPr>
              <w:t>0,623</w:t>
            </w:r>
          </w:p>
        </w:tc>
        <w:tc>
          <w:tcPr>
            <w:tcW w:type="dxa" w:w="701"/>
          </w:tcPr>
          <w:p>
            <w:pPr>
              <w:spacing w:before="10" w:after="10"/>
              <w:jc w:val="center"/>
              <w:rPr>
                <w:sz w:val="14"/>
              </w:rPr>
            </w:pPr>
            <w:r>
              <w:rPr>
                <w:sz w:val="14"/>
              </w:rPr>
              <w:t>0,767</w:t>
            </w:r>
          </w:p>
        </w:tc>
      </w:tr>
      <w:tr>
        <w:tc>
          <w:tcPr>
            <w:tcW w:type="dxa" w:w="510"/>
          </w:tcPr>
          <w:p>
            <w:pPr>
              <w:spacing w:before="10" w:after="10"/>
              <w:jc w:val="left"/>
              <w:rPr>
                <w:sz w:val="14"/>
              </w:rPr>
            </w:pPr>
          </w:p>
        </w:tc>
        <w:tc>
          <w:tcPr>
            <w:tcW w:type="dxa" w:w="1656"/>
          </w:tcPr>
          <w:p>
            <w:pPr>
              <w:spacing w:before="10" w:after="10"/>
              <w:jc w:val="left"/>
              <w:rPr>
                <w:sz w:val="14"/>
              </w:rPr>
            </w:pPr>
            <w:r>
              <w:rPr>
                <w:sz w:val="14"/>
              </w:rPr>
              <w:t>TREND (en kötü)</w:t>
            </w:r>
          </w:p>
        </w:tc>
        <w:tc>
          <w:tcPr>
            <w:tcW w:type="dxa" w:w="701"/>
          </w:tcPr>
          <w:p>
            <w:pPr>
              <w:spacing w:before="10" w:after="10"/>
              <w:jc w:val="center"/>
              <w:rPr>
                <w:sz w:val="14"/>
              </w:rPr>
            </w:pPr>
            <w:r>
              <w:rPr>
                <w:sz w:val="14"/>
              </w:rPr>
              <w:t>0,774</w:t>
            </w:r>
          </w:p>
        </w:tc>
        <w:tc>
          <w:tcPr>
            <w:tcW w:type="dxa" w:w="701"/>
          </w:tcPr>
          <w:p>
            <w:pPr>
              <w:spacing w:before="10" w:after="10"/>
              <w:jc w:val="center"/>
              <w:rPr>
                <w:sz w:val="14"/>
              </w:rPr>
            </w:pPr>
            <w:r>
              <w:rPr>
                <w:sz w:val="14"/>
              </w:rPr>
              <w:t>0,240</w:t>
            </w:r>
          </w:p>
        </w:tc>
        <w:tc>
          <w:tcPr>
            <w:tcW w:type="dxa" w:w="701"/>
          </w:tcPr>
          <w:p>
            <w:pPr>
              <w:spacing w:before="10" w:after="10"/>
              <w:jc w:val="center"/>
              <w:rPr>
                <w:sz w:val="14"/>
              </w:rPr>
            </w:pPr>
            <w:r>
              <w:rPr>
                <w:sz w:val="14"/>
              </w:rPr>
              <w:t>0,622</w:t>
            </w:r>
          </w:p>
        </w:tc>
        <w:tc>
          <w:tcPr>
            <w:tcW w:type="dxa" w:w="701"/>
          </w:tcPr>
          <w:p>
            <w:pPr>
              <w:spacing w:before="10" w:after="10"/>
              <w:jc w:val="center"/>
              <w:rPr>
                <w:sz w:val="14"/>
              </w:rPr>
            </w:pPr>
            <w:r>
              <w:rPr>
                <w:sz w:val="14"/>
              </w:rPr>
              <w:t>0,765</w:t>
            </w:r>
          </w:p>
        </w:tc>
      </w:tr>
    </w:tbl>
    <w:p>
      <w:pPr>
        <w:pStyle w:val="FigureCaption"/>
        <w:spacing w:before="40"/>
      </w:pPr>
      <w:r>
        <w:rPr>
          <w:sz w:val="14"/>
        </w:rPr>
        <w:t>Çözümlenebilir TREND içeren 70 037 tahmin (1 sa için 446 sis durumu).</w:t>
      </w:r>
    </w:p>
    <w:p>
      <w:pPr>
        <w:spacing w:after="80"/>
      </w:pPr>
    </w:p>
    <w:p>
      <w:pPr>
        <w:pStyle w:val="Heading2"/>
        <w:numPr>
          <w:ilvl w:val="0"/>
          <w:numId w:val="0"/>
        </w:numPr>
      </w:pPr>
      <w:r>
        <w:t xml:space="preserve">C. </w:t>
      </w:r>
      <w:r>
        <w:t>Sis Başlangıçları ve Dağılmaları</w:t>
      </w:r>
    </w:p>
    <w:p>
      <w:pPr>
        <w:pStyle w:val="Text"/>
      </w:pPr>
      <w:r>
        <w:t>Başlangıç ve dağılmalar, kalıcılık tahmini ikisini de öngöremediği için kısa vadeli tahminin operasyonel değer yarattığı anlardır. Şekil 5, test sezonlarındaki 48 sis başlangıcının (en az 2 saat sissiz geçen sürenin ardından sis) ve 44 dağılmanın doğru tahmin edilme oranını göstermektedir. Dağılmalar iyi yakalanmaktadır: 1 saatte XGBoost dağılmaların %45'ini doğru tahmin etmekte (kalıcılık: %0), 6 saatte GRU %86'ya ulaşmaktadır (kalıcılık: %68). Başlangıçlar ise en zor problem olmaya devam etmektedir: CSI'yı en büyükleyen eşiklerde modeller başlangıçların %2–21'ini yakalarken kalıcılıkta bu oran %0–4'tür. Kademeli uyarı tasarımı bu sınırlılığı hafifletmektedir: izleme seviyesinde (</w:t>
      </w:r>
      <w:r>
        <w:rPr>
          <w:i/>
        </w:rPr>
        <w:t>τ</w:t>
      </w:r>
      <w:r>
        <w:rPr>
          <w:i/>
          <w:vertAlign w:val="subscript"/>
        </w:rPr>
        <w:t>h</w:t>
      </w:r>
      <w:r>
        <w:t>/2</w:t>
      </w:r>
      <w:r>
        <w:t>) LightGBM, başlangıçların 1, 3 ve 6 saat önceden sırasıyla %25, %21 ve %38'ini işaretlerken CSI yalnızca 0,729'dan 0,692'ye, 0,467'den 0,435'e ve 0,297'den 0,271'e düşmektedir.</w:t>
      </w:r>
    </w:p>
    <w:p>
      <w:pPr>
        <w:keepNext/>
        <w:spacing w:before="120"/>
        <w:jc w:val="center"/>
      </w:pPr>
      <w:r>
        <w:drawing>
          <wp:inline xmlns:a="http://schemas.openxmlformats.org/drawingml/2006/main" xmlns:pic="http://schemas.openxmlformats.org/drawingml/2006/picture">
            <wp:extent cx="3154680" cy="1155258"/>
            <wp:docPr id="5" name="Picture 5"/>
            <wp:cNvGraphicFramePr>
              <a:graphicFrameLocks noChangeAspect="1"/>
            </wp:cNvGraphicFramePr>
            <a:graphic>
              <a:graphicData uri="http://schemas.openxmlformats.org/drawingml/2006/picture">
                <pic:pic>
                  <pic:nvPicPr>
                    <pic:cNvPr id="0" name="onset_dissipation.png"/>
                    <pic:cNvPicPr/>
                  </pic:nvPicPr>
                  <pic:blipFill>
                    <a:blip r:embed="rId36"/>
                    <a:stretch>
                      <a:fillRect/>
                    </a:stretch>
                  </pic:blipFill>
                  <pic:spPr>
                    <a:xfrm>
                      <a:off x="0" y="0"/>
                      <a:ext cx="3154680" cy="1155258"/>
                    </a:xfrm>
                    <a:prstGeom prst="rect"/>
                  </pic:spPr>
                </pic:pic>
              </a:graphicData>
            </a:graphic>
          </wp:inline>
        </w:drawing>
      </w:r>
    </w:p>
    <w:p>
      <w:pPr>
        <w:pStyle w:val="FigureCaption"/>
        <w:spacing w:after="160"/>
      </w:pPr>
      <w:r>
        <w:rPr>
          <w:sz w:val="16"/>
        </w:rPr>
        <w:t xml:space="preserve">Şekil 5. </w:t>
      </w:r>
      <w:r>
        <w:rPr>
          <w:sz w:val="16"/>
        </w:rPr>
        <w:t>CSI'yı en büyükleyen eşiklerde test sezonlarındaki sis başlangıçlarının (solda) ve dağılmalarının (sağda) doğru tahmin edilme oranı.</w:t>
      </w:r>
    </w:p>
    <w:p>
      <w:pPr>
        <w:pStyle w:val="Heading2"/>
        <w:numPr>
          <w:ilvl w:val="0"/>
          <w:numId w:val="0"/>
        </w:numPr>
      </w:pPr>
      <w:r>
        <w:t xml:space="preserve">D. </w:t>
      </w:r>
      <w:r>
        <w:t>ILS Kategorisi Tahminleri</w:t>
      </w:r>
    </w:p>
    <w:p>
      <w:pPr>
        <w:pStyle w:val="Text"/>
      </w:pPr>
      <w:r>
        <w:t>Tablo VIII ve Şekil 6 sıralı RVR tahminlerini özetlemektedir. Tüm ML modelleri her öngörü süresinde pozitif bir sıralı olasılık beceri skoruna ulaşmaktadır—1 saatte 0,636 (LightGBM), 3 saatte 0,407 (XGBoost) ve 6 saatte 0,281 (LSTM)—buna karşılık kalıcılık 0,427'den −0,166'ya ve −0,695'e düşmektedir. CAT III koşulları (RVR &lt; 350 m) için LightGBM 1 saatte CSI 0,578'e, GRU ise 3 saatte 0,371'e ulaşmaktadır (kalıcılık: 0,521 ve 0,225). Karışıklık matrisleri CAT III'ün iyi tanındığını (1 saatte durumların %76'sı), ara sınıf olan CAT II'nin ise komşu sınıflarla sık karıştırılan en zor sınıf olduğunu göstermektedir; bu, RVR'nin dar bir geçiş bandı için beklenen bir durumdur.</w:t>
      </w:r>
    </w:p>
    <w:p>
      <w:pPr>
        <w:keepNext/>
        <w:widowControl w:val="0"/>
        <w:pBdr>
          <w:top w:val="nil"/>
          <w:left w:val="nil"/>
          <w:bottom w:val="nil"/>
          <w:right w:val="nil"/>
          <w:between w:val="nil"/>
        </w:pBdr>
        <w:spacing w:line="252" w:lineRule="auto"/>
        <w:ind w:firstLine="202"/>
        <w:jc w:val="center"/>
      </w:pPr>
      <w:r>
        <w:rPr>
          <w:sz w:val="16"/>
        </w:rPr>
        <w:t>TABLO VIII</w:t>
      </w:r>
    </w:p>
    <w:p>
      <w:pPr>
        <w:pStyle w:val="TableTitle"/>
        <w:keepNext/>
        <w:spacing w:after="60"/>
      </w:pPr>
      <w:r>
        <w:rPr>
          <w:sz w:val="16"/>
        </w:rPr>
        <w:t>Test sezonlarında ILS kategorisi (RVR) tahminleri</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481"/>
        <w:gridCol w:w="1481"/>
        <w:gridCol w:w="1481"/>
        <w:gridCol w:w="1481"/>
        <w:gridCol w:w="1481"/>
        <w:gridCol w:w="1481"/>
        <w:gridCol w:w="1481"/>
      </w:tblGrid>
      <w:tr>
        <w:tc>
          <w:tcPr>
            <w:tcW w:type="dxa" w:w="490"/>
            <w:tcBorders>
              <w:bottom w:val="single" w:sz="4" w:color="000000"/>
            </w:tcBorders>
          </w:tcPr>
          <w:p>
            <w:pPr>
              <w:spacing w:before="10" w:after="10"/>
              <w:jc w:val="left"/>
              <w:rPr>
                <w:sz w:val="14"/>
              </w:rPr>
            </w:pPr>
            <w:r>
              <w:rPr>
                <w:b/>
                <w:sz w:val="14"/>
              </w:rPr>
              <w:t>Süre</w:t>
            </w:r>
          </w:p>
        </w:tc>
        <w:tc>
          <w:tcPr>
            <w:tcW w:type="dxa" w:w="1066"/>
            <w:tcBorders>
              <w:bottom w:val="single" w:sz="4" w:color="000000"/>
            </w:tcBorders>
          </w:tcPr>
          <w:p>
            <w:pPr>
              <w:spacing w:before="10" w:after="10"/>
              <w:jc w:val="left"/>
              <w:rPr>
                <w:sz w:val="14"/>
              </w:rPr>
            </w:pPr>
            <w:r>
              <w:rPr>
                <w:b/>
                <w:sz w:val="14"/>
              </w:rPr>
              <w:t>Tahmin</w:t>
            </w:r>
          </w:p>
        </w:tc>
        <w:tc>
          <w:tcPr>
            <w:tcW w:type="dxa" w:w="677"/>
            <w:tcBorders>
              <w:bottom w:val="single" w:sz="4" w:color="000000"/>
            </w:tcBorders>
          </w:tcPr>
          <w:p>
            <w:pPr>
              <w:spacing w:before="10" w:after="10"/>
              <w:jc w:val="center"/>
              <w:rPr>
                <w:sz w:val="14"/>
              </w:rPr>
            </w:pPr>
            <w:r>
              <w:rPr>
                <w:b/>
                <w:sz w:val="14"/>
              </w:rPr>
              <w:t>RPSS</w:t>
            </w:r>
          </w:p>
        </w:tc>
        <w:tc>
          <w:tcPr>
            <w:tcW w:type="dxa" w:w="749"/>
            <w:tcBorders>
              <w:bottom w:val="single" w:sz="4" w:color="000000"/>
            </w:tcBorders>
          </w:tcPr>
          <w:p>
            <w:pPr>
              <w:spacing w:before="10" w:after="10"/>
              <w:jc w:val="center"/>
              <w:rPr>
                <w:sz w:val="14"/>
              </w:rPr>
            </w:pPr>
            <w:r>
              <w:rPr>
                <w:b/>
                <w:sz w:val="14"/>
              </w:rPr>
              <w:t>Macro-F1</w:t>
            </w:r>
          </w:p>
        </w:tc>
        <w:tc>
          <w:tcPr>
            <w:tcW w:type="dxa" w:w="648"/>
            <w:tcBorders>
              <w:bottom w:val="single" w:sz="4" w:color="000000"/>
            </w:tcBorders>
          </w:tcPr>
          <w:p>
            <w:pPr>
              <w:spacing w:before="10" w:after="10"/>
              <w:jc w:val="center"/>
              <w:rPr>
                <w:sz w:val="14"/>
              </w:rPr>
            </w:pPr>
            <w:r>
              <w:rPr>
                <w:b/>
                <w:sz w:val="14"/>
              </w:rPr>
              <w:t>HSS</w:t>
            </w:r>
            <w:r>
              <w:rPr>
                <w:b/>
                <w:i w:val="0"/>
                <w:sz w:val="14"/>
                <w:vertAlign w:val="subscript"/>
              </w:rPr>
              <w:t>3</w:t>
            </w:r>
          </w:p>
        </w:tc>
        <w:tc>
          <w:tcPr>
            <w:tcW w:type="dxa" w:w="691"/>
            <w:tcBorders>
              <w:bottom w:val="single" w:sz="4" w:color="000000"/>
            </w:tcBorders>
          </w:tcPr>
          <w:p>
            <w:pPr>
              <w:spacing w:before="10" w:after="10"/>
              <w:jc w:val="center"/>
              <w:rPr>
                <w:sz w:val="14"/>
              </w:rPr>
            </w:pPr>
            <w:r>
              <w:rPr>
                <w:b/>
                <w:sz w:val="14"/>
              </w:rPr>
              <w:t>CSI</w:t>
            </w:r>
            <w:r>
              <w:rPr>
                <w:b/>
                <w:i w:val="0"/>
                <w:sz w:val="14"/>
                <w:vertAlign w:val="subscript"/>
              </w:rPr>
              <w:t>≥II</w:t>
            </w:r>
          </w:p>
        </w:tc>
        <w:tc>
          <w:tcPr>
            <w:tcW w:type="dxa" w:w="648"/>
            <w:tcBorders>
              <w:bottom w:val="single" w:sz="4" w:color="000000"/>
            </w:tcBorders>
          </w:tcPr>
          <w:p>
            <w:pPr>
              <w:spacing w:before="10" w:after="10"/>
              <w:jc w:val="center"/>
              <w:rPr>
                <w:sz w:val="14"/>
              </w:rPr>
            </w:pPr>
            <w:r>
              <w:rPr>
                <w:b/>
                <w:sz w:val="14"/>
              </w:rPr>
              <w:t>CSI</w:t>
            </w:r>
            <w:r>
              <w:rPr>
                <w:b/>
                <w:i/>
                <w:sz w:val="14"/>
                <w:vertAlign w:val="subscript"/>
              </w:rPr>
              <w:t>III</w:t>
            </w:r>
          </w:p>
        </w:tc>
      </w:tr>
      <w:tr>
        <w:tc>
          <w:tcPr>
            <w:tcW w:type="dxa" w:w="490"/>
          </w:tcPr>
          <w:p>
            <w:pPr>
              <w:spacing w:before="10" w:after="10"/>
              <w:jc w:val="left"/>
              <w:rPr>
                <w:sz w:val="14"/>
              </w:rPr>
            </w:pPr>
            <w:r>
              <w:rPr>
                <w:sz w:val="14"/>
              </w:rPr>
              <w:t>1 sa</w:t>
            </w:r>
          </w:p>
        </w:tc>
        <w:tc>
          <w:tcPr>
            <w:tcW w:type="dxa" w:w="1066"/>
          </w:tcPr>
          <w:p>
            <w:pPr>
              <w:spacing w:before="10" w:after="10"/>
              <w:jc w:val="left"/>
              <w:rPr>
                <w:sz w:val="14"/>
              </w:rPr>
            </w:pPr>
            <w:r>
              <w:rPr>
                <w:sz w:val="14"/>
              </w:rPr>
              <w:t>LR</w:t>
            </w:r>
          </w:p>
        </w:tc>
        <w:tc>
          <w:tcPr>
            <w:tcW w:type="dxa" w:w="677"/>
          </w:tcPr>
          <w:p>
            <w:pPr>
              <w:spacing w:before="10" w:after="10"/>
              <w:jc w:val="center"/>
              <w:rPr>
                <w:sz w:val="14"/>
              </w:rPr>
            </w:pPr>
            <w:r>
              <w:rPr>
                <w:sz w:val="14"/>
              </w:rPr>
              <w:t>0,596</w:t>
            </w:r>
          </w:p>
        </w:tc>
        <w:tc>
          <w:tcPr>
            <w:tcW w:type="dxa" w:w="749"/>
          </w:tcPr>
          <w:p>
            <w:pPr>
              <w:spacing w:before="10" w:after="10"/>
              <w:jc w:val="center"/>
              <w:rPr>
                <w:sz w:val="14"/>
              </w:rPr>
            </w:pPr>
            <w:r>
              <w:rPr>
                <w:sz w:val="14"/>
              </w:rPr>
              <w:t>0,602</w:t>
            </w:r>
          </w:p>
        </w:tc>
        <w:tc>
          <w:tcPr>
            <w:tcW w:type="dxa" w:w="648"/>
          </w:tcPr>
          <w:p>
            <w:pPr>
              <w:spacing w:before="10" w:after="10"/>
              <w:jc w:val="center"/>
              <w:rPr>
                <w:sz w:val="14"/>
              </w:rPr>
            </w:pPr>
            <w:r>
              <w:rPr>
                <w:sz w:val="14"/>
              </w:rPr>
              <w:t>0,656</w:t>
            </w:r>
          </w:p>
        </w:tc>
        <w:tc>
          <w:tcPr>
            <w:tcW w:type="dxa" w:w="691"/>
          </w:tcPr>
          <w:p>
            <w:pPr>
              <w:spacing w:before="10" w:after="10"/>
              <w:jc w:val="center"/>
              <w:rPr>
                <w:sz w:val="14"/>
              </w:rPr>
            </w:pPr>
            <w:r>
              <w:rPr>
                <w:sz w:val="14"/>
              </w:rPr>
              <w:t>0,632</w:t>
            </w:r>
          </w:p>
        </w:tc>
        <w:tc>
          <w:tcPr>
            <w:tcW w:type="dxa" w:w="648"/>
          </w:tcPr>
          <w:p>
            <w:pPr>
              <w:spacing w:before="10" w:after="10"/>
              <w:jc w:val="center"/>
              <w:rPr>
                <w:sz w:val="14"/>
              </w:rPr>
            </w:pPr>
            <w:r>
              <w:rPr>
                <w:sz w:val="14"/>
              </w:rPr>
              <w:t>0,514</w:t>
            </w:r>
          </w:p>
        </w:tc>
      </w:tr>
      <w:tr>
        <w:tc>
          <w:tcPr>
            <w:tcW w:type="dxa" w:w="490"/>
          </w:tcPr>
          <w:p>
            <w:pPr>
              <w:spacing w:before="10" w:after="10"/>
              <w:jc w:val="left"/>
              <w:rPr>
                <w:sz w:val="14"/>
              </w:rPr>
            </w:pPr>
          </w:p>
        </w:tc>
        <w:tc>
          <w:tcPr>
            <w:tcW w:type="dxa" w:w="1066"/>
          </w:tcPr>
          <w:p>
            <w:pPr>
              <w:spacing w:before="10" w:after="10"/>
              <w:jc w:val="left"/>
              <w:rPr>
                <w:sz w:val="14"/>
              </w:rPr>
            </w:pPr>
            <w:r>
              <w:rPr>
                <w:sz w:val="14"/>
              </w:rPr>
              <w:t>RO</w:t>
            </w:r>
          </w:p>
        </w:tc>
        <w:tc>
          <w:tcPr>
            <w:tcW w:type="dxa" w:w="677"/>
          </w:tcPr>
          <w:p>
            <w:pPr>
              <w:spacing w:before="10" w:after="10"/>
              <w:jc w:val="center"/>
              <w:rPr>
                <w:sz w:val="14"/>
              </w:rPr>
            </w:pPr>
            <w:r>
              <w:rPr>
                <w:sz w:val="14"/>
              </w:rPr>
              <w:t>0,629</w:t>
            </w:r>
          </w:p>
        </w:tc>
        <w:tc>
          <w:tcPr>
            <w:tcW w:type="dxa" w:w="749"/>
          </w:tcPr>
          <w:p>
            <w:pPr>
              <w:spacing w:before="10" w:after="10"/>
              <w:jc w:val="center"/>
              <w:rPr>
                <w:sz w:val="14"/>
              </w:rPr>
            </w:pPr>
            <w:r>
              <w:rPr>
                <w:sz w:val="14"/>
              </w:rPr>
              <w:t>0,653</w:t>
            </w:r>
          </w:p>
        </w:tc>
        <w:tc>
          <w:tcPr>
            <w:tcW w:type="dxa" w:w="648"/>
          </w:tcPr>
          <w:p>
            <w:pPr>
              <w:spacing w:before="10" w:after="10"/>
              <w:jc w:val="center"/>
              <w:rPr>
                <w:sz w:val="14"/>
              </w:rPr>
            </w:pPr>
            <w:r>
              <w:rPr>
                <w:sz w:val="14"/>
              </w:rPr>
              <w:t>0,680</w:t>
            </w:r>
          </w:p>
        </w:tc>
        <w:tc>
          <w:tcPr>
            <w:tcW w:type="dxa" w:w="691"/>
          </w:tcPr>
          <w:p>
            <w:pPr>
              <w:spacing w:before="10" w:after="10"/>
              <w:jc w:val="center"/>
              <w:rPr>
                <w:sz w:val="14"/>
              </w:rPr>
            </w:pPr>
            <w:r>
              <w:rPr>
                <w:sz w:val="14"/>
              </w:rPr>
              <w:t>0,644</w:t>
            </w:r>
          </w:p>
        </w:tc>
        <w:tc>
          <w:tcPr>
            <w:tcW w:type="dxa" w:w="648"/>
          </w:tcPr>
          <w:p>
            <w:pPr>
              <w:spacing w:before="10" w:after="10"/>
              <w:jc w:val="center"/>
              <w:rPr>
                <w:sz w:val="14"/>
              </w:rPr>
            </w:pPr>
            <w:r>
              <w:rPr>
                <w:sz w:val="14"/>
              </w:rPr>
              <w:t>0,561</w:t>
            </w:r>
          </w:p>
        </w:tc>
      </w:tr>
      <w:tr>
        <w:tc>
          <w:tcPr>
            <w:tcW w:type="dxa" w:w="490"/>
          </w:tcPr>
          <w:p>
            <w:pPr>
              <w:spacing w:before="10" w:after="10"/>
              <w:jc w:val="left"/>
              <w:rPr>
                <w:sz w:val="14"/>
              </w:rPr>
            </w:pPr>
          </w:p>
        </w:tc>
        <w:tc>
          <w:tcPr>
            <w:tcW w:type="dxa" w:w="1066"/>
          </w:tcPr>
          <w:p>
            <w:pPr>
              <w:spacing w:before="10" w:after="10"/>
              <w:jc w:val="left"/>
              <w:rPr>
                <w:sz w:val="14"/>
              </w:rPr>
            </w:pPr>
            <w:r>
              <w:rPr>
                <w:sz w:val="14"/>
              </w:rPr>
              <w:t>XGBoost</w:t>
            </w:r>
          </w:p>
        </w:tc>
        <w:tc>
          <w:tcPr>
            <w:tcW w:type="dxa" w:w="677"/>
          </w:tcPr>
          <w:p>
            <w:pPr>
              <w:spacing w:before="10" w:after="10"/>
              <w:jc w:val="center"/>
              <w:rPr>
                <w:sz w:val="14"/>
              </w:rPr>
            </w:pPr>
            <w:r>
              <w:rPr>
                <w:sz w:val="14"/>
              </w:rPr>
              <w:t>0,632</w:t>
            </w:r>
          </w:p>
        </w:tc>
        <w:tc>
          <w:tcPr>
            <w:tcW w:type="dxa" w:w="749"/>
          </w:tcPr>
          <w:p>
            <w:pPr>
              <w:spacing w:before="10" w:after="10"/>
              <w:jc w:val="center"/>
              <w:rPr>
                <w:sz w:val="14"/>
              </w:rPr>
            </w:pPr>
            <w:r>
              <w:rPr>
                <w:sz w:val="14"/>
              </w:rPr>
              <w:t>0,670</w:t>
            </w:r>
          </w:p>
        </w:tc>
        <w:tc>
          <w:tcPr>
            <w:tcW w:type="dxa" w:w="648"/>
          </w:tcPr>
          <w:p>
            <w:pPr>
              <w:spacing w:before="10" w:after="10"/>
              <w:jc w:val="center"/>
              <w:rPr>
                <w:sz w:val="14"/>
              </w:rPr>
            </w:pPr>
            <w:r>
              <w:rPr>
                <w:sz w:val="14"/>
              </w:rPr>
              <w:t>0,683</w:t>
            </w:r>
          </w:p>
        </w:tc>
        <w:tc>
          <w:tcPr>
            <w:tcW w:type="dxa" w:w="691"/>
          </w:tcPr>
          <w:p>
            <w:pPr>
              <w:spacing w:before="10" w:after="10"/>
              <w:jc w:val="center"/>
              <w:rPr>
                <w:sz w:val="14"/>
              </w:rPr>
            </w:pPr>
            <w:r>
              <w:rPr>
                <w:sz w:val="14"/>
              </w:rPr>
              <w:t>0,639</w:t>
            </w:r>
          </w:p>
        </w:tc>
        <w:tc>
          <w:tcPr>
            <w:tcW w:type="dxa" w:w="648"/>
          </w:tcPr>
          <w:p>
            <w:pPr>
              <w:spacing w:before="10" w:after="10"/>
              <w:jc w:val="center"/>
              <w:rPr>
                <w:sz w:val="14"/>
              </w:rPr>
            </w:pPr>
            <w:r>
              <w:rPr>
                <w:sz w:val="14"/>
              </w:rPr>
              <w:t>0,563</w:t>
            </w:r>
          </w:p>
        </w:tc>
      </w:tr>
      <w:tr>
        <w:tc>
          <w:tcPr>
            <w:tcW w:type="dxa" w:w="490"/>
          </w:tcPr>
          <w:p>
            <w:pPr>
              <w:spacing w:before="10" w:after="10"/>
              <w:jc w:val="left"/>
              <w:rPr>
                <w:sz w:val="14"/>
              </w:rPr>
            </w:pPr>
          </w:p>
        </w:tc>
        <w:tc>
          <w:tcPr>
            <w:tcW w:type="dxa" w:w="1066"/>
          </w:tcPr>
          <w:p>
            <w:pPr>
              <w:spacing w:before="10" w:after="10"/>
              <w:jc w:val="left"/>
              <w:rPr>
                <w:sz w:val="14"/>
              </w:rPr>
            </w:pPr>
            <w:r>
              <w:rPr>
                <w:sz w:val="14"/>
              </w:rPr>
              <w:t>LightGBM</w:t>
            </w:r>
          </w:p>
        </w:tc>
        <w:tc>
          <w:tcPr>
            <w:tcW w:type="dxa" w:w="677"/>
          </w:tcPr>
          <w:p>
            <w:pPr>
              <w:spacing w:before="10" w:after="10"/>
              <w:jc w:val="center"/>
              <w:rPr>
                <w:sz w:val="14"/>
              </w:rPr>
            </w:pPr>
            <w:r>
              <w:rPr>
                <w:b/>
                <w:sz w:val="14"/>
              </w:rPr>
              <w:t>0,636</w:t>
            </w:r>
          </w:p>
        </w:tc>
        <w:tc>
          <w:tcPr>
            <w:tcW w:type="dxa" w:w="749"/>
          </w:tcPr>
          <w:p>
            <w:pPr>
              <w:spacing w:before="10" w:after="10"/>
              <w:jc w:val="center"/>
              <w:rPr>
                <w:sz w:val="14"/>
              </w:rPr>
            </w:pPr>
            <w:r>
              <w:rPr>
                <w:b/>
                <w:sz w:val="14"/>
              </w:rPr>
              <w:t>0,701</w:t>
            </w:r>
          </w:p>
        </w:tc>
        <w:tc>
          <w:tcPr>
            <w:tcW w:type="dxa" w:w="648"/>
          </w:tcPr>
          <w:p>
            <w:pPr>
              <w:spacing w:before="10" w:after="10"/>
              <w:jc w:val="center"/>
              <w:rPr>
                <w:sz w:val="14"/>
              </w:rPr>
            </w:pPr>
            <w:r>
              <w:rPr>
                <w:b/>
                <w:sz w:val="14"/>
              </w:rPr>
              <w:t>0,706</w:t>
            </w:r>
          </w:p>
        </w:tc>
        <w:tc>
          <w:tcPr>
            <w:tcW w:type="dxa" w:w="691"/>
          </w:tcPr>
          <w:p>
            <w:pPr>
              <w:spacing w:before="10" w:after="10"/>
              <w:jc w:val="center"/>
              <w:rPr>
                <w:sz w:val="14"/>
              </w:rPr>
            </w:pPr>
            <w:r>
              <w:rPr>
                <w:sz w:val="14"/>
              </w:rPr>
              <w:t>0,644</w:t>
            </w:r>
          </w:p>
        </w:tc>
        <w:tc>
          <w:tcPr>
            <w:tcW w:type="dxa" w:w="648"/>
          </w:tcPr>
          <w:p>
            <w:pPr>
              <w:spacing w:before="10" w:after="10"/>
              <w:jc w:val="center"/>
              <w:rPr>
                <w:sz w:val="14"/>
              </w:rPr>
            </w:pPr>
            <w:r>
              <w:rPr>
                <w:b/>
                <w:sz w:val="14"/>
              </w:rPr>
              <w:t>0,578</w:t>
            </w:r>
          </w:p>
        </w:tc>
      </w:tr>
      <w:tr>
        <w:tc>
          <w:tcPr>
            <w:tcW w:type="dxa" w:w="490"/>
          </w:tcPr>
          <w:p>
            <w:pPr>
              <w:spacing w:before="10" w:after="10"/>
              <w:jc w:val="left"/>
              <w:rPr>
                <w:sz w:val="14"/>
              </w:rPr>
            </w:pPr>
          </w:p>
        </w:tc>
        <w:tc>
          <w:tcPr>
            <w:tcW w:type="dxa" w:w="1066"/>
          </w:tcPr>
          <w:p>
            <w:pPr>
              <w:spacing w:before="10" w:after="10"/>
              <w:jc w:val="left"/>
              <w:rPr>
                <w:sz w:val="14"/>
              </w:rPr>
            </w:pPr>
            <w:r>
              <w:rPr>
                <w:sz w:val="14"/>
              </w:rPr>
              <w:t>GRU</w:t>
            </w:r>
          </w:p>
        </w:tc>
        <w:tc>
          <w:tcPr>
            <w:tcW w:type="dxa" w:w="677"/>
          </w:tcPr>
          <w:p>
            <w:pPr>
              <w:spacing w:before="10" w:after="10"/>
              <w:jc w:val="center"/>
              <w:rPr>
                <w:sz w:val="14"/>
              </w:rPr>
            </w:pPr>
            <w:r>
              <w:rPr>
                <w:sz w:val="14"/>
              </w:rPr>
              <w:t>0,608</w:t>
            </w:r>
          </w:p>
        </w:tc>
        <w:tc>
          <w:tcPr>
            <w:tcW w:type="dxa" w:w="749"/>
          </w:tcPr>
          <w:p>
            <w:pPr>
              <w:spacing w:before="10" w:after="10"/>
              <w:jc w:val="center"/>
              <w:rPr>
                <w:sz w:val="14"/>
              </w:rPr>
            </w:pPr>
            <w:r>
              <w:rPr>
                <w:sz w:val="14"/>
              </w:rPr>
              <w:t>0,618</w:t>
            </w:r>
          </w:p>
        </w:tc>
        <w:tc>
          <w:tcPr>
            <w:tcW w:type="dxa" w:w="648"/>
          </w:tcPr>
          <w:p>
            <w:pPr>
              <w:spacing w:before="10" w:after="10"/>
              <w:jc w:val="center"/>
              <w:rPr>
                <w:sz w:val="14"/>
              </w:rPr>
            </w:pPr>
            <w:r>
              <w:rPr>
                <w:sz w:val="14"/>
              </w:rPr>
              <w:t>0,677</w:t>
            </w:r>
          </w:p>
        </w:tc>
        <w:tc>
          <w:tcPr>
            <w:tcW w:type="dxa" w:w="691"/>
          </w:tcPr>
          <w:p>
            <w:pPr>
              <w:spacing w:before="10" w:after="10"/>
              <w:jc w:val="center"/>
              <w:rPr>
                <w:sz w:val="14"/>
              </w:rPr>
            </w:pPr>
            <w:r>
              <w:rPr>
                <w:sz w:val="14"/>
              </w:rPr>
              <w:t>0,650</w:t>
            </w:r>
          </w:p>
        </w:tc>
        <w:tc>
          <w:tcPr>
            <w:tcW w:type="dxa" w:w="648"/>
          </w:tcPr>
          <w:p>
            <w:pPr>
              <w:spacing w:before="10" w:after="10"/>
              <w:jc w:val="center"/>
              <w:rPr>
                <w:sz w:val="14"/>
              </w:rPr>
            </w:pPr>
            <w:r>
              <w:rPr>
                <w:sz w:val="14"/>
              </w:rPr>
              <w:t>0,515</w:t>
            </w:r>
          </w:p>
        </w:tc>
      </w:tr>
      <w:tr>
        <w:tc>
          <w:tcPr>
            <w:tcW w:type="dxa" w:w="490"/>
          </w:tcPr>
          <w:p>
            <w:pPr>
              <w:spacing w:before="10" w:after="10"/>
              <w:jc w:val="left"/>
              <w:rPr>
                <w:sz w:val="14"/>
              </w:rPr>
            </w:pPr>
          </w:p>
        </w:tc>
        <w:tc>
          <w:tcPr>
            <w:tcW w:type="dxa" w:w="1066"/>
          </w:tcPr>
          <w:p>
            <w:pPr>
              <w:spacing w:before="10" w:after="10"/>
              <w:jc w:val="left"/>
              <w:rPr>
                <w:sz w:val="14"/>
              </w:rPr>
            </w:pPr>
            <w:r>
              <w:rPr>
                <w:sz w:val="14"/>
              </w:rPr>
              <w:t>LSTM</w:t>
            </w:r>
          </w:p>
        </w:tc>
        <w:tc>
          <w:tcPr>
            <w:tcW w:type="dxa" w:w="677"/>
          </w:tcPr>
          <w:p>
            <w:pPr>
              <w:spacing w:before="10" w:after="10"/>
              <w:jc w:val="center"/>
              <w:rPr>
                <w:sz w:val="14"/>
              </w:rPr>
            </w:pPr>
            <w:r>
              <w:rPr>
                <w:sz w:val="14"/>
              </w:rPr>
              <w:t>0,620</w:t>
            </w:r>
          </w:p>
        </w:tc>
        <w:tc>
          <w:tcPr>
            <w:tcW w:type="dxa" w:w="749"/>
          </w:tcPr>
          <w:p>
            <w:pPr>
              <w:spacing w:before="10" w:after="10"/>
              <w:jc w:val="center"/>
              <w:rPr>
                <w:sz w:val="14"/>
              </w:rPr>
            </w:pPr>
            <w:r>
              <w:rPr>
                <w:sz w:val="14"/>
              </w:rPr>
              <w:t>0,629</w:t>
            </w:r>
          </w:p>
        </w:tc>
        <w:tc>
          <w:tcPr>
            <w:tcW w:type="dxa" w:w="648"/>
          </w:tcPr>
          <w:p>
            <w:pPr>
              <w:spacing w:before="10" w:after="10"/>
              <w:jc w:val="center"/>
              <w:rPr>
                <w:sz w:val="14"/>
              </w:rPr>
            </w:pPr>
            <w:r>
              <w:rPr>
                <w:sz w:val="14"/>
              </w:rPr>
              <w:t>0,680</w:t>
            </w:r>
          </w:p>
        </w:tc>
        <w:tc>
          <w:tcPr>
            <w:tcW w:type="dxa" w:w="691"/>
          </w:tcPr>
          <w:p>
            <w:pPr>
              <w:spacing w:before="10" w:after="10"/>
              <w:jc w:val="center"/>
              <w:rPr>
                <w:sz w:val="14"/>
              </w:rPr>
            </w:pPr>
            <w:r>
              <w:rPr>
                <w:b/>
                <w:sz w:val="14"/>
              </w:rPr>
              <w:t>0,660</w:t>
            </w:r>
          </w:p>
        </w:tc>
        <w:tc>
          <w:tcPr>
            <w:tcW w:type="dxa" w:w="648"/>
          </w:tcPr>
          <w:p>
            <w:pPr>
              <w:spacing w:before="10" w:after="10"/>
              <w:jc w:val="center"/>
              <w:rPr>
                <w:sz w:val="14"/>
              </w:rPr>
            </w:pPr>
            <w:r>
              <w:rPr>
                <w:sz w:val="14"/>
              </w:rPr>
              <w:t>0,532</w:t>
            </w:r>
          </w:p>
        </w:tc>
      </w:tr>
      <w:tr>
        <w:tc>
          <w:tcPr>
            <w:tcW w:type="dxa" w:w="490"/>
          </w:tcPr>
          <w:p>
            <w:pPr>
              <w:spacing w:before="10" w:after="10"/>
              <w:jc w:val="left"/>
              <w:rPr>
                <w:sz w:val="14"/>
              </w:rPr>
            </w:pPr>
          </w:p>
        </w:tc>
        <w:tc>
          <w:tcPr>
            <w:tcW w:type="dxa" w:w="1066"/>
          </w:tcPr>
          <w:p>
            <w:pPr>
              <w:spacing w:before="10" w:after="10"/>
              <w:jc w:val="left"/>
              <w:rPr>
                <w:sz w:val="14"/>
              </w:rPr>
            </w:pPr>
            <w:r>
              <w:rPr>
                <w:sz w:val="14"/>
              </w:rPr>
              <w:t>Kalıcılık</w:t>
            </w:r>
          </w:p>
        </w:tc>
        <w:tc>
          <w:tcPr>
            <w:tcW w:type="dxa" w:w="677"/>
          </w:tcPr>
          <w:p>
            <w:pPr>
              <w:spacing w:before="10" w:after="10"/>
              <w:jc w:val="center"/>
              <w:rPr>
                <w:sz w:val="14"/>
              </w:rPr>
            </w:pPr>
            <w:r>
              <w:rPr>
                <w:sz w:val="14"/>
              </w:rPr>
              <w:t>0,427</w:t>
            </w:r>
          </w:p>
        </w:tc>
        <w:tc>
          <w:tcPr>
            <w:tcW w:type="dxa" w:w="749"/>
          </w:tcPr>
          <w:p>
            <w:pPr>
              <w:spacing w:before="10" w:after="10"/>
              <w:jc w:val="center"/>
              <w:rPr>
                <w:sz w:val="14"/>
              </w:rPr>
            </w:pPr>
            <w:r>
              <w:rPr>
                <w:sz w:val="14"/>
              </w:rPr>
              <w:t>0,673</w:t>
            </w:r>
          </w:p>
        </w:tc>
        <w:tc>
          <w:tcPr>
            <w:tcW w:type="dxa" w:w="648"/>
          </w:tcPr>
          <w:p>
            <w:pPr>
              <w:spacing w:before="10" w:after="10"/>
              <w:jc w:val="center"/>
              <w:rPr>
                <w:sz w:val="14"/>
              </w:rPr>
            </w:pPr>
            <w:r>
              <w:rPr>
                <w:sz w:val="14"/>
              </w:rPr>
              <w:t>0,657</w:t>
            </w:r>
          </w:p>
        </w:tc>
        <w:tc>
          <w:tcPr>
            <w:tcW w:type="dxa" w:w="691"/>
          </w:tcPr>
          <w:p>
            <w:pPr>
              <w:spacing w:before="10" w:after="10"/>
              <w:jc w:val="center"/>
              <w:rPr>
                <w:sz w:val="14"/>
              </w:rPr>
            </w:pPr>
            <w:r>
              <w:rPr>
                <w:sz w:val="14"/>
              </w:rPr>
              <w:t>0,599</w:t>
            </w:r>
          </w:p>
        </w:tc>
        <w:tc>
          <w:tcPr>
            <w:tcW w:type="dxa" w:w="648"/>
          </w:tcPr>
          <w:p>
            <w:pPr>
              <w:spacing w:before="10" w:after="10"/>
              <w:jc w:val="center"/>
              <w:rPr>
                <w:sz w:val="14"/>
              </w:rPr>
            </w:pPr>
            <w:r>
              <w:rPr>
                <w:sz w:val="14"/>
              </w:rPr>
              <w:t>0,521</w:t>
            </w:r>
          </w:p>
        </w:tc>
      </w:tr>
      <w:tr>
        <w:tc>
          <w:tcPr>
            <w:tcW w:type="dxa" w:w="490"/>
          </w:tcPr>
          <w:p>
            <w:pPr>
              <w:spacing w:before="10" w:after="10"/>
              <w:jc w:val="left"/>
              <w:rPr>
                <w:sz w:val="14"/>
              </w:rPr>
            </w:pPr>
            <w:r>
              <w:rPr>
                <w:sz w:val="14"/>
              </w:rPr>
              <w:t>3 sa</w:t>
            </w:r>
          </w:p>
        </w:tc>
        <w:tc>
          <w:tcPr>
            <w:tcW w:type="dxa" w:w="1066"/>
          </w:tcPr>
          <w:p>
            <w:pPr>
              <w:spacing w:before="10" w:after="10"/>
              <w:jc w:val="left"/>
              <w:rPr>
                <w:sz w:val="14"/>
              </w:rPr>
            </w:pPr>
            <w:r>
              <w:rPr>
                <w:sz w:val="14"/>
              </w:rPr>
              <w:t>LR</w:t>
            </w:r>
          </w:p>
        </w:tc>
        <w:tc>
          <w:tcPr>
            <w:tcW w:type="dxa" w:w="677"/>
          </w:tcPr>
          <w:p>
            <w:pPr>
              <w:spacing w:before="10" w:after="10"/>
              <w:jc w:val="center"/>
              <w:rPr>
                <w:sz w:val="14"/>
              </w:rPr>
            </w:pPr>
            <w:r>
              <w:rPr>
                <w:sz w:val="14"/>
              </w:rPr>
              <w:t>0,345</w:t>
            </w:r>
          </w:p>
        </w:tc>
        <w:tc>
          <w:tcPr>
            <w:tcW w:type="dxa" w:w="749"/>
          </w:tcPr>
          <w:p>
            <w:pPr>
              <w:spacing w:before="10" w:after="10"/>
              <w:jc w:val="center"/>
              <w:rPr>
                <w:sz w:val="14"/>
              </w:rPr>
            </w:pPr>
            <w:r>
              <w:rPr>
                <w:sz w:val="14"/>
              </w:rPr>
              <w:t>0,525</w:t>
            </w:r>
          </w:p>
        </w:tc>
        <w:tc>
          <w:tcPr>
            <w:tcW w:type="dxa" w:w="648"/>
          </w:tcPr>
          <w:p>
            <w:pPr>
              <w:spacing w:before="10" w:after="10"/>
              <w:jc w:val="center"/>
              <w:rPr>
                <w:sz w:val="14"/>
              </w:rPr>
            </w:pPr>
            <w:r>
              <w:rPr>
                <w:sz w:val="14"/>
              </w:rPr>
              <w:t>0,468</w:t>
            </w:r>
          </w:p>
        </w:tc>
        <w:tc>
          <w:tcPr>
            <w:tcW w:type="dxa" w:w="691"/>
          </w:tcPr>
          <w:p>
            <w:pPr>
              <w:spacing w:before="10" w:after="10"/>
              <w:jc w:val="center"/>
              <w:rPr>
                <w:sz w:val="14"/>
              </w:rPr>
            </w:pPr>
            <w:r>
              <w:rPr>
                <w:sz w:val="14"/>
              </w:rPr>
              <w:t>0,407</w:t>
            </w:r>
          </w:p>
        </w:tc>
        <w:tc>
          <w:tcPr>
            <w:tcW w:type="dxa" w:w="648"/>
          </w:tcPr>
          <w:p>
            <w:pPr>
              <w:spacing w:before="10" w:after="10"/>
              <w:jc w:val="center"/>
              <w:rPr>
                <w:sz w:val="14"/>
              </w:rPr>
            </w:pPr>
            <w:r>
              <w:rPr>
                <w:sz w:val="14"/>
              </w:rPr>
              <w:t>0,311</w:t>
            </w:r>
          </w:p>
        </w:tc>
      </w:tr>
      <w:tr>
        <w:tc>
          <w:tcPr>
            <w:tcW w:type="dxa" w:w="490"/>
          </w:tcPr>
          <w:p>
            <w:pPr>
              <w:spacing w:before="10" w:after="10"/>
              <w:jc w:val="left"/>
              <w:rPr>
                <w:sz w:val="14"/>
              </w:rPr>
            </w:pPr>
          </w:p>
        </w:tc>
        <w:tc>
          <w:tcPr>
            <w:tcW w:type="dxa" w:w="1066"/>
          </w:tcPr>
          <w:p>
            <w:pPr>
              <w:spacing w:before="10" w:after="10"/>
              <w:jc w:val="left"/>
              <w:rPr>
                <w:sz w:val="14"/>
              </w:rPr>
            </w:pPr>
            <w:r>
              <w:rPr>
                <w:sz w:val="14"/>
              </w:rPr>
              <w:t>RO</w:t>
            </w:r>
          </w:p>
        </w:tc>
        <w:tc>
          <w:tcPr>
            <w:tcW w:type="dxa" w:w="677"/>
          </w:tcPr>
          <w:p>
            <w:pPr>
              <w:spacing w:before="10" w:after="10"/>
              <w:jc w:val="center"/>
              <w:rPr>
                <w:sz w:val="14"/>
              </w:rPr>
            </w:pPr>
            <w:r>
              <w:rPr>
                <w:sz w:val="14"/>
              </w:rPr>
              <w:t>0,393</w:t>
            </w:r>
          </w:p>
        </w:tc>
        <w:tc>
          <w:tcPr>
            <w:tcW w:type="dxa" w:w="749"/>
          </w:tcPr>
          <w:p>
            <w:pPr>
              <w:spacing w:before="10" w:after="10"/>
              <w:jc w:val="center"/>
              <w:rPr>
                <w:sz w:val="14"/>
              </w:rPr>
            </w:pPr>
            <w:r>
              <w:rPr>
                <w:sz w:val="14"/>
              </w:rPr>
              <w:t>0,550</w:t>
            </w:r>
          </w:p>
        </w:tc>
        <w:tc>
          <w:tcPr>
            <w:tcW w:type="dxa" w:w="648"/>
          </w:tcPr>
          <w:p>
            <w:pPr>
              <w:spacing w:before="10" w:after="10"/>
              <w:jc w:val="center"/>
              <w:rPr>
                <w:sz w:val="14"/>
              </w:rPr>
            </w:pPr>
            <w:r>
              <w:rPr>
                <w:sz w:val="14"/>
              </w:rPr>
              <w:t>0,508</w:t>
            </w:r>
          </w:p>
        </w:tc>
        <w:tc>
          <w:tcPr>
            <w:tcW w:type="dxa" w:w="691"/>
          </w:tcPr>
          <w:p>
            <w:pPr>
              <w:spacing w:before="10" w:after="10"/>
              <w:jc w:val="center"/>
              <w:rPr>
                <w:sz w:val="14"/>
              </w:rPr>
            </w:pPr>
            <w:r>
              <w:rPr>
                <w:sz w:val="14"/>
              </w:rPr>
              <w:t>0,434</w:t>
            </w:r>
          </w:p>
        </w:tc>
        <w:tc>
          <w:tcPr>
            <w:tcW w:type="dxa" w:w="648"/>
          </w:tcPr>
          <w:p>
            <w:pPr>
              <w:spacing w:before="10" w:after="10"/>
              <w:jc w:val="center"/>
              <w:rPr>
                <w:sz w:val="14"/>
              </w:rPr>
            </w:pPr>
            <w:r>
              <w:rPr>
                <w:sz w:val="14"/>
              </w:rPr>
              <w:t>0,352</w:t>
            </w:r>
          </w:p>
        </w:tc>
      </w:tr>
      <w:tr>
        <w:tc>
          <w:tcPr>
            <w:tcW w:type="dxa" w:w="490"/>
          </w:tcPr>
          <w:p>
            <w:pPr>
              <w:spacing w:before="10" w:after="10"/>
              <w:jc w:val="left"/>
              <w:rPr>
                <w:sz w:val="14"/>
              </w:rPr>
            </w:pPr>
          </w:p>
        </w:tc>
        <w:tc>
          <w:tcPr>
            <w:tcW w:type="dxa" w:w="1066"/>
          </w:tcPr>
          <w:p>
            <w:pPr>
              <w:spacing w:before="10" w:after="10"/>
              <w:jc w:val="left"/>
              <w:rPr>
                <w:sz w:val="14"/>
              </w:rPr>
            </w:pPr>
            <w:r>
              <w:rPr>
                <w:sz w:val="14"/>
              </w:rPr>
              <w:t>XGBoost</w:t>
            </w:r>
          </w:p>
        </w:tc>
        <w:tc>
          <w:tcPr>
            <w:tcW w:type="dxa" w:w="677"/>
          </w:tcPr>
          <w:p>
            <w:pPr>
              <w:spacing w:before="10" w:after="10"/>
              <w:jc w:val="center"/>
              <w:rPr>
                <w:sz w:val="14"/>
              </w:rPr>
            </w:pPr>
            <w:r>
              <w:rPr>
                <w:b/>
                <w:sz w:val="14"/>
              </w:rPr>
              <w:t>0,407</w:t>
            </w:r>
          </w:p>
        </w:tc>
        <w:tc>
          <w:tcPr>
            <w:tcW w:type="dxa" w:w="749"/>
          </w:tcPr>
          <w:p>
            <w:pPr>
              <w:spacing w:before="10" w:after="10"/>
              <w:jc w:val="center"/>
              <w:rPr>
                <w:sz w:val="14"/>
              </w:rPr>
            </w:pPr>
            <w:r>
              <w:rPr>
                <w:b/>
                <w:sz w:val="14"/>
              </w:rPr>
              <w:t>0,573</w:t>
            </w:r>
          </w:p>
        </w:tc>
        <w:tc>
          <w:tcPr>
            <w:tcW w:type="dxa" w:w="648"/>
          </w:tcPr>
          <w:p>
            <w:pPr>
              <w:spacing w:before="10" w:after="10"/>
              <w:jc w:val="center"/>
              <w:rPr>
                <w:sz w:val="14"/>
              </w:rPr>
            </w:pPr>
            <w:r>
              <w:rPr>
                <w:sz w:val="14"/>
              </w:rPr>
              <w:t>0,502</w:t>
            </w:r>
          </w:p>
        </w:tc>
        <w:tc>
          <w:tcPr>
            <w:tcW w:type="dxa" w:w="691"/>
          </w:tcPr>
          <w:p>
            <w:pPr>
              <w:spacing w:before="10" w:after="10"/>
              <w:jc w:val="center"/>
              <w:rPr>
                <w:sz w:val="14"/>
              </w:rPr>
            </w:pPr>
            <w:r>
              <w:rPr>
                <w:sz w:val="14"/>
              </w:rPr>
              <w:t>0,446</w:t>
            </w:r>
          </w:p>
        </w:tc>
        <w:tc>
          <w:tcPr>
            <w:tcW w:type="dxa" w:w="648"/>
          </w:tcPr>
          <w:p>
            <w:pPr>
              <w:spacing w:before="10" w:after="10"/>
              <w:jc w:val="center"/>
              <w:rPr>
                <w:sz w:val="14"/>
              </w:rPr>
            </w:pPr>
            <w:r>
              <w:rPr>
                <w:sz w:val="14"/>
              </w:rPr>
              <w:t>0,343</w:t>
            </w:r>
          </w:p>
        </w:tc>
      </w:tr>
      <w:tr>
        <w:tc>
          <w:tcPr>
            <w:tcW w:type="dxa" w:w="490"/>
          </w:tcPr>
          <w:p>
            <w:pPr>
              <w:spacing w:before="10" w:after="10"/>
              <w:jc w:val="left"/>
              <w:rPr>
                <w:sz w:val="14"/>
              </w:rPr>
            </w:pPr>
          </w:p>
        </w:tc>
        <w:tc>
          <w:tcPr>
            <w:tcW w:type="dxa" w:w="1066"/>
          </w:tcPr>
          <w:p>
            <w:pPr>
              <w:spacing w:before="10" w:after="10"/>
              <w:jc w:val="left"/>
              <w:rPr>
                <w:sz w:val="14"/>
              </w:rPr>
            </w:pPr>
            <w:r>
              <w:rPr>
                <w:sz w:val="14"/>
              </w:rPr>
              <w:t>LightGBM</w:t>
            </w:r>
          </w:p>
        </w:tc>
        <w:tc>
          <w:tcPr>
            <w:tcW w:type="dxa" w:w="677"/>
          </w:tcPr>
          <w:p>
            <w:pPr>
              <w:spacing w:before="10" w:after="10"/>
              <w:jc w:val="center"/>
              <w:rPr>
                <w:sz w:val="14"/>
              </w:rPr>
            </w:pPr>
            <w:r>
              <w:rPr>
                <w:sz w:val="14"/>
              </w:rPr>
              <w:t>0,393</w:t>
            </w:r>
          </w:p>
        </w:tc>
        <w:tc>
          <w:tcPr>
            <w:tcW w:type="dxa" w:w="749"/>
          </w:tcPr>
          <w:p>
            <w:pPr>
              <w:spacing w:before="10" w:after="10"/>
              <w:jc w:val="center"/>
              <w:rPr>
                <w:sz w:val="14"/>
              </w:rPr>
            </w:pPr>
            <w:r>
              <w:rPr>
                <w:sz w:val="14"/>
              </w:rPr>
              <w:t>0,568</w:t>
            </w:r>
          </w:p>
        </w:tc>
        <w:tc>
          <w:tcPr>
            <w:tcW w:type="dxa" w:w="648"/>
          </w:tcPr>
          <w:p>
            <w:pPr>
              <w:spacing w:before="10" w:after="10"/>
              <w:jc w:val="center"/>
              <w:rPr>
                <w:sz w:val="14"/>
              </w:rPr>
            </w:pPr>
            <w:r>
              <w:rPr>
                <w:sz w:val="14"/>
              </w:rPr>
              <w:t>0,501</w:t>
            </w:r>
          </w:p>
        </w:tc>
        <w:tc>
          <w:tcPr>
            <w:tcW w:type="dxa" w:w="691"/>
          </w:tcPr>
          <w:p>
            <w:pPr>
              <w:spacing w:before="10" w:after="10"/>
              <w:jc w:val="center"/>
              <w:rPr>
                <w:sz w:val="14"/>
              </w:rPr>
            </w:pPr>
            <w:r>
              <w:rPr>
                <w:sz w:val="14"/>
              </w:rPr>
              <w:t>0,427</w:t>
            </w:r>
          </w:p>
        </w:tc>
        <w:tc>
          <w:tcPr>
            <w:tcW w:type="dxa" w:w="648"/>
          </w:tcPr>
          <w:p>
            <w:pPr>
              <w:spacing w:before="10" w:after="10"/>
              <w:jc w:val="center"/>
              <w:rPr>
                <w:sz w:val="14"/>
              </w:rPr>
            </w:pPr>
            <w:r>
              <w:rPr>
                <w:sz w:val="14"/>
              </w:rPr>
              <w:t>0,341</w:t>
            </w:r>
          </w:p>
        </w:tc>
      </w:tr>
      <w:tr>
        <w:tc>
          <w:tcPr>
            <w:tcW w:type="dxa" w:w="490"/>
          </w:tcPr>
          <w:p>
            <w:pPr>
              <w:spacing w:before="10" w:after="10"/>
              <w:jc w:val="left"/>
              <w:rPr>
                <w:sz w:val="14"/>
              </w:rPr>
            </w:pPr>
          </w:p>
        </w:tc>
        <w:tc>
          <w:tcPr>
            <w:tcW w:type="dxa" w:w="1066"/>
          </w:tcPr>
          <w:p>
            <w:pPr>
              <w:spacing w:before="10" w:after="10"/>
              <w:jc w:val="left"/>
              <w:rPr>
                <w:sz w:val="14"/>
              </w:rPr>
            </w:pPr>
            <w:r>
              <w:rPr>
                <w:sz w:val="14"/>
              </w:rPr>
              <w:t>GRU</w:t>
            </w:r>
          </w:p>
        </w:tc>
        <w:tc>
          <w:tcPr>
            <w:tcW w:type="dxa" w:w="677"/>
          </w:tcPr>
          <w:p>
            <w:pPr>
              <w:spacing w:before="10" w:after="10"/>
              <w:jc w:val="center"/>
              <w:rPr>
                <w:sz w:val="14"/>
              </w:rPr>
            </w:pPr>
            <w:r>
              <w:rPr>
                <w:sz w:val="14"/>
              </w:rPr>
              <w:t>0,403</w:t>
            </w:r>
          </w:p>
        </w:tc>
        <w:tc>
          <w:tcPr>
            <w:tcW w:type="dxa" w:w="749"/>
          </w:tcPr>
          <w:p>
            <w:pPr>
              <w:spacing w:before="10" w:after="10"/>
              <w:jc w:val="center"/>
              <w:rPr>
                <w:sz w:val="14"/>
              </w:rPr>
            </w:pPr>
            <w:r>
              <w:rPr>
                <w:sz w:val="14"/>
              </w:rPr>
              <w:t>0,527</w:t>
            </w:r>
          </w:p>
        </w:tc>
        <w:tc>
          <w:tcPr>
            <w:tcW w:type="dxa" w:w="648"/>
          </w:tcPr>
          <w:p>
            <w:pPr>
              <w:spacing w:before="10" w:after="10"/>
              <w:jc w:val="center"/>
              <w:rPr>
                <w:sz w:val="14"/>
              </w:rPr>
            </w:pPr>
            <w:r>
              <w:rPr>
                <w:b/>
                <w:sz w:val="14"/>
              </w:rPr>
              <w:t>0,526</w:t>
            </w:r>
          </w:p>
        </w:tc>
        <w:tc>
          <w:tcPr>
            <w:tcW w:type="dxa" w:w="691"/>
          </w:tcPr>
          <w:p>
            <w:pPr>
              <w:spacing w:before="10" w:after="10"/>
              <w:jc w:val="center"/>
              <w:rPr>
                <w:sz w:val="14"/>
              </w:rPr>
            </w:pPr>
            <w:r>
              <w:rPr>
                <w:b/>
                <w:sz w:val="14"/>
              </w:rPr>
              <w:t>0,451</w:t>
            </w:r>
          </w:p>
        </w:tc>
        <w:tc>
          <w:tcPr>
            <w:tcW w:type="dxa" w:w="648"/>
          </w:tcPr>
          <w:p>
            <w:pPr>
              <w:spacing w:before="10" w:after="10"/>
              <w:jc w:val="center"/>
              <w:rPr>
                <w:sz w:val="14"/>
              </w:rPr>
            </w:pPr>
            <w:r>
              <w:rPr>
                <w:b/>
                <w:sz w:val="14"/>
              </w:rPr>
              <w:t>0,371</w:t>
            </w:r>
          </w:p>
        </w:tc>
      </w:tr>
      <w:tr>
        <w:tc>
          <w:tcPr>
            <w:tcW w:type="dxa" w:w="490"/>
          </w:tcPr>
          <w:p>
            <w:pPr>
              <w:spacing w:before="10" w:after="10"/>
              <w:jc w:val="left"/>
              <w:rPr>
                <w:sz w:val="14"/>
              </w:rPr>
            </w:pPr>
          </w:p>
        </w:tc>
        <w:tc>
          <w:tcPr>
            <w:tcW w:type="dxa" w:w="1066"/>
          </w:tcPr>
          <w:p>
            <w:pPr>
              <w:spacing w:before="10" w:after="10"/>
              <w:jc w:val="left"/>
              <w:rPr>
                <w:sz w:val="14"/>
              </w:rPr>
            </w:pPr>
            <w:r>
              <w:rPr>
                <w:sz w:val="14"/>
              </w:rPr>
              <w:t>LSTM</w:t>
            </w:r>
          </w:p>
        </w:tc>
        <w:tc>
          <w:tcPr>
            <w:tcW w:type="dxa" w:w="677"/>
          </w:tcPr>
          <w:p>
            <w:pPr>
              <w:spacing w:before="10" w:after="10"/>
              <w:jc w:val="center"/>
              <w:rPr>
                <w:sz w:val="14"/>
              </w:rPr>
            </w:pPr>
            <w:r>
              <w:rPr>
                <w:sz w:val="14"/>
              </w:rPr>
              <w:t>0,393</w:t>
            </w:r>
          </w:p>
        </w:tc>
        <w:tc>
          <w:tcPr>
            <w:tcW w:type="dxa" w:w="749"/>
          </w:tcPr>
          <w:p>
            <w:pPr>
              <w:spacing w:before="10" w:after="10"/>
              <w:jc w:val="center"/>
              <w:rPr>
                <w:sz w:val="14"/>
              </w:rPr>
            </w:pPr>
            <w:r>
              <w:rPr>
                <w:sz w:val="14"/>
              </w:rPr>
              <w:t>0,552</w:t>
            </w:r>
          </w:p>
        </w:tc>
        <w:tc>
          <w:tcPr>
            <w:tcW w:type="dxa" w:w="648"/>
          </w:tcPr>
          <w:p>
            <w:pPr>
              <w:spacing w:before="10" w:after="10"/>
              <w:jc w:val="center"/>
              <w:rPr>
                <w:sz w:val="14"/>
              </w:rPr>
            </w:pPr>
            <w:r>
              <w:rPr>
                <w:sz w:val="14"/>
              </w:rPr>
              <w:t>0,494</w:t>
            </w:r>
          </w:p>
        </w:tc>
        <w:tc>
          <w:tcPr>
            <w:tcW w:type="dxa" w:w="691"/>
          </w:tcPr>
          <w:p>
            <w:pPr>
              <w:spacing w:before="10" w:after="10"/>
              <w:jc w:val="center"/>
              <w:rPr>
                <w:sz w:val="14"/>
              </w:rPr>
            </w:pPr>
            <w:r>
              <w:rPr>
                <w:sz w:val="14"/>
              </w:rPr>
              <w:t>0,446</w:t>
            </w:r>
          </w:p>
        </w:tc>
        <w:tc>
          <w:tcPr>
            <w:tcW w:type="dxa" w:w="648"/>
          </w:tcPr>
          <w:p>
            <w:pPr>
              <w:spacing w:before="10" w:after="10"/>
              <w:jc w:val="center"/>
              <w:rPr>
                <w:sz w:val="14"/>
              </w:rPr>
            </w:pPr>
            <w:r>
              <w:rPr>
                <w:sz w:val="14"/>
              </w:rPr>
              <w:t>0,319</w:t>
            </w:r>
          </w:p>
        </w:tc>
      </w:tr>
      <w:tr>
        <w:tc>
          <w:tcPr>
            <w:tcW w:type="dxa" w:w="490"/>
          </w:tcPr>
          <w:p>
            <w:pPr>
              <w:spacing w:before="10" w:after="10"/>
              <w:jc w:val="left"/>
              <w:rPr>
                <w:sz w:val="14"/>
              </w:rPr>
            </w:pPr>
          </w:p>
        </w:tc>
        <w:tc>
          <w:tcPr>
            <w:tcW w:type="dxa" w:w="1066"/>
          </w:tcPr>
          <w:p>
            <w:pPr>
              <w:spacing w:before="10" w:after="10"/>
              <w:jc w:val="left"/>
              <w:rPr>
                <w:sz w:val="14"/>
              </w:rPr>
            </w:pPr>
            <w:r>
              <w:rPr>
                <w:sz w:val="14"/>
              </w:rPr>
              <w:t>Kalıcılık</w:t>
            </w:r>
          </w:p>
        </w:tc>
        <w:tc>
          <w:tcPr>
            <w:tcW w:type="dxa" w:w="677"/>
          </w:tcPr>
          <w:p>
            <w:pPr>
              <w:spacing w:before="10" w:after="10"/>
              <w:jc w:val="center"/>
              <w:rPr>
                <w:sz w:val="14"/>
              </w:rPr>
            </w:pPr>
            <w:r>
              <w:rPr>
                <w:sz w:val="14"/>
              </w:rPr>
              <w:t>-0,166</w:t>
            </w:r>
          </w:p>
        </w:tc>
        <w:tc>
          <w:tcPr>
            <w:tcW w:type="dxa" w:w="749"/>
          </w:tcPr>
          <w:p>
            <w:pPr>
              <w:spacing w:before="10" w:after="10"/>
              <w:jc w:val="center"/>
              <w:rPr>
                <w:sz w:val="14"/>
              </w:rPr>
            </w:pPr>
            <w:r>
              <w:rPr>
                <w:sz w:val="14"/>
              </w:rPr>
              <w:t>0,512</w:t>
            </w:r>
          </w:p>
        </w:tc>
        <w:tc>
          <w:tcPr>
            <w:tcW w:type="dxa" w:w="648"/>
          </w:tcPr>
          <w:p>
            <w:pPr>
              <w:spacing w:before="10" w:after="10"/>
              <w:jc w:val="center"/>
              <w:rPr>
                <w:sz w:val="14"/>
              </w:rPr>
            </w:pPr>
            <w:r>
              <w:rPr>
                <w:sz w:val="14"/>
              </w:rPr>
              <w:t>0,390</w:t>
            </w:r>
          </w:p>
        </w:tc>
        <w:tc>
          <w:tcPr>
            <w:tcW w:type="dxa" w:w="691"/>
          </w:tcPr>
          <w:p>
            <w:pPr>
              <w:spacing w:before="10" w:after="10"/>
              <w:jc w:val="center"/>
              <w:rPr>
                <w:sz w:val="14"/>
              </w:rPr>
            </w:pPr>
            <w:r>
              <w:rPr>
                <w:sz w:val="14"/>
              </w:rPr>
              <w:t>0,320</w:t>
            </w:r>
          </w:p>
        </w:tc>
        <w:tc>
          <w:tcPr>
            <w:tcW w:type="dxa" w:w="648"/>
          </w:tcPr>
          <w:p>
            <w:pPr>
              <w:spacing w:before="10" w:after="10"/>
              <w:jc w:val="center"/>
              <w:rPr>
                <w:sz w:val="14"/>
              </w:rPr>
            </w:pPr>
            <w:r>
              <w:rPr>
                <w:sz w:val="14"/>
              </w:rPr>
              <w:t>0,225</w:t>
            </w:r>
          </w:p>
        </w:tc>
      </w:tr>
      <w:tr>
        <w:tc>
          <w:tcPr>
            <w:tcW w:type="dxa" w:w="490"/>
          </w:tcPr>
          <w:p>
            <w:pPr>
              <w:spacing w:before="10" w:after="10"/>
              <w:jc w:val="left"/>
              <w:rPr>
                <w:sz w:val="14"/>
              </w:rPr>
            </w:pPr>
            <w:r>
              <w:rPr>
                <w:sz w:val="14"/>
              </w:rPr>
              <w:t>6 sa</w:t>
            </w:r>
          </w:p>
        </w:tc>
        <w:tc>
          <w:tcPr>
            <w:tcW w:type="dxa" w:w="1066"/>
          </w:tcPr>
          <w:p>
            <w:pPr>
              <w:spacing w:before="10" w:after="10"/>
              <w:jc w:val="left"/>
              <w:rPr>
                <w:sz w:val="14"/>
              </w:rPr>
            </w:pPr>
            <w:r>
              <w:rPr>
                <w:sz w:val="14"/>
              </w:rPr>
              <w:t>LR</w:t>
            </w:r>
          </w:p>
        </w:tc>
        <w:tc>
          <w:tcPr>
            <w:tcW w:type="dxa" w:w="677"/>
          </w:tcPr>
          <w:p>
            <w:pPr>
              <w:spacing w:before="10" w:after="10"/>
              <w:jc w:val="center"/>
              <w:rPr>
                <w:sz w:val="14"/>
              </w:rPr>
            </w:pPr>
            <w:r>
              <w:rPr>
                <w:sz w:val="14"/>
              </w:rPr>
              <w:t>0,215</w:t>
            </w:r>
          </w:p>
        </w:tc>
        <w:tc>
          <w:tcPr>
            <w:tcW w:type="dxa" w:w="749"/>
          </w:tcPr>
          <w:p>
            <w:pPr>
              <w:spacing w:before="10" w:after="10"/>
              <w:jc w:val="center"/>
              <w:rPr>
                <w:sz w:val="14"/>
              </w:rPr>
            </w:pPr>
            <w:r>
              <w:rPr>
                <w:sz w:val="14"/>
              </w:rPr>
              <w:t>0,467</w:t>
            </w:r>
          </w:p>
        </w:tc>
        <w:tc>
          <w:tcPr>
            <w:tcW w:type="dxa" w:w="648"/>
          </w:tcPr>
          <w:p>
            <w:pPr>
              <w:spacing w:before="10" w:after="10"/>
              <w:jc w:val="center"/>
              <w:rPr>
                <w:sz w:val="14"/>
              </w:rPr>
            </w:pPr>
            <w:r>
              <w:rPr>
                <w:sz w:val="14"/>
              </w:rPr>
              <w:t>0,388</w:t>
            </w:r>
          </w:p>
        </w:tc>
        <w:tc>
          <w:tcPr>
            <w:tcW w:type="dxa" w:w="691"/>
          </w:tcPr>
          <w:p>
            <w:pPr>
              <w:spacing w:before="10" w:after="10"/>
              <w:jc w:val="center"/>
              <w:rPr>
                <w:sz w:val="14"/>
              </w:rPr>
            </w:pPr>
            <w:r>
              <w:rPr>
                <w:sz w:val="14"/>
              </w:rPr>
              <w:t>0,293</w:t>
            </w:r>
          </w:p>
        </w:tc>
        <w:tc>
          <w:tcPr>
            <w:tcW w:type="dxa" w:w="648"/>
          </w:tcPr>
          <w:p>
            <w:pPr>
              <w:spacing w:before="10" w:after="10"/>
              <w:jc w:val="center"/>
              <w:rPr>
                <w:sz w:val="14"/>
              </w:rPr>
            </w:pPr>
            <w:r>
              <w:rPr>
                <w:sz w:val="14"/>
              </w:rPr>
              <w:t>0,245</w:t>
            </w:r>
          </w:p>
        </w:tc>
      </w:tr>
      <w:tr>
        <w:tc>
          <w:tcPr>
            <w:tcW w:type="dxa" w:w="490"/>
          </w:tcPr>
          <w:p>
            <w:pPr>
              <w:spacing w:before="10" w:after="10"/>
              <w:jc w:val="left"/>
              <w:rPr>
                <w:sz w:val="14"/>
              </w:rPr>
            </w:pPr>
          </w:p>
        </w:tc>
        <w:tc>
          <w:tcPr>
            <w:tcW w:type="dxa" w:w="1066"/>
          </w:tcPr>
          <w:p>
            <w:pPr>
              <w:spacing w:before="10" w:after="10"/>
              <w:jc w:val="left"/>
              <w:rPr>
                <w:sz w:val="14"/>
              </w:rPr>
            </w:pPr>
            <w:r>
              <w:rPr>
                <w:sz w:val="14"/>
              </w:rPr>
              <w:t>RO</w:t>
            </w:r>
          </w:p>
        </w:tc>
        <w:tc>
          <w:tcPr>
            <w:tcW w:type="dxa" w:w="677"/>
          </w:tcPr>
          <w:p>
            <w:pPr>
              <w:spacing w:before="10" w:after="10"/>
              <w:jc w:val="center"/>
              <w:rPr>
                <w:sz w:val="14"/>
              </w:rPr>
            </w:pPr>
            <w:r>
              <w:rPr>
                <w:sz w:val="14"/>
              </w:rPr>
              <w:t>0,241</w:t>
            </w:r>
          </w:p>
        </w:tc>
        <w:tc>
          <w:tcPr>
            <w:tcW w:type="dxa" w:w="749"/>
          </w:tcPr>
          <w:p>
            <w:pPr>
              <w:spacing w:before="10" w:after="10"/>
              <w:jc w:val="center"/>
              <w:rPr>
                <w:sz w:val="14"/>
              </w:rPr>
            </w:pPr>
            <w:r>
              <w:rPr>
                <w:sz w:val="14"/>
              </w:rPr>
              <w:t>0,511</w:t>
            </w:r>
          </w:p>
        </w:tc>
        <w:tc>
          <w:tcPr>
            <w:tcW w:type="dxa" w:w="648"/>
          </w:tcPr>
          <w:p>
            <w:pPr>
              <w:spacing w:before="10" w:after="10"/>
              <w:jc w:val="center"/>
              <w:rPr>
                <w:sz w:val="14"/>
              </w:rPr>
            </w:pPr>
            <w:r>
              <w:rPr>
                <w:sz w:val="14"/>
              </w:rPr>
              <w:t>0,392</w:t>
            </w:r>
          </w:p>
        </w:tc>
        <w:tc>
          <w:tcPr>
            <w:tcW w:type="dxa" w:w="691"/>
          </w:tcPr>
          <w:p>
            <w:pPr>
              <w:spacing w:before="10" w:after="10"/>
              <w:jc w:val="center"/>
              <w:rPr>
                <w:sz w:val="14"/>
              </w:rPr>
            </w:pPr>
            <w:r>
              <w:rPr>
                <w:sz w:val="14"/>
              </w:rPr>
              <w:t>0,299</w:t>
            </w:r>
          </w:p>
        </w:tc>
        <w:tc>
          <w:tcPr>
            <w:tcW w:type="dxa" w:w="648"/>
          </w:tcPr>
          <w:p>
            <w:pPr>
              <w:spacing w:before="10" w:after="10"/>
              <w:jc w:val="center"/>
              <w:rPr>
                <w:sz w:val="14"/>
              </w:rPr>
            </w:pPr>
            <w:r>
              <w:rPr>
                <w:sz w:val="14"/>
              </w:rPr>
              <w:t>0,268</w:t>
            </w:r>
          </w:p>
        </w:tc>
      </w:tr>
      <w:tr>
        <w:tc>
          <w:tcPr>
            <w:tcW w:type="dxa" w:w="490"/>
          </w:tcPr>
          <w:p>
            <w:pPr>
              <w:spacing w:before="10" w:after="10"/>
              <w:jc w:val="left"/>
              <w:rPr>
                <w:sz w:val="14"/>
              </w:rPr>
            </w:pPr>
          </w:p>
        </w:tc>
        <w:tc>
          <w:tcPr>
            <w:tcW w:type="dxa" w:w="1066"/>
          </w:tcPr>
          <w:p>
            <w:pPr>
              <w:spacing w:before="10" w:after="10"/>
              <w:jc w:val="left"/>
              <w:rPr>
                <w:sz w:val="14"/>
              </w:rPr>
            </w:pPr>
            <w:r>
              <w:rPr>
                <w:sz w:val="14"/>
              </w:rPr>
              <w:t>XGBoost</w:t>
            </w:r>
          </w:p>
        </w:tc>
        <w:tc>
          <w:tcPr>
            <w:tcW w:type="dxa" w:w="677"/>
          </w:tcPr>
          <w:p>
            <w:pPr>
              <w:spacing w:before="10" w:after="10"/>
              <w:jc w:val="center"/>
              <w:rPr>
                <w:sz w:val="14"/>
              </w:rPr>
            </w:pPr>
            <w:r>
              <w:rPr>
                <w:sz w:val="14"/>
              </w:rPr>
              <w:t>0,235</w:t>
            </w:r>
          </w:p>
        </w:tc>
        <w:tc>
          <w:tcPr>
            <w:tcW w:type="dxa" w:w="749"/>
          </w:tcPr>
          <w:p>
            <w:pPr>
              <w:spacing w:before="10" w:after="10"/>
              <w:jc w:val="center"/>
              <w:rPr>
                <w:sz w:val="14"/>
              </w:rPr>
            </w:pPr>
            <w:r>
              <w:rPr>
                <w:b/>
                <w:sz w:val="14"/>
              </w:rPr>
              <w:t>0,515</w:t>
            </w:r>
          </w:p>
        </w:tc>
        <w:tc>
          <w:tcPr>
            <w:tcW w:type="dxa" w:w="648"/>
          </w:tcPr>
          <w:p>
            <w:pPr>
              <w:spacing w:before="10" w:after="10"/>
              <w:jc w:val="center"/>
              <w:rPr>
                <w:sz w:val="14"/>
              </w:rPr>
            </w:pPr>
            <w:r>
              <w:rPr>
                <w:sz w:val="14"/>
              </w:rPr>
              <w:t>0,393</w:t>
            </w:r>
          </w:p>
        </w:tc>
        <w:tc>
          <w:tcPr>
            <w:tcW w:type="dxa" w:w="691"/>
          </w:tcPr>
          <w:p>
            <w:pPr>
              <w:spacing w:before="10" w:after="10"/>
              <w:jc w:val="center"/>
              <w:rPr>
                <w:sz w:val="14"/>
              </w:rPr>
            </w:pPr>
            <w:r>
              <w:rPr>
                <w:sz w:val="14"/>
              </w:rPr>
              <w:t>0,317</w:t>
            </w:r>
          </w:p>
        </w:tc>
        <w:tc>
          <w:tcPr>
            <w:tcW w:type="dxa" w:w="648"/>
          </w:tcPr>
          <w:p>
            <w:pPr>
              <w:spacing w:before="10" w:after="10"/>
              <w:jc w:val="center"/>
              <w:rPr>
                <w:sz w:val="14"/>
              </w:rPr>
            </w:pPr>
            <w:r>
              <w:rPr>
                <w:sz w:val="14"/>
              </w:rPr>
              <w:t>0,272</w:t>
            </w:r>
          </w:p>
        </w:tc>
      </w:tr>
      <w:tr>
        <w:tc>
          <w:tcPr>
            <w:tcW w:type="dxa" w:w="490"/>
          </w:tcPr>
          <w:p>
            <w:pPr>
              <w:spacing w:before="10" w:after="10"/>
              <w:jc w:val="left"/>
              <w:rPr>
                <w:sz w:val="14"/>
              </w:rPr>
            </w:pPr>
          </w:p>
        </w:tc>
        <w:tc>
          <w:tcPr>
            <w:tcW w:type="dxa" w:w="1066"/>
          </w:tcPr>
          <w:p>
            <w:pPr>
              <w:spacing w:before="10" w:after="10"/>
              <w:jc w:val="left"/>
              <w:rPr>
                <w:sz w:val="14"/>
              </w:rPr>
            </w:pPr>
            <w:r>
              <w:rPr>
                <w:sz w:val="14"/>
              </w:rPr>
              <w:t>LightGBM</w:t>
            </w:r>
          </w:p>
        </w:tc>
        <w:tc>
          <w:tcPr>
            <w:tcW w:type="dxa" w:w="677"/>
          </w:tcPr>
          <w:p>
            <w:pPr>
              <w:spacing w:before="10" w:after="10"/>
              <w:jc w:val="center"/>
              <w:rPr>
                <w:sz w:val="14"/>
              </w:rPr>
            </w:pPr>
            <w:r>
              <w:rPr>
                <w:sz w:val="14"/>
              </w:rPr>
              <w:t>0,237</w:t>
            </w:r>
          </w:p>
        </w:tc>
        <w:tc>
          <w:tcPr>
            <w:tcW w:type="dxa" w:w="749"/>
          </w:tcPr>
          <w:p>
            <w:pPr>
              <w:spacing w:before="10" w:after="10"/>
              <w:jc w:val="center"/>
              <w:rPr>
                <w:sz w:val="14"/>
              </w:rPr>
            </w:pPr>
            <w:r>
              <w:rPr>
                <w:sz w:val="14"/>
              </w:rPr>
              <w:t>0,494</w:t>
            </w:r>
          </w:p>
        </w:tc>
        <w:tc>
          <w:tcPr>
            <w:tcW w:type="dxa" w:w="648"/>
          </w:tcPr>
          <w:p>
            <w:pPr>
              <w:spacing w:before="10" w:after="10"/>
              <w:jc w:val="center"/>
              <w:rPr>
                <w:sz w:val="14"/>
              </w:rPr>
            </w:pPr>
            <w:r>
              <w:rPr>
                <w:sz w:val="14"/>
              </w:rPr>
              <w:t>0,389</w:t>
            </w:r>
          </w:p>
        </w:tc>
        <w:tc>
          <w:tcPr>
            <w:tcW w:type="dxa" w:w="691"/>
          </w:tcPr>
          <w:p>
            <w:pPr>
              <w:spacing w:before="10" w:after="10"/>
              <w:jc w:val="center"/>
              <w:rPr>
                <w:sz w:val="14"/>
              </w:rPr>
            </w:pPr>
            <w:r>
              <w:rPr>
                <w:sz w:val="14"/>
              </w:rPr>
              <w:t>0,310</w:t>
            </w:r>
          </w:p>
        </w:tc>
        <w:tc>
          <w:tcPr>
            <w:tcW w:type="dxa" w:w="648"/>
          </w:tcPr>
          <w:p>
            <w:pPr>
              <w:spacing w:before="10" w:after="10"/>
              <w:jc w:val="center"/>
              <w:rPr>
                <w:sz w:val="14"/>
              </w:rPr>
            </w:pPr>
            <w:r>
              <w:rPr>
                <w:sz w:val="14"/>
              </w:rPr>
              <w:t>0,258</w:t>
            </w:r>
          </w:p>
        </w:tc>
      </w:tr>
      <w:tr>
        <w:tc>
          <w:tcPr>
            <w:tcW w:type="dxa" w:w="490"/>
          </w:tcPr>
          <w:p>
            <w:pPr>
              <w:spacing w:before="10" w:after="10"/>
              <w:jc w:val="left"/>
              <w:rPr>
                <w:sz w:val="14"/>
              </w:rPr>
            </w:pPr>
          </w:p>
        </w:tc>
        <w:tc>
          <w:tcPr>
            <w:tcW w:type="dxa" w:w="1066"/>
          </w:tcPr>
          <w:p>
            <w:pPr>
              <w:spacing w:before="10" w:after="10"/>
              <w:jc w:val="left"/>
              <w:rPr>
                <w:sz w:val="14"/>
              </w:rPr>
            </w:pPr>
            <w:r>
              <w:rPr>
                <w:sz w:val="14"/>
              </w:rPr>
              <w:t>GRU</w:t>
            </w:r>
          </w:p>
        </w:tc>
        <w:tc>
          <w:tcPr>
            <w:tcW w:type="dxa" w:w="677"/>
          </w:tcPr>
          <w:p>
            <w:pPr>
              <w:spacing w:before="10" w:after="10"/>
              <w:jc w:val="center"/>
              <w:rPr>
                <w:sz w:val="14"/>
              </w:rPr>
            </w:pPr>
            <w:r>
              <w:rPr>
                <w:sz w:val="14"/>
              </w:rPr>
              <w:t>0,267</w:t>
            </w:r>
          </w:p>
        </w:tc>
        <w:tc>
          <w:tcPr>
            <w:tcW w:type="dxa" w:w="749"/>
          </w:tcPr>
          <w:p>
            <w:pPr>
              <w:spacing w:before="10" w:after="10"/>
              <w:jc w:val="center"/>
              <w:rPr>
                <w:sz w:val="14"/>
              </w:rPr>
            </w:pPr>
            <w:r>
              <w:rPr>
                <w:sz w:val="14"/>
              </w:rPr>
              <w:t>0,478</w:t>
            </w:r>
          </w:p>
        </w:tc>
        <w:tc>
          <w:tcPr>
            <w:tcW w:type="dxa" w:w="648"/>
          </w:tcPr>
          <w:p>
            <w:pPr>
              <w:spacing w:before="10" w:after="10"/>
              <w:jc w:val="center"/>
              <w:rPr>
                <w:sz w:val="14"/>
              </w:rPr>
            </w:pPr>
            <w:r>
              <w:rPr>
                <w:sz w:val="14"/>
              </w:rPr>
              <w:t>0,430</w:t>
            </w:r>
          </w:p>
        </w:tc>
        <w:tc>
          <w:tcPr>
            <w:tcW w:type="dxa" w:w="691"/>
          </w:tcPr>
          <w:p>
            <w:pPr>
              <w:spacing w:before="10" w:after="10"/>
              <w:jc w:val="center"/>
              <w:rPr>
                <w:sz w:val="14"/>
              </w:rPr>
            </w:pPr>
            <w:r>
              <w:rPr>
                <w:sz w:val="14"/>
              </w:rPr>
              <w:t>0,335</w:t>
            </w:r>
          </w:p>
        </w:tc>
        <w:tc>
          <w:tcPr>
            <w:tcW w:type="dxa" w:w="648"/>
          </w:tcPr>
          <w:p>
            <w:pPr>
              <w:spacing w:before="10" w:after="10"/>
              <w:jc w:val="center"/>
              <w:rPr>
                <w:sz w:val="14"/>
              </w:rPr>
            </w:pPr>
            <w:r>
              <w:rPr>
                <w:sz w:val="14"/>
              </w:rPr>
              <w:t>0,270</w:t>
            </w:r>
          </w:p>
        </w:tc>
      </w:tr>
      <w:tr>
        <w:tc>
          <w:tcPr>
            <w:tcW w:type="dxa" w:w="490"/>
          </w:tcPr>
          <w:p>
            <w:pPr>
              <w:spacing w:before="10" w:after="10"/>
              <w:jc w:val="left"/>
              <w:rPr>
                <w:sz w:val="14"/>
              </w:rPr>
            </w:pPr>
          </w:p>
        </w:tc>
        <w:tc>
          <w:tcPr>
            <w:tcW w:type="dxa" w:w="1066"/>
          </w:tcPr>
          <w:p>
            <w:pPr>
              <w:spacing w:before="10" w:after="10"/>
              <w:jc w:val="left"/>
              <w:rPr>
                <w:sz w:val="14"/>
              </w:rPr>
            </w:pPr>
            <w:r>
              <w:rPr>
                <w:sz w:val="14"/>
              </w:rPr>
              <w:t>LSTM</w:t>
            </w:r>
          </w:p>
        </w:tc>
        <w:tc>
          <w:tcPr>
            <w:tcW w:type="dxa" w:w="677"/>
          </w:tcPr>
          <w:p>
            <w:pPr>
              <w:spacing w:before="10" w:after="10"/>
              <w:jc w:val="center"/>
              <w:rPr>
                <w:sz w:val="14"/>
              </w:rPr>
            </w:pPr>
            <w:r>
              <w:rPr>
                <w:b/>
                <w:sz w:val="14"/>
              </w:rPr>
              <w:t>0,281</w:t>
            </w:r>
          </w:p>
        </w:tc>
        <w:tc>
          <w:tcPr>
            <w:tcW w:type="dxa" w:w="749"/>
          </w:tcPr>
          <w:p>
            <w:pPr>
              <w:spacing w:before="10" w:after="10"/>
              <w:jc w:val="center"/>
              <w:rPr>
                <w:sz w:val="14"/>
              </w:rPr>
            </w:pPr>
            <w:r>
              <w:rPr>
                <w:sz w:val="14"/>
              </w:rPr>
              <w:t>0,489</w:t>
            </w:r>
          </w:p>
        </w:tc>
        <w:tc>
          <w:tcPr>
            <w:tcW w:type="dxa" w:w="648"/>
          </w:tcPr>
          <w:p>
            <w:pPr>
              <w:spacing w:before="10" w:after="10"/>
              <w:jc w:val="center"/>
              <w:rPr>
                <w:sz w:val="14"/>
              </w:rPr>
            </w:pPr>
            <w:r>
              <w:rPr>
                <w:b/>
                <w:sz w:val="14"/>
              </w:rPr>
              <w:t>0,440</w:t>
            </w:r>
          </w:p>
        </w:tc>
        <w:tc>
          <w:tcPr>
            <w:tcW w:type="dxa" w:w="691"/>
          </w:tcPr>
          <w:p>
            <w:pPr>
              <w:spacing w:before="10" w:after="10"/>
              <w:jc w:val="center"/>
              <w:rPr>
                <w:sz w:val="14"/>
              </w:rPr>
            </w:pPr>
            <w:r>
              <w:rPr>
                <w:b/>
                <w:sz w:val="14"/>
              </w:rPr>
              <w:t>0,341</w:t>
            </w:r>
          </w:p>
        </w:tc>
        <w:tc>
          <w:tcPr>
            <w:tcW w:type="dxa" w:w="648"/>
          </w:tcPr>
          <w:p>
            <w:pPr>
              <w:spacing w:before="10" w:after="10"/>
              <w:jc w:val="center"/>
              <w:rPr>
                <w:sz w:val="14"/>
              </w:rPr>
            </w:pPr>
            <w:r>
              <w:rPr>
                <w:b/>
                <w:sz w:val="14"/>
              </w:rPr>
              <w:t>0,297</w:t>
            </w:r>
          </w:p>
        </w:tc>
      </w:tr>
      <w:tr>
        <w:tc>
          <w:tcPr>
            <w:tcW w:type="dxa" w:w="490"/>
          </w:tcPr>
          <w:p>
            <w:pPr>
              <w:spacing w:before="10" w:after="10"/>
              <w:jc w:val="left"/>
              <w:rPr>
                <w:sz w:val="14"/>
              </w:rPr>
            </w:pPr>
          </w:p>
        </w:tc>
        <w:tc>
          <w:tcPr>
            <w:tcW w:type="dxa" w:w="1066"/>
          </w:tcPr>
          <w:p>
            <w:pPr>
              <w:spacing w:before="10" w:after="10"/>
              <w:jc w:val="left"/>
              <w:rPr>
                <w:sz w:val="14"/>
              </w:rPr>
            </w:pPr>
            <w:r>
              <w:rPr>
                <w:sz w:val="14"/>
              </w:rPr>
              <w:t>Kalıcılık</w:t>
            </w:r>
          </w:p>
        </w:tc>
        <w:tc>
          <w:tcPr>
            <w:tcW w:type="dxa" w:w="677"/>
          </w:tcPr>
          <w:p>
            <w:pPr>
              <w:spacing w:before="10" w:after="10"/>
              <w:jc w:val="center"/>
              <w:rPr>
                <w:sz w:val="14"/>
              </w:rPr>
            </w:pPr>
            <w:r>
              <w:rPr>
                <w:sz w:val="14"/>
              </w:rPr>
              <w:t>-0,695</w:t>
            </w:r>
          </w:p>
        </w:tc>
        <w:tc>
          <w:tcPr>
            <w:tcW w:type="dxa" w:w="749"/>
          </w:tcPr>
          <w:p>
            <w:pPr>
              <w:spacing w:before="10" w:after="10"/>
              <w:jc w:val="center"/>
              <w:rPr>
                <w:sz w:val="14"/>
              </w:rPr>
            </w:pPr>
            <w:r>
              <w:rPr>
                <w:sz w:val="14"/>
              </w:rPr>
              <w:t>0,405</w:t>
            </w:r>
          </w:p>
        </w:tc>
        <w:tc>
          <w:tcPr>
            <w:tcW w:type="dxa" w:w="648"/>
          </w:tcPr>
          <w:p>
            <w:pPr>
              <w:spacing w:before="10" w:after="10"/>
              <w:jc w:val="center"/>
              <w:rPr>
                <w:sz w:val="14"/>
              </w:rPr>
            </w:pPr>
            <w:r>
              <w:rPr>
                <w:sz w:val="14"/>
              </w:rPr>
              <w:t>0,162</w:t>
            </w:r>
          </w:p>
        </w:tc>
        <w:tc>
          <w:tcPr>
            <w:tcW w:type="dxa" w:w="691"/>
          </w:tcPr>
          <w:p>
            <w:pPr>
              <w:spacing w:before="10" w:after="10"/>
              <w:jc w:val="center"/>
              <w:rPr>
                <w:sz w:val="14"/>
              </w:rPr>
            </w:pPr>
            <w:r>
              <w:rPr>
                <w:sz w:val="14"/>
              </w:rPr>
              <w:t>0,120</w:t>
            </w:r>
          </w:p>
        </w:tc>
        <w:tc>
          <w:tcPr>
            <w:tcW w:type="dxa" w:w="648"/>
          </w:tcPr>
          <w:p>
            <w:pPr>
              <w:spacing w:before="10" w:after="10"/>
              <w:jc w:val="center"/>
              <w:rPr>
                <w:sz w:val="14"/>
              </w:rPr>
            </w:pPr>
            <w:r>
              <w:rPr>
                <w:sz w:val="14"/>
              </w:rPr>
              <w:t>0,073</w:t>
            </w:r>
          </w:p>
        </w:tc>
      </w:tr>
    </w:tbl>
    <w:p>
      <w:pPr>
        <w:pStyle w:val="FigureCaption"/>
        <w:spacing w:before="40"/>
      </w:pPr>
      <w:r>
        <w:rPr>
          <w:sz w:val="14"/>
        </w:rPr>
        <w:t>RPSS, ay–saat sınıf klimatolojisine görelidir; HSS</w:t>
      </w:r>
      <w:r>
        <w:rPr>
          <w:i w:val="0"/>
          <w:sz w:val="14"/>
          <w:vertAlign w:val="subscript"/>
        </w:rPr>
        <w:t>3</w:t>
      </w:r>
      <w:r>
        <w:rPr>
          <w:sz w:val="14"/>
        </w:rPr>
        <w:t>: üç kategorili Heidke skoru. CSI</w:t>
      </w:r>
      <w:r>
        <w:rPr>
          <w:i w:val="0"/>
          <w:sz w:val="14"/>
          <w:vertAlign w:val="subscript"/>
        </w:rPr>
        <w:t>≥II</w:t>
      </w:r>
      <w:r>
        <w:rPr>
          <w:sz w:val="14"/>
        </w:rPr>
        <w:t>: RVR &lt; 550 m (CAT II veya daha kötü); CSI</w:t>
      </w:r>
      <w:r>
        <w:rPr>
          <w:i/>
          <w:sz w:val="14"/>
          <w:vertAlign w:val="subscript"/>
        </w:rPr>
        <w:t>III</w:t>
      </w:r>
      <w:r>
        <w:rPr>
          <w:sz w:val="14"/>
        </w:rPr>
        <w:t>: RVR &lt; 350 m. LR: lojistik regresyon; RO: rastgele orman.</w:t>
      </w:r>
    </w:p>
    <w:p>
      <w:pPr>
        <w:spacing w:after="80"/>
      </w:pP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5049774" cy="1714500"/>
            <wp:docPr id="6" name="Picture 6"/>
            <wp:cNvGraphicFramePr>
              <a:graphicFrameLocks noChangeAspect="1"/>
            </wp:cNvGraphicFramePr>
            <a:graphic>
              <a:graphicData uri="http://schemas.openxmlformats.org/drawingml/2006/picture">
                <pic:pic>
                  <pic:nvPicPr>
                    <pic:cNvPr id="0" name="rvr_confusion.png"/>
                    <pic:cNvPicPr/>
                  </pic:nvPicPr>
                  <pic:blipFill>
                    <a:blip r:embed="rId37"/>
                    <a:stretch>
                      <a:fillRect/>
                    </a:stretch>
                  </pic:blipFill>
                  <pic:spPr>
                    <a:xfrm>
                      <a:off x="0" y="0"/>
                      <a:ext cx="5049774" cy="1714500"/>
                    </a:xfrm>
                    <a:prstGeom prst="rect"/>
                  </pic:spPr>
                </pic:pic>
              </a:graphicData>
            </a:graphic>
          </wp:inline>
        </w:drawing>
      </w:r>
    </w:p>
    <w:p>
      <w:pPr>
        <w:pStyle w:val="FigureCaption"/>
        <w:spacing w:after="160"/>
      </w:pPr>
      <w:r>
        <w:rPr>
          <w:sz w:val="16"/>
        </w:rPr>
        <w:t xml:space="preserve">Şekil 6. </w:t>
      </w:r>
      <w:r>
        <w:rPr>
          <w:sz w:val="16"/>
        </w:rPr>
        <w:t>Test sezonlarında LightGBM ILS kategorisi tahminlerinin karışıklık matrisleri (sayılar ve satır bazında normalleştirilmiş oranlar).</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E. </w:t>
      </w:r>
      <w:r>
        <w:t>Sınıf Dengesizliği ve Kalibrasyon</w:t>
      </w:r>
    </w:p>
    <w:p>
      <w:pPr>
        <w:pStyle w:val="Text"/>
      </w:pPr>
      <w:r>
        <w:t>Dengesizlik deneyi (Tablo IX), sınıf ağırlıklandırma, SMOTE ve alt örneklemenin sıralama kalitesini güvenilir biçimde iyileştirmediğini—LR'de doğrulama PR-AUC değerini 0,759'dan 0,720–0,747'ye düşürdüğünü—ancak ham olasılıkları ciddi biçimde bozduğunu göstermektedir: sınıf ağırlıklandırma LR'nin doğrulama Brier skorunu on kat artırmaktadır (0,0026'dan 0,0261'e). Yeniden kalibrasyon bu bozulmanın büyük bölümünü gidermekle birlikte en basit seçenek olan örnekleme yapmadan kalibrasyon, alternatifleri kadar veya onlardan daha iyidir; bu nedenle tüm nihai modellerde bu seçenek kullanılmıştır. Kalibre edilmiş tahminlerin güvenilirlik eğrileri tüm öngörü sürelerinde köşegeni yakından izlemektedir (Şekil 7). Bu sonuç önemsiz değildir: test sezonlarındaki sis sıklığı (%0,64) eğitim döneminin (%1,24) yalnızca yarısıdır ve en güncel sezonlarda yapılan kalibrasyon olasılıkları bu değişime uyarlamıştır.</w:t>
      </w:r>
    </w:p>
    <w:p>
      <w:pPr>
        <w:keepNext/>
        <w:widowControl w:val="0"/>
        <w:pBdr>
          <w:top w:val="nil"/>
          <w:left w:val="nil"/>
          <w:bottom w:val="nil"/>
          <w:right w:val="nil"/>
          <w:between w:val="nil"/>
        </w:pBdr>
        <w:spacing w:line="252" w:lineRule="auto"/>
        <w:ind w:firstLine="202"/>
        <w:jc w:val="center"/>
      </w:pPr>
      <w:r>
        <w:rPr>
          <w:sz w:val="16"/>
        </w:rPr>
        <w:t>TABLO IX</w:t>
      </w:r>
    </w:p>
    <w:p>
      <w:pPr>
        <w:pStyle w:val="TableTitle"/>
        <w:keepNext/>
        <w:spacing w:after="60"/>
      </w:pPr>
      <w:r>
        <w:rPr>
          <w:sz w:val="16"/>
        </w:rPr>
        <w:t>Sınıf dengesizliği stratejileri (sis, 3 sa)</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481"/>
        <w:gridCol w:w="1481"/>
        <w:gridCol w:w="1481"/>
        <w:gridCol w:w="1481"/>
        <w:gridCol w:w="1481"/>
        <w:gridCol w:w="1481"/>
        <w:gridCol w:w="1481"/>
      </w:tblGrid>
      <w:tr>
        <w:tc>
          <w:tcPr>
            <w:tcW w:type="dxa" w:w="864"/>
            <w:tcBorders>
              <w:bottom w:val="single" w:sz="4" w:color="000000"/>
            </w:tcBorders>
          </w:tcPr>
          <w:p>
            <w:pPr>
              <w:spacing w:before="10" w:after="10"/>
              <w:jc w:val="left"/>
              <w:rPr>
                <w:sz w:val="14"/>
              </w:rPr>
            </w:pPr>
            <w:r>
              <w:rPr>
                <w:b/>
                <w:sz w:val="14"/>
              </w:rPr>
              <w:t>Model</w:t>
            </w:r>
          </w:p>
        </w:tc>
        <w:tc>
          <w:tcPr>
            <w:tcW w:type="dxa" w:w="972"/>
            <w:tcBorders>
              <w:bottom w:val="single" w:sz="4" w:color="000000"/>
            </w:tcBorders>
          </w:tcPr>
          <w:p>
            <w:pPr>
              <w:spacing w:before="10" w:after="10"/>
              <w:jc w:val="left"/>
              <w:rPr>
                <w:sz w:val="14"/>
              </w:rPr>
            </w:pPr>
            <w:r>
              <w:rPr>
                <w:b/>
                <w:sz w:val="14"/>
              </w:rPr>
              <w:t>Strateji</w:t>
            </w:r>
          </w:p>
        </w:tc>
        <w:tc>
          <w:tcPr>
            <w:tcW w:type="dxa" w:w="648"/>
            <w:tcBorders>
              <w:bottom w:val="single" w:sz="4" w:color="000000"/>
            </w:tcBorders>
          </w:tcPr>
          <w:p>
            <w:pPr>
              <w:spacing w:before="10" w:after="10"/>
              <w:jc w:val="center"/>
              <w:rPr>
                <w:sz w:val="14"/>
              </w:rPr>
            </w:pPr>
            <w:r>
              <w:rPr>
                <w:b/>
                <w:sz w:val="14"/>
              </w:rPr>
              <w:t>PR-AUC</w:t>
            </w:r>
            <w:r>
              <w:rPr>
                <w:b/>
                <w:i/>
                <w:sz w:val="14"/>
                <w:vertAlign w:val="subscript"/>
              </w:rPr>
              <w:t>v</w:t>
            </w:r>
          </w:p>
        </w:tc>
        <w:tc>
          <w:tcPr>
            <w:tcW w:type="dxa" w:w="648"/>
            <w:tcBorders>
              <w:bottom w:val="single" w:sz="4" w:color="000000"/>
            </w:tcBorders>
          </w:tcPr>
          <w:p>
            <w:pPr>
              <w:spacing w:before="10" w:after="10"/>
              <w:jc w:val="center"/>
              <w:rPr>
                <w:sz w:val="14"/>
              </w:rPr>
            </w:pPr>
            <w:r>
              <w:rPr>
                <w:b/>
                <w:sz w:val="14"/>
              </w:rPr>
              <w:t>BS</w:t>
            </w:r>
            <w:r>
              <w:rPr>
                <w:b/>
                <w:i/>
                <w:sz w:val="14"/>
                <w:vertAlign w:val="subscript"/>
              </w:rPr>
              <w:t>v</w:t>
            </w:r>
            <w:r>
              <w:rPr>
                <w:b/>
                <w:sz w:val="14"/>
              </w:rPr>
              <w:t xml:space="preserve"> ham</w:t>
            </w:r>
          </w:p>
        </w:tc>
        <w:tc>
          <w:tcPr>
            <w:tcW w:type="dxa" w:w="648"/>
            <w:tcBorders>
              <w:bottom w:val="single" w:sz="4" w:color="000000"/>
            </w:tcBorders>
          </w:tcPr>
          <w:p>
            <w:pPr>
              <w:spacing w:before="10" w:after="10"/>
              <w:jc w:val="center"/>
              <w:rPr>
                <w:sz w:val="14"/>
              </w:rPr>
            </w:pPr>
            <w:r>
              <w:rPr>
                <w:b/>
                <w:sz w:val="14"/>
              </w:rPr>
              <w:t>BS</w:t>
            </w:r>
            <w:r>
              <w:rPr>
                <w:b/>
                <w:i/>
                <w:sz w:val="14"/>
                <w:vertAlign w:val="subscript"/>
              </w:rPr>
              <w:t>v</w:t>
            </w:r>
            <w:r>
              <w:rPr>
                <w:b/>
                <w:sz w:val="14"/>
              </w:rPr>
              <w:t xml:space="preserve"> kal.</w:t>
            </w:r>
          </w:p>
        </w:tc>
        <w:tc>
          <w:tcPr>
            <w:tcW w:type="dxa" w:w="648"/>
            <w:tcBorders>
              <w:bottom w:val="single" w:sz="4" w:color="000000"/>
            </w:tcBorders>
          </w:tcPr>
          <w:p>
            <w:pPr>
              <w:spacing w:before="10" w:after="10"/>
              <w:jc w:val="center"/>
              <w:rPr>
                <w:sz w:val="14"/>
              </w:rPr>
            </w:pPr>
            <w:r>
              <w:rPr>
                <w:b/>
                <w:sz w:val="14"/>
              </w:rPr>
              <w:t>PR-AUC</w:t>
            </w:r>
            <w:r>
              <w:rPr>
                <w:b/>
                <w:i/>
                <w:sz w:val="14"/>
                <w:vertAlign w:val="subscript"/>
              </w:rPr>
              <w:t>t</w:t>
            </w:r>
          </w:p>
        </w:tc>
        <w:tc>
          <w:tcPr>
            <w:tcW w:type="dxa" w:w="540"/>
            <w:tcBorders>
              <w:bottom w:val="single" w:sz="4" w:color="000000"/>
            </w:tcBorders>
          </w:tcPr>
          <w:p>
            <w:pPr>
              <w:spacing w:before="10" w:after="10"/>
              <w:jc w:val="center"/>
              <w:rPr>
                <w:sz w:val="14"/>
              </w:rPr>
            </w:pPr>
            <w:r>
              <w:rPr>
                <w:b/>
                <w:sz w:val="14"/>
              </w:rPr>
              <w:t>CSI</w:t>
            </w:r>
            <w:r>
              <w:rPr>
                <w:b/>
                <w:i/>
                <w:sz w:val="14"/>
                <w:vertAlign w:val="subscript"/>
              </w:rPr>
              <w:t>t</w:t>
            </w:r>
          </w:p>
        </w:tc>
      </w:tr>
      <w:tr>
        <w:tc>
          <w:tcPr>
            <w:tcW w:type="dxa" w:w="864"/>
          </w:tcPr>
          <w:p>
            <w:pPr>
              <w:spacing w:before="10" w:after="10"/>
              <w:jc w:val="left"/>
              <w:rPr>
                <w:sz w:val="14"/>
              </w:rPr>
            </w:pPr>
            <w:r>
              <w:rPr>
                <w:sz w:val="14"/>
              </w:rPr>
              <w:t>Lojistik regresyon</w:t>
            </w:r>
          </w:p>
        </w:tc>
        <w:tc>
          <w:tcPr>
            <w:tcW w:type="dxa" w:w="972"/>
          </w:tcPr>
          <w:p>
            <w:pPr>
              <w:spacing w:before="10" w:after="10"/>
              <w:jc w:val="left"/>
              <w:rPr>
                <w:sz w:val="14"/>
              </w:rPr>
            </w:pPr>
            <w:r>
              <w:rPr>
                <w:sz w:val="14"/>
              </w:rPr>
              <w:t>yok</w:t>
            </w:r>
          </w:p>
        </w:tc>
        <w:tc>
          <w:tcPr>
            <w:tcW w:type="dxa" w:w="648"/>
          </w:tcPr>
          <w:p>
            <w:pPr>
              <w:spacing w:before="10" w:after="10"/>
              <w:jc w:val="center"/>
              <w:rPr>
                <w:sz w:val="14"/>
              </w:rPr>
            </w:pPr>
            <w:r>
              <w:rPr>
                <w:sz w:val="14"/>
              </w:rPr>
              <w:t>0,759</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0,636</w:t>
            </w:r>
          </w:p>
        </w:tc>
        <w:tc>
          <w:tcPr>
            <w:tcW w:type="dxa" w:w="540"/>
          </w:tcPr>
          <w:p>
            <w:pPr>
              <w:spacing w:before="10" w:after="10"/>
              <w:jc w:val="center"/>
              <w:rPr>
                <w:sz w:val="14"/>
              </w:rPr>
            </w:pPr>
            <w:r>
              <w:rPr>
                <w:sz w:val="14"/>
              </w:rPr>
              <w:t>0,395</w:t>
            </w:r>
          </w:p>
        </w:tc>
      </w:tr>
      <w:tr>
        <w:tc>
          <w:tcPr>
            <w:tcW w:type="dxa" w:w="864"/>
          </w:tcPr>
          <w:p>
            <w:pPr>
              <w:spacing w:before="10" w:after="10"/>
              <w:jc w:val="left"/>
              <w:rPr>
                <w:sz w:val="14"/>
              </w:rPr>
            </w:pPr>
          </w:p>
        </w:tc>
        <w:tc>
          <w:tcPr>
            <w:tcW w:type="dxa" w:w="972"/>
          </w:tcPr>
          <w:p>
            <w:pPr>
              <w:spacing w:before="10" w:after="10"/>
              <w:jc w:val="left"/>
              <w:rPr>
                <w:sz w:val="14"/>
              </w:rPr>
            </w:pPr>
            <w:r>
              <w:rPr>
                <w:sz w:val="14"/>
              </w:rPr>
              <w:t>sınıf ağırlığı</w:t>
            </w:r>
          </w:p>
        </w:tc>
        <w:tc>
          <w:tcPr>
            <w:tcW w:type="dxa" w:w="648"/>
          </w:tcPr>
          <w:p>
            <w:pPr>
              <w:spacing w:before="10" w:after="10"/>
              <w:jc w:val="center"/>
              <w:rPr>
                <w:sz w:val="14"/>
              </w:rPr>
            </w:pPr>
            <w:r>
              <w:rPr>
                <w:sz w:val="14"/>
              </w:rPr>
              <w:t>0,720</w:t>
            </w:r>
          </w:p>
        </w:tc>
        <w:tc>
          <w:tcPr>
            <w:tcW w:type="dxa" w:w="648"/>
          </w:tcPr>
          <w:p>
            <w:pPr>
              <w:spacing w:before="10" w:after="10"/>
              <w:jc w:val="center"/>
              <w:rPr>
                <w:sz w:val="14"/>
              </w:rPr>
            </w:pPr>
            <w:r>
              <w:rPr>
                <w:sz w:val="14"/>
              </w:rPr>
              <w:t>0,0261</w:t>
            </w:r>
          </w:p>
        </w:tc>
        <w:tc>
          <w:tcPr>
            <w:tcW w:type="dxa" w:w="648"/>
          </w:tcPr>
          <w:p>
            <w:pPr>
              <w:spacing w:before="10" w:after="10"/>
              <w:jc w:val="center"/>
              <w:rPr>
                <w:sz w:val="14"/>
              </w:rPr>
            </w:pPr>
            <w:r>
              <w:rPr>
                <w:sz w:val="14"/>
              </w:rPr>
              <w:t>0,0028</w:t>
            </w:r>
          </w:p>
        </w:tc>
        <w:tc>
          <w:tcPr>
            <w:tcW w:type="dxa" w:w="648"/>
          </w:tcPr>
          <w:p>
            <w:pPr>
              <w:spacing w:before="10" w:after="10"/>
              <w:jc w:val="center"/>
              <w:rPr>
                <w:sz w:val="14"/>
              </w:rPr>
            </w:pPr>
            <w:r>
              <w:rPr>
                <w:sz w:val="14"/>
              </w:rPr>
              <w:t>0,594</w:t>
            </w:r>
          </w:p>
        </w:tc>
        <w:tc>
          <w:tcPr>
            <w:tcW w:type="dxa" w:w="540"/>
          </w:tcPr>
          <w:p>
            <w:pPr>
              <w:spacing w:before="10" w:after="10"/>
              <w:jc w:val="center"/>
              <w:rPr>
                <w:sz w:val="14"/>
              </w:rPr>
            </w:pPr>
            <w:r>
              <w:rPr>
                <w:sz w:val="14"/>
              </w:rPr>
              <w:t>0,406</w:t>
            </w:r>
          </w:p>
        </w:tc>
      </w:tr>
      <w:tr>
        <w:tc>
          <w:tcPr>
            <w:tcW w:type="dxa" w:w="864"/>
          </w:tcPr>
          <w:p>
            <w:pPr>
              <w:spacing w:before="10" w:after="10"/>
              <w:jc w:val="left"/>
              <w:rPr>
                <w:sz w:val="14"/>
              </w:rPr>
            </w:pPr>
          </w:p>
        </w:tc>
        <w:tc>
          <w:tcPr>
            <w:tcW w:type="dxa" w:w="972"/>
          </w:tcPr>
          <w:p>
            <w:pPr>
              <w:spacing w:before="10" w:after="10"/>
              <w:jc w:val="left"/>
              <w:rPr>
                <w:sz w:val="14"/>
              </w:rPr>
            </w:pPr>
            <w:r>
              <w:rPr>
                <w:sz w:val="14"/>
              </w:rPr>
              <w:t>SMOTE</w:t>
            </w:r>
          </w:p>
        </w:tc>
        <w:tc>
          <w:tcPr>
            <w:tcW w:type="dxa" w:w="648"/>
          </w:tcPr>
          <w:p>
            <w:pPr>
              <w:spacing w:before="10" w:after="10"/>
              <w:jc w:val="center"/>
              <w:rPr>
                <w:sz w:val="14"/>
              </w:rPr>
            </w:pPr>
            <w:r>
              <w:rPr>
                <w:sz w:val="14"/>
              </w:rPr>
              <w:t>0,736</w:t>
            </w:r>
          </w:p>
        </w:tc>
        <w:tc>
          <w:tcPr>
            <w:tcW w:type="dxa" w:w="648"/>
          </w:tcPr>
          <w:p>
            <w:pPr>
              <w:spacing w:before="10" w:after="10"/>
              <w:jc w:val="center"/>
              <w:rPr>
                <w:sz w:val="14"/>
              </w:rPr>
            </w:pPr>
            <w:r>
              <w:rPr>
                <w:sz w:val="14"/>
              </w:rPr>
              <w:t>0,0101</w:t>
            </w:r>
          </w:p>
        </w:tc>
        <w:tc>
          <w:tcPr>
            <w:tcW w:type="dxa" w:w="648"/>
          </w:tcPr>
          <w:p>
            <w:pPr>
              <w:spacing w:before="10" w:after="10"/>
              <w:jc w:val="center"/>
              <w:rPr>
                <w:sz w:val="14"/>
              </w:rPr>
            </w:pPr>
            <w:r>
              <w:rPr>
                <w:sz w:val="14"/>
              </w:rPr>
              <w:t>0,0027</w:t>
            </w:r>
          </w:p>
        </w:tc>
        <w:tc>
          <w:tcPr>
            <w:tcW w:type="dxa" w:w="648"/>
          </w:tcPr>
          <w:p>
            <w:pPr>
              <w:spacing w:before="10" w:after="10"/>
              <w:jc w:val="center"/>
              <w:rPr>
                <w:sz w:val="14"/>
              </w:rPr>
            </w:pPr>
            <w:r>
              <w:rPr>
                <w:sz w:val="14"/>
              </w:rPr>
              <w:t>0,614</w:t>
            </w:r>
          </w:p>
        </w:tc>
        <w:tc>
          <w:tcPr>
            <w:tcW w:type="dxa" w:w="540"/>
          </w:tcPr>
          <w:p>
            <w:pPr>
              <w:spacing w:before="10" w:after="10"/>
              <w:jc w:val="center"/>
              <w:rPr>
                <w:sz w:val="14"/>
              </w:rPr>
            </w:pPr>
            <w:r>
              <w:rPr>
                <w:sz w:val="14"/>
              </w:rPr>
              <w:t>0,408</w:t>
            </w:r>
          </w:p>
        </w:tc>
      </w:tr>
      <w:tr>
        <w:tc>
          <w:tcPr>
            <w:tcW w:type="dxa" w:w="864"/>
            <w:tcBorders>
              <w:bottom w:val="single" w:sz="4" w:color="000000"/>
            </w:tcBorders>
          </w:tcPr>
          <w:p>
            <w:pPr>
              <w:spacing w:before="10" w:after="10"/>
              <w:jc w:val="left"/>
              <w:rPr>
                <w:sz w:val="14"/>
              </w:rPr>
            </w:pPr>
          </w:p>
        </w:tc>
        <w:tc>
          <w:tcPr>
            <w:tcW w:type="dxa" w:w="972"/>
            <w:tcBorders>
              <w:bottom w:val="single" w:sz="4" w:color="000000"/>
            </w:tcBorders>
          </w:tcPr>
          <w:p>
            <w:pPr>
              <w:spacing w:before="10" w:after="10"/>
              <w:jc w:val="left"/>
              <w:rPr>
                <w:sz w:val="14"/>
              </w:rPr>
            </w:pPr>
            <w:r>
              <w:rPr>
                <w:sz w:val="14"/>
              </w:rPr>
              <w:t>alt örnekleme</w:t>
            </w:r>
          </w:p>
        </w:tc>
        <w:tc>
          <w:tcPr>
            <w:tcW w:type="dxa" w:w="648"/>
            <w:tcBorders>
              <w:bottom w:val="single" w:sz="4" w:color="000000"/>
            </w:tcBorders>
          </w:tcPr>
          <w:p>
            <w:pPr>
              <w:spacing w:before="10" w:after="10"/>
              <w:jc w:val="center"/>
              <w:rPr>
                <w:sz w:val="14"/>
              </w:rPr>
            </w:pPr>
            <w:r>
              <w:rPr>
                <w:sz w:val="14"/>
              </w:rPr>
              <w:t>0,747</w:t>
            </w:r>
          </w:p>
        </w:tc>
        <w:tc>
          <w:tcPr>
            <w:tcW w:type="dxa" w:w="648"/>
            <w:tcBorders>
              <w:bottom w:val="single" w:sz="4" w:color="000000"/>
            </w:tcBorders>
          </w:tcPr>
          <w:p>
            <w:pPr>
              <w:spacing w:before="10" w:after="10"/>
              <w:jc w:val="center"/>
              <w:rPr>
                <w:sz w:val="14"/>
              </w:rPr>
            </w:pPr>
            <w:r>
              <w:rPr>
                <w:sz w:val="14"/>
              </w:rPr>
              <w:t>0,0056</w:t>
            </w:r>
          </w:p>
        </w:tc>
        <w:tc>
          <w:tcPr>
            <w:tcW w:type="dxa" w:w="648"/>
            <w:tcBorders>
              <w:bottom w:val="single" w:sz="4" w:color="000000"/>
            </w:tcBorders>
          </w:tcPr>
          <w:p>
            <w:pPr>
              <w:spacing w:before="10" w:after="10"/>
              <w:jc w:val="center"/>
              <w:rPr>
                <w:sz w:val="14"/>
              </w:rPr>
            </w:pPr>
            <w:r>
              <w:rPr>
                <w:sz w:val="14"/>
              </w:rPr>
              <w:t>0,0026</w:t>
            </w:r>
          </w:p>
        </w:tc>
        <w:tc>
          <w:tcPr>
            <w:tcW w:type="dxa" w:w="648"/>
            <w:tcBorders>
              <w:bottom w:val="single" w:sz="4" w:color="000000"/>
            </w:tcBorders>
          </w:tcPr>
          <w:p>
            <w:pPr>
              <w:spacing w:before="10" w:after="10"/>
              <w:jc w:val="center"/>
              <w:rPr>
                <w:sz w:val="14"/>
              </w:rPr>
            </w:pPr>
            <w:r>
              <w:rPr>
                <w:sz w:val="14"/>
              </w:rPr>
              <w:t>0,619</w:t>
            </w:r>
          </w:p>
        </w:tc>
        <w:tc>
          <w:tcPr>
            <w:tcW w:type="dxa" w:w="540"/>
            <w:tcBorders>
              <w:bottom w:val="single" w:sz="4" w:color="000000"/>
            </w:tcBorders>
          </w:tcPr>
          <w:p>
            <w:pPr>
              <w:spacing w:before="10" w:after="10"/>
              <w:jc w:val="center"/>
              <w:rPr>
                <w:sz w:val="14"/>
              </w:rPr>
            </w:pPr>
            <w:r>
              <w:rPr>
                <w:sz w:val="14"/>
              </w:rPr>
              <w:t>0,405</w:t>
            </w:r>
          </w:p>
        </w:tc>
      </w:tr>
      <w:tr>
        <w:tc>
          <w:tcPr>
            <w:tcW w:type="dxa" w:w="864"/>
          </w:tcPr>
          <w:p>
            <w:pPr>
              <w:spacing w:before="10" w:after="10"/>
              <w:jc w:val="left"/>
              <w:rPr>
                <w:sz w:val="14"/>
              </w:rPr>
            </w:pPr>
            <w:r>
              <w:rPr>
                <w:sz w:val="14"/>
              </w:rPr>
              <w:t>LightGBM</w:t>
            </w:r>
          </w:p>
        </w:tc>
        <w:tc>
          <w:tcPr>
            <w:tcW w:type="dxa" w:w="972"/>
          </w:tcPr>
          <w:p>
            <w:pPr>
              <w:spacing w:before="10" w:after="10"/>
              <w:jc w:val="left"/>
              <w:rPr>
                <w:sz w:val="14"/>
              </w:rPr>
            </w:pPr>
            <w:r>
              <w:rPr>
                <w:sz w:val="14"/>
              </w:rPr>
              <w:t>yok</w:t>
            </w:r>
          </w:p>
        </w:tc>
        <w:tc>
          <w:tcPr>
            <w:tcW w:type="dxa" w:w="648"/>
          </w:tcPr>
          <w:p>
            <w:pPr>
              <w:spacing w:before="10" w:after="10"/>
              <w:jc w:val="center"/>
              <w:rPr>
                <w:sz w:val="14"/>
              </w:rPr>
            </w:pPr>
            <w:r>
              <w:rPr>
                <w:sz w:val="14"/>
              </w:rPr>
              <w:t>0,741</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0,632</w:t>
            </w:r>
          </w:p>
        </w:tc>
        <w:tc>
          <w:tcPr>
            <w:tcW w:type="dxa" w:w="540"/>
          </w:tcPr>
          <w:p>
            <w:pPr>
              <w:spacing w:before="10" w:after="10"/>
              <w:jc w:val="center"/>
              <w:rPr>
                <w:sz w:val="14"/>
              </w:rPr>
            </w:pPr>
            <w:r>
              <w:rPr>
                <w:sz w:val="14"/>
              </w:rPr>
              <w:t>0,457</w:t>
            </w:r>
          </w:p>
        </w:tc>
      </w:tr>
      <w:tr>
        <w:tc>
          <w:tcPr>
            <w:tcW w:type="dxa" w:w="864"/>
          </w:tcPr>
          <w:p>
            <w:pPr>
              <w:spacing w:before="10" w:after="10"/>
              <w:jc w:val="left"/>
              <w:rPr>
                <w:sz w:val="14"/>
              </w:rPr>
            </w:pPr>
          </w:p>
        </w:tc>
        <w:tc>
          <w:tcPr>
            <w:tcW w:type="dxa" w:w="972"/>
          </w:tcPr>
          <w:p>
            <w:pPr>
              <w:spacing w:before="10" w:after="10"/>
              <w:jc w:val="left"/>
              <w:rPr>
                <w:sz w:val="14"/>
              </w:rPr>
            </w:pPr>
            <w:r>
              <w:rPr>
                <w:sz w:val="14"/>
              </w:rPr>
              <w:t>sınıf ağırlığı</w:t>
            </w:r>
          </w:p>
        </w:tc>
        <w:tc>
          <w:tcPr>
            <w:tcW w:type="dxa" w:w="648"/>
          </w:tcPr>
          <w:p>
            <w:pPr>
              <w:spacing w:before="10" w:after="10"/>
              <w:jc w:val="center"/>
              <w:rPr>
                <w:sz w:val="14"/>
              </w:rPr>
            </w:pPr>
            <w:r>
              <w:rPr>
                <w:sz w:val="14"/>
              </w:rPr>
              <w:t>0,743</w:t>
            </w:r>
          </w:p>
        </w:tc>
        <w:tc>
          <w:tcPr>
            <w:tcW w:type="dxa" w:w="648"/>
          </w:tcPr>
          <w:p>
            <w:pPr>
              <w:spacing w:before="10" w:after="10"/>
              <w:jc w:val="center"/>
              <w:rPr>
                <w:sz w:val="14"/>
              </w:rPr>
            </w:pPr>
            <w:r>
              <w:rPr>
                <w:sz w:val="14"/>
              </w:rPr>
              <w:t>0,0056</w:t>
            </w:r>
          </w:p>
        </w:tc>
        <w:tc>
          <w:tcPr>
            <w:tcW w:type="dxa" w:w="648"/>
          </w:tcPr>
          <w:p>
            <w:pPr>
              <w:spacing w:before="10" w:after="10"/>
              <w:jc w:val="center"/>
              <w:rPr>
                <w:sz w:val="14"/>
              </w:rPr>
            </w:pPr>
            <w:r>
              <w:rPr>
                <w:sz w:val="14"/>
              </w:rPr>
              <w:t>0,0025</w:t>
            </w:r>
          </w:p>
        </w:tc>
        <w:tc>
          <w:tcPr>
            <w:tcW w:type="dxa" w:w="648"/>
          </w:tcPr>
          <w:p>
            <w:pPr>
              <w:spacing w:before="10" w:after="10"/>
              <w:jc w:val="center"/>
              <w:rPr>
                <w:sz w:val="14"/>
              </w:rPr>
            </w:pPr>
            <w:r>
              <w:rPr>
                <w:sz w:val="14"/>
              </w:rPr>
              <w:t>0,638</w:t>
            </w:r>
          </w:p>
        </w:tc>
        <w:tc>
          <w:tcPr>
            <w:tcW w:type="dxa" w:w="540"/>
          </w:tcPr>
          <w:p>
            <w:pPr>
              <w:spacing w:before="10" w:after="10"/>
              <w:jc w:val="center"/>
              <w:rPr>
                <w:sz w:val="14"/>
              </w:rPr>
            </w:pPr>
            <w:r>
              <w:rPr>
                <w:sz w:val="14"/>
              </w:rPr>
              <w:t>0,462</w:t>
            </w:r>
          </w:p>
        </w:tc>
      </w:tr>
      <w:tr>
        <w:tc>
          <w:tcPr>
            <w:tcW w:type="dxa" w:w="864"/>
          </w:tcPr>
          <w:p>
            <w:pPr>
              <w:spacing w:before="10" w:after="10"/>
              <w:jc w:val="left"/>
              <w:rPr>
                <w:sz w:val="14"/>
              </w:rPr>
            </w:pPr>
          </w:p>
        </w:tc>
        <w:tc>
          <w:tcPr>
            <w:tcW w:type="dxa" w:w="972"/>
          </w:tcPr>
          <w:p>
            <w:pPr>
              <w:spacing w:before="10" w:after="10"/>
              <w:jc w:val="left"/>
              <w:rPr>
                <w:sz w:val="14"/>
              </w:rPr>
            </w:pPr>
            <w:r>
              <w:rPr>
                <w:sz w:val="14"/>
              </w:rPr>
              <w:t>SMOTE</w:t>
            </w:r>
          </w:p>
        </w:tc>
        <w:tc>
          <w:tcPr>
            <w:tcW w:type="dxa" w:w="648"/>
          </w:tcPr>
          <w:p>
            <w:pPr>
              <w:spacing w:before="10" w:after="10"/>
              <w:jc w:val="center"/>
              <w:rPr>
                <w:sz w:val="14"/>
              </w:rPr>
            </w:pPr>
            <w:r>
              <w:rPr>
                <w:sz w:val="14"/>
              </w:rPr>
              <w:t>0,754</w:t>
            </w:r>
          </w:p>
        </w:tc>
        <w:tc>
          <w:tcPr>
            <w:tcW w:type="dxa" w:w="648"/>
          </w:tcPr>
          <w:p>
            <w:pPr>
              <w:spacing w:before="10" w:after="10"/>
              <w:jc w:val="center"/>
              <w:rPr>
                <w:sz w:val="14"/>
              </w:rPr>
            </w:pPr>
            <w:r>
              <w:rPr>
                <w:sz w:val="14"/>
              </w:rPr>
              <w:t>0,0027</w:t>
            </w:r>
          </w:p>
        </w:tc>
        <w:tc>
          <w:tcPr>
            <w:tcW w:type="dxa" w:w="648"/>
          </w:tcPr>
          <w:p>
            <w:pPr>
              <w:spacing w:before="10" w:after="10"/>
              <w:jc w:val="center"/>
              <w:rPr>
                <w:sz w:val="14"/>
              </w:rPr>
            </w:pPr>
            <w:r>
              <w:rPr>
                <w:sz w:val="14"/>
              </w:rPr>
              <w:t>0,0026</w:t>
            </w:r>
          </w:p>
        </w:tc>
        <w:tc>
          <w:tcPr>
            <w:tcW w:type="dxa" w:w="648"/>
          </w:tcPr>
          <w:p>
            <w:pPr>
              <w:spacing w:before="10" w:after="10"/>
              <w:jc w:val="center"/>
              <w:rPr>
                <w:sz w:val="14"/>
              </w:rPr>
            </w:pPr>
            <w:r>
              <w:rPr>
                <w:sz w:val="14"/>
              </w:rPr>
              <w:t>0,661</w:t>
            </w:r>
          </w:p>
        </w:tc>
        <w:tc>
          <w:tcPr>
            <w:tcW w:type="dxa" w:w="540"/>
          </w:tcPr>
          <w:p>
            <w:pPr>
              <w:spacing w:before="10" w:after="10"/>
              <w:jc w:val="center"/>
              <w:rPr>
                <w:sz w:val="14"/>
              </w:rPr>
            </w:pPr>
            <w:r>
              <w:rPr>
                <w:sz w:val="14"/>
              </w:rPr>
              <w:t>0,443</w:t>
            </w:r>
          </w:p>
        </w:tc>
      </w:tr>
      <w:tr>
        <w:tc>
          <w:tcPr>
            <w:tcW w:type="dxa" w:w="864"/>
          </w:tcPr>
          <w:p>
            <w:pPr>
              <w:spacing w:before="10" w:after="10"/>
              <w:jc w:val="left"/>
              <w:rPr>
                <w:sz w:val="14"/>
              </w:rPr>
            </w:pPr>
          </w:p>
        </w:tc>
        <w:tc>
          <w:tcPr>
            <w:tcW w:type="dxa" w:w="972"/>
          </w:tcPr>
          <w:p>
            <w:pPr>
              <w:spacing w:before="10" w:after="10"/>
              <w:jc w:val="left"/>
              <w:rPr>
                <w:sz w:val="14"/>
              </w:rPr>
            </w:pPr>
            <w:r>
              <w:rPr>
                <w:sz w:val="14"/>
              </w:rPr>
              <w:t>alt örnekleme</w:t>
            </w:r>
          </w:p>
        </w:tc>
        <w:tc>
          <w:tcPr>
            <w:tcW w:type="dxa" w:w="648"/>
          </w:tcPr>
          <w:p>
            <w:pPr>
              <w:spacing w:before="10" w:after="10"/>
              <w:jc w:val="center"/>
              <w:rPr>
                <w:sz w:val="14"/>
              </w:rPr>
            </w:pPr>
            <w:r>
              <w:rPr>
                <w:sz w:val="14"/>
              </w:rPr>
              <w:t>0,764</w:t>
            </w:r>
          </w:p>
        </w:tc>
        <w:tc>
          <w:tcPr>
            <w:tcW w:type="dxa" w:w="648"/>
          </w:tcPr>
          <w:p>
            <w:pPr>
              <w:spacing w:before="10" w:after="10"/>
              <w:jc w:val="center"/>
              <w:rPr>
                <w:sz w:val="14"/>
              </w:rPr>
            </w:pPr>
            <w:r>
              <w:rPr>
                <w:sz w:val="14"/>
              </w:rPr>
              <w:t>0,0047</w:t>
            </w:r>
          </w:p>
        </w:tc>
        <w:tc>
          <w:tcPr>
            <w:tcW w:type="dxa" w:w="648"/>
          </w:tcPr>
          <w:p>
            <w:pPr>
              <w:spacing w:before="10" w:after="10"/>
              <w:jc w:val="center"/>
              <w:rPr>
                <w:sz w:val="14"/>
              </w:rPr>
            </w:pPr>
            <w:r>
              <w:rPr>
                <w:sz w:val="14"/>
              </w:rPr>
              <w:t>0,0024</w:t>
            </w:r>
          </w:p>
        </w:tc>
        <w:tc>
          <w:tcPr>
            <w:tcW w:type="dxa" w:w="648"/>
          </w:tcPr>
          <w:p>
            <w:pPr>
              <w:spacing w:before="10" w:after="10"/>
              <w:jc w:val="center"/>
              <w:rPr>
                <w:sz w:val="14"/>
              </w:rPr>
            </w:pPr>
            <w:r>
              <w:rPr>
                <w:sz w:val="14"/>
              </w:rPr>
              <w:t>0,632</w:t>
            </w:r>
          </w:p>
        </w:tc>
        <w:tc>
          <w:tcPr>
            <w:tcW w:type="dxa" w:w="540"/>
          </w:tcPr>
          <w:p>
            <w:pPr>
              <w:spacing w:before="10" w:after="10"/>
              <w:jc w:val="center"/>
              <w:rPr>
                <w:sz w:val="14"/>
              </w:rPr>
            </w:pPr>
            <w:r>
              <w:rPr>
                <w:sz w:val="14"/>
              </w:rPr>
              <w:t>0,446</w:t>
            </w:r>
          </w:p>
        </w:tc>
      </w:tr>
    </w:tbl>
    <w:p>
      <w:pPr>
        <w:pStyle w:val="FigureCaption"/>
        <w:spacing w:before="40"/>
      </w:pPr>
      <w:r>
        <w:rPr>
          <w:sz w:val="14"/>
        </w:rPr>
        <w:t>v: doğrulama, t: test. Kalibrasyon (yok/Platt/izotonik) bir-sezon-dışarıda çapraz doğrulamayla seçilmiştir.</w:t>
      </w:r>
    </w:p>
    <w:p>
      <w:pPr>
        <w:spacing w:after="80"/>
      </w:pPr>
    </w:p>
    <w:p>
      <w:pPr>
        <w:keepNext/>
        <w:spacing w:before="120"/>
        <w:jc w:val="center"/>
      </w:pPr>
      <w:r>
        <w:drawing>
          <wp:inline xmlns:a="http://schemas.openxmlformats.org/drawingml/2006/main" xmlns:pic="http://schemas.openxmlformats.org/drawingml/2006/picture">
            <wp:extent cx="3008376" cy="2141982"/>
            <wp:docPr id="7" name="Picture 7"/>
            <wp:cNvGraphicFramePr>
              <a:graphicFrameLocks noChangeAspect="1"/>
            </wp:cNvGraphicFramePr>
            <a:graphic>
              <a:graphicData uri="http://schemas.openxmlformats.org/drawingml/2006/picture">
                <pic:pic>
                  <pic:nvPicPr>
                    <pic:cNvPr id="0" name="reliability.png"/>
                    <pic:cNvPicPr/>
                  </pic:nvPicPr>
                  <pic:blipFill>
                    <a:blip r:embed="rId38"/>
                    <a:stretch>
                      <a:fillRect/>
                    </a:stretch>
                  </pic:blipFill>
                  <pic:spPr>
                    <a:xfrm>
                      <a:off x="0" y="0"/>
                      <a:ext cx="3008376" cy="2141982"/>
                    </a:xfrm>
                    <a:prstGeom prst="rect"/>
                  </pic:spPr>
                </pic:pic>
              </a:graphicData>
            </a:graphic>
          </wp:inline>
        </w:drawing>
      </w:r>
    </w:p>
    <w:p>
      <w:pPr>
        <w:pStyle w:val="FigureCaption"/>
        <w:spacing w:after="160"/>
      </w:pPr>
      <w:r>
        <w:rPr>
          <w:sz w:val="16"/>
        </w:rPr>
        <w:t xml:space="preserve">Şekil 7. </w:t>
      </w:r>
      <w:r>
        <w:rPr>
          <w:sz w:val="16"/>
        </w:rPr>
        <w:t>Test sezonlarında kalibre edilmiş LightGBM (düz çizgi) ve GRU (kesikli çizgi) sis tahminlerinin güvenilirlik diyagramı; 15'ten az tahmin içeren aralıklar gösterilmemiştir.</w:t>
      </w:r>
    </w:p>
    <w:p>
      <w:pPr>
        <w:pStyle w:val="Heading2"/>
        <w:numPr>
          <w:ilvl w:val="0"/>
          <w:numId w:val="0"/>
        </w:numPr>
      </w:pPr>
      <w:r>
        <w:t xml:space="preserve">F. </w:t>
      </w:r>
      <w:r>
        <w:t>Açıklanabilirlik</w:t>
      </w:r>
    </w:p>
    <w:p>
      <w:pPr>
        <w:pStyle w:val="Text"/>
      </w:pPr>
      <w:r>
        <w:t>SHAP analizi fiziksel olarak tutarlı bir tablo ortaya koymaktadır. 1 saatte tahmin anlık duruma—bağıl nem, minimum ve hâkim görüş ile çiy noktası farkı (Şekil 8)—hâkimdir ve bu grup toplam katkının %78'ini taşımaktadır (Şekil 9). Öngörü süresi arttıkça anlık durumun payı 6 saatte %41'e düşerken astronomik ve takvim terimlerinin payı %6'dan %28'e, sınır tabaka belleğinin payı ise %6'dan %21'e yükselmektedir.</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400800" cy="2476580"/>
            <wp:docPr id="8" name="Picture 8"/>
            <wp:cNvGraphicFramePr>
              <a:graphicFrameLocks noChangeAspect="1"/>
            </wp:cNvGraphicFramePr>
            <a:graphic>
              <a:graphicData uri="http://schemas.openxmlformats.org/drawingml/2006/picture">
                <pic:pic>
                  <pic:nvPicPr>
                    <pic:cNvPr id="0" name="shap_bar.png"/>
                    <pic:cNvPicPr/>
                  </pic:nvPicPr>
                  <pic:blipFill>
                    <a:blip r:embed="rId39"/>
                    <a:stretch>
                      <a:fillRect/>
                    </a:stretch>
                  </pic:blipFill>
                  <pic:spPr>
                    <a:xfrm>
                      <a:off x="0" y="0"/>
                      <a:ext cx="6400800" cy="2476580"/>
                    </a:xfrm>
                    <a:prstGeom prst="rect"/>
                  </pic:spPr>
                </pic:pic>
              </a:graphicData>
            </a:graphic>
          </wp:inline>
        </w:drawing>
      </w:r>
    </w:p>
    <w:p>
      <w:pPr>
        <w:pStyle w:val="FigureCaption"/>
        <w:spacing w:after="160"/>
      </w:pPr>
      <w:r>
        <w:rPr>
          <w:sz w:val="16"/>
        </w:rPr>
        <w:t xml:space="preserve">Şekil 8. </w:t>
      </w:r>
      <w:r>
        <w:rPr>
          <w:sz w:val="16"/>
        </w:rPr>
        <w:t>1, 3 ve 6 saatlik LightGBM sis modellerinde en önemli on beş özniteliğin ortalama mutlak SHAP değerleri.</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keepNext/>
        <w:spacing w:before="120"/>
        <w:jc w:val="center"/>
      </w:pPr>
      <w:r>
        <w:drawing>
          <wp:inline xmlns:a="http://schemas.openxmlformats.org/drawingml/2006/main" xmlns:pic="http://schemas.openxmlformats.org/drawingml/2006/picture">
            <wp:extent cx="2802636" cy="2436876"/>
            <wp:docPr id="9" name="Picture 9"/>
            <wp:cNvGraphicFramePr>
              <a:graphicFrameLocks noChangeAspect="1"/>
            </wp:cNvGraphicFramePr>
            <a:graphic>
              <a:graphicData uri="http://schemas.openxmlformats.org/drawingml/2006/picture">
                <pic:pic>
                  <pic:nvPicPr>
                    <pic:cNvPr id="0" name="shap_groups.png"/>
                    <pic:cNvPicPr/>
                  </pic:nvPicPr>
                  <pic:blipFill>
                    <a:blip r:embed="rId40"/>
                    <a:stretch>
                      <a:fillRect/>
                    </a:stretch>
                  </pic:blipFill>
                  <pic:spPr>
                    <a:xfrm>
                      <a:off x="0" y="0"/>
                      <a:ext cx="2802636" cy="2436876"/>
                    </a:xfrm>
                    <a:prstGeom prst="rect"/>
                  </pic:spPr>
                </pic:pic>
              </a:graphicData>
            </a:graphic>
          </wp:inline>
        </w:drawing>
      </w:r>
    </w:p>
    <w:p>
      <w:pPr>
        <w:pStyle w:val="FigureCaption"/>
        <w:spacing w:after="160"/>
      </w:pPr>
      <w:r>
        <w:rPr>
          <w:sz w:val="16"/>
        </w:rPr>
        <w:t xml:space="preserve">Şekil 9. </w:t>
      </w:r>
      <w:r>
        <w:rPr>
          <w:sz w:val="16"/>
        </w:rPr>
        <w:t>Öznitelik grubu ve öngörü süresine göre toplam ortalama mutlak SHAP değerinin payı.</w:t>
      </w:r>
    </w:p>
    <w:p>
      <w:pPr>
        <w:pStyle w:val="Text"/>
      </w:pPr>
      <w:r>
        <w:t>6 saatte sıralamanın başında 6 saatlik maksimum bağıl nem, bağıl nem, çiy noktası farkı ve sıcaklık yer almakta; bunları geçerlilik zamanında gün doğumundan bu yana geçen süre, gece uzunluğu ve gün doğumuna kalan süre izlemektedir (Şekil 10): yüksek nem, küçük çiy noktası farkı, düşük sıcaklık ve uzun geceler tahmini sise doğru iterken gün doğumundan sonraki geçerlilik zamanları tahmini sisten uzaklaştırmaktadır—bu, radyasyon sisinin tipik imzasıdır.</w:t>
      </w:r>
    </w:p>
    <w:p>
      <w:pPr>
        <w:keepNext/>
        <w:spacing w:before="120"/>
        <w:jc w:val="center"/>
      </w:pPr>
      <w:r>
        <w:drawing>
          <wp:inline xmlns:a="http://schemas.openxmlformats.org/drawingml/2006/main" xmlns:pic="http://schemas.openxmlformats.org/drawingml/2006/picture">
            <wp:extent cx="2843784" cy="2800350"/>
            <wp:docPr id="10" name="Picture 10"/>
            <wp:cNvGraphicFramePr>
              <a:graphicFrameLocks noChangeAspect="1"/>
            </wp:cNvGraphicFramePr>
            <a:graphic>
              <a:graphicData uri="http://schemas.openxmlformats.org/drawingml/2006/picture">
                <pic:pic>
                  <pic:nvPicPr>
                    <pic:cNvPr id="0" name="shap_beeswarm_6h.png"/>
                    <pic:cNvPicPr/>
                  </pic:nvPicPr>
                  <pic:blipFill>
                    <a:blip r:embed="rId41"/>
                    <a:stretch>
                      <a:fillRect/>
                    </a:stretch>
                  </pic:blipFill>
                  <pic:spPr>
                    <a:xfrm>
                      <a:off x="0" y="0"/>
                      <a:ext cx="2843784" cy="2800350"/>
                    </a:xfrm>
                    <a:prstGeom prst="rect"/>
                  </pic:spPr>
                </pic:pic>
              </a:graphicData>
            </a:graphic>
          </wp:inline>
        </w:drawing>
      </w:r>
    </w:p>
    <w:p>
      <w:pPr>
        <w:pStyle w:val="FigureCaption"/>
        <w:spacing w:after="160"/>
      </w:pPr>
      <w:r>
        <w:rPr>
          <w:sz w:val="16"/>
        </w:rPr>
        <w:t xml:space="preserve">Şekil 10. </w:t>
      </w:r>
      <w:r>
        <w:rPr>
          <w:sz w:val="16"/>
        </w:rPr>
        <w:t>6 saatlik modelde en önemli on iki özniteliğin SHAP değerleri; renk, öznitelik değerinin yüzdelik sırasını göstermektedir.</w:t>
      </w:r>
    </w:p>
    <w:p>
      <w:pPr>
        <w:pStyle w:val="Text"/>
      </w:pPr>
      <w:r>
        <w:t>Bağımlılık grafikleri (Şekil 11) ders kitabı düzeyindeki sis fiziğini yeniden üretmektedir: 2 °C veya daha küçük çiy noktası farkları log-odds değerini +1,4'e kadar artırırken 4 °C ve üzerindeki farklar azaltmaktadır; sakin ve hafif rüzgârlar (≤ 3 kt) sisi desteklerken 4–10 kt'lık rüzgârlar mekanik karışımla sisi bastırmaktadır; yaklaşık %93'ün üzerindeki 6 saatlik maksimum bağıl nem sisi güçlü biçimde desteklemektedir; geçerlilik zamanında Güneş ufkun yaklaşık 15° üzerine çıktığında ise katkı negatife dönmekte ve Güneş ısıtmasıyla dağılmayı yansıtmaktadır.</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6400800" cy="1403944"/>
            <wp:docPr id="11" name="Picture 11"/>
            <wp:cNvGraphicFramePr>
              <a:graphicFrameLocks noChangeAspect="1"/>
            </wp:cNvGraphicFramePr>
            <a:graphic>
              <a:graphicData uri="http://schemas.openxmlformats.org/drawingml/2006/picture">
                <pic:pic>
                  <pic:nvPicPr>
                    <pic:cNvPr id="0" name="shap_dependence.png"/>
                    <pic:cNvPicPr/>
                  </pic:nvPicPr>
                  <pic:blipFill>
                    <a:blip r:embed="rId42"/>
                    <a:stretch>
                      <a:fillRect/>
                    </a:stretch>
                  </pic:blipFill>
                  <pic:spPr>
                    <a:xfrm>
                      <a:off x="0" y="0"/>
                      <a:ext cx="6400800" cy="1403944"/>
                    </a:xfrm>
                    <a:prstGeom prst="rect"/>
                  </pic:spPr>
                </pic:pic>
              </a:graphicData>
            </a:graphic>
          </wp:inline>
        </w:drawing>
      </w:r>
    </w:p>
    <w:p>
      <w:pPr>
        <w:pStyle w:val="FigureCaption"/>
        <w:spacing w:after="160"/>
      </w:pPr>
      <w:r>
        <w:rPr>
          <w:sz w:val="16"/>
        </w:rPr>
        <w:t xml:space="preserve">Şekil 11. </w:t>
      </w:r>
      <w:r>
        <w:rPr>
          <w:sz w:val="16"/>
        </w:rPr>
        <w:t>3 saatlik sis modelinin çiy noktası farkı, rüzgâr hızı, geçerlilik zamanındaki Güneş yükseklik açısı ve 6 saatlik maksimum bağıl neme göre SHAP bağımlılığı; renk etkileşen bir değişkeni göstermektedir.</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pStyle w:val="Heading2"/>
        <w:numPr>
          <w:ilvl w:val="0"/>
          <w:numId w:val="0"/>
        </w:numPr>
      </w:pPr>
      <w:r>
        <w:t xml:space="preserve">G. </w:t>
      </w:r>
      <w:r>
        <w:t>Olay İncelemesi: 17–18 Aralık 2022</w:t>
      </w:r>
    </w:p>
    <w:p>
      <w:pPr>
        <w:pStyle w:val="Text"/>
      </w:pPr>
      <w:r>
        <w:t>Şekil 12, test döneminden iki aşamalı bir olayı göstermektedir. Sis 17 Aralık'ta yaklaşık 10 UTC'ye kadar sürmüş, öğleden sonra açılmış ve 16:50 UTC'de yeniden oluşarak RVR çoğunlukla 200–400 m arasında kalmak üzere 18 Aralık 03:50 UTC'ye kadar devam etmiştir. Görüşün henüz 1200 m olduğu 16:20 UTC'de 3 saatlik model 0,82 sis olasılığı (eşik 0,33), yani yeniden oluşum için doğru bir uyarı vermiştir. Bu tahminin SHAP açıklaması (Şekil 13) tahmini düşen minimum görüşe (+1,74), 650 m'lik RVR'ye (+0,96), 1 °C'lik çiy noktası farkına (+0,88) ve %93'lük bağıl neme (+0,88) dayandırmaktadır—deneyimli bir tahmincinin kullanacağı ipuçlarının tam olarak aynısı. 1 saatlik tahminler olayı yakından izlemekte, 3 ve 6 saatlik tahminler akşam saatlerinde olasılığı yükseltip sisin gece boyunca süreceğini öngörmektedir; gün doğumundan sonra tüm öngörü süreleri dağılmayı doğru tahmin etmekte, uzun öngörü süreleri ise daha geç tepki vermektedir.</w:t>
      </w:r>
    </w:p>
    <w:p>
      <w:pPr>
        <w:spacing w:before="0" w:after="0"/>
        <w:sectPr w:rsidR="00732E46" w:rsidSect="00002FAF">
          <w:footnotePr>
            <w:numRestart w:val="eachSect"/>
          </w:footnotePr>
          <w:type w:val="continuous"/>
          <w:pgSz w:w="12240" w:h="15840"/>
          <w:pgMar w:top="1008" w:right="936" w:bottom="1008" w:left="936" w:header="432" w:footer="432" w:gutter="0"/>
          <w:cols w:num="2" w:space="288"/>
        </w:sectPr>
      </w:pPr>
      <w:r>
        <w:rPr>
          <w:sz w:val="2"/>
        </w:rPr>
      </w:r>
    </w:p>
    <w:p>
      <w:pPr>
        <w:keepNext/>
        <w:spacing w:before="120"/>
        <w:jc w:val="center"/>
      </w:pPr>
      <w:r>
        <w:drawing>
          <wp:inline xmlns:a="http://schemas.openxmlformats.org/drawingml/2006/main" xmlns:pic="http://schemas.openxmlformats.org/drawingml/2006/picture">
            <wp:extent cx="5815584" cy="2105406"/>
            <wp:docPr id="12" name="Picture 12"/>
            <wp:cNvGraphicFramePr>
              <a:graphicFrameLocks noChangeAspect="1"/>
            </wp:cNvGraphicFramePr>
            <a:graphic>
              <a:graphicData uri="http://schemas.openxmlformats.org/drawingml/2006/picture">
                <pic:pic>
                  <pic:nvPicPr>
                    <pic:cNvPr id="0" name="case_study.png"/>
                    <pic:cNvPicPr/>
                  </pic:nvPicPr>
                  <pic:blipFill>
                    <a:blip r:embed="rId43"/>
                    <a:stretch>
                      <a:fillRect/>
                    </a:stretch>
                  </pic:blipFill>
                  <pic:spPr>
                    <a:xfrm>
                      <a:off x="0" y="0"/>
                      <a:ext cx="5815584" cy="2105406"/>
                    </a:xfrm>
                    <a:prstGeom prst="rect"/>
                  </pic:spPr>
                </pic:pic>
              </a:graphicData>
            </a:graphic>
          </wp:inline>
        </w:drawing>
      </w:r>
    </w:p>
    <w:p>
      <w:pPr>
        <w:pStyle w:val="FigureCaption"/>
        <w:spacing w:after="160"/>
      </w:pPr>
      <w:r>
        <w:rPr>
          <w:sz w:val="16"/>
        </w:rPr>
        <w:t xml:space="preserve">Şekil 12. </w:t>
      </w:r>
      <w:r>
        <w:rPr>
          <w:sz w:val="16"/>
        </w:rPr>
        <w:t>17–18 Aralık 2022'de LTAC'de gözlenen görüş ve RVR ile her geçerlilik zamanından 1, 3 ve 6 saat önce verilen LightGBM sis olasılıkları.</w:t>
      </w:r>
    </w:p>
    <w:p>
      <w:pPr>
        <w:spacing w:before="0" w:after="0"/>
        <w:sectPr w:rsidR="00732E46" w:rsidSect="00002FAF">
          <w:footnotePr>
            <w:numRestart w:val="eachSect"/>
          </w:footnotePr>
          <w:type w:val="continuous"/>
          <w:pgSz w:w="12240" w:h="15840"/>
          <w:pgMar w:top="1008" w:right="936" w:bottom="1008" w:left="936" w:header="432" w:footer="432" w:gutter="0"/>
          <w:cols w:space="288"/>
        </w:sectPr>
      </w:pPr>
      <w:r>
        <w:rPr>
          <w:sz w:val="2"/>
        </w:rPr>
      </w:r>
    </w:p>
    <w:p>
      <w:pPr>
        <w:keepNext/>
        <w:spacing w:before="120"/>
        <w:jc w:val="center"/>
      </w:pPr>
      <w:r>
        <w:drawing>
          <wp:inline xmlns:a="http://schemas.openxmlformats.org/drawingml/2006/main" xmlns:pic="http://schemas.openxmlformats.org/drawingml/2006/picture">
            <wp:extent cx="2834640" cy="2462022"/>
            <wp:docPr id="13" name="Picture 13"/>
            <wp:cNvGraphicFramePr>
              <a:graphicFrameLocks noChangeAspect="1"/>
            </wp:cNvGraphicFramePr>
            <a:graphic>
              <a:graphicData uri="http://schemas.openxmlformats.org/drawingml/2006/picture">
                <pic:pic>
                  <pic:nvPicPr>
                    <pic:cNvPr id="0" name="shap_waterfall.png"/>
                    <pic:cNvPicPr/>
                  </pic:nvPicPr>
                  <pic:blipFill>
                    <a:blip r:embed="rId44"/>
                    <a:stretch>
                      <a:fillRect/>
                    </a:stretch>
                  </pic:blipFill>
                  <pic:spPr>
                    <a:xfrm>
                      <a:off x="0" y="0"/>
                      <a:ext cx="2834640" cy="2462022"/>
                    </a:xfrm>
                    <a:prstGeom prst="rect"/>
                  </pic:spPr>
                </pic:pic>
              </a:graphicData>
            </a:graphic>
          </wp:inline>
        </w:drawing>
      </w:r>
    </w:p>
    <w:p>
      <w:pPr>
        <w:pStyle w:val="FigureCaption"/>
        <w:spacing w:after="160"/>
      </w:pPr>
      <w:r>
        <w:rPr>
          <w:sz w:val="16"/>
        </w:rPr>
        <w:t xml:space="preserve">Şekil 13. </w:t>
      </w:r>
      <w:r>
        <w:rPr>
          <w:sz w:val="16"/>
        </w:rPr>
        <w:t>17 Aralık 2022 16:20 UTC'de verilen 3 saatlik tahminin SHAP açıklaması (görüş 1200 m; sis 30 dakika sonra oluştu).</w:t>
      </w:r>
    </w:p>
    <w:p>
      <w:pPr>
        <w:pStyle w:val="Heading2"/>
        <w:numPr>
          <w:ilvl w:val="0"/>
          <w:numId w:val="0"/>
        </w:numPr>
      </w:pPr>
      <w:r>
        <w:t xml:space="preserve">H. </w:t>
      </w:r>
      <w:r>
        <w:t>Operasyonel Başarım</w:t>
      </w:r>
    </w:p>
    <w:p>
      <w:pPr>
        <w:pStyle w:val="Text"/>
      </w:pPr>
      <w:r>
        <w:t>Hizmete alınan uygulama (Şekil 14) iki yolla doğrulanmıştır. İlk olarak test kümesi sonrasındaki operasyonel dönem (Temmuz–Ekim 2026) web uygulamasının koduyla yeniden oynatılmış ve öngörü süresi başına 5 727–5 737 tahmin elde edilmiştir (Tablo X); bu sıcak sezon döneminde sis oluşmamış ve sistem hiçbir öngörü süresinde sis uyarısı vermemiştir, yani hiç yanlış alarm üretmemiştir. İkinci olarak, canlı sistemin yaptığı gibi öznitelikleri yalnızca önceki 120 saatin rasatlarından 40 rastgele zamanda yeniden hesaplayan bir eşdeğerlik testi, toplu (batch) olasılıkları makine hassasiyetinde yeniden üretmiştir (240 karşılaştırmada en büyük fark 0,0). Canlı kayıt 29 Ekim 2026'da, 2026/27 sis sezonunun başında başlamıştır ve otomatik olarak doğrulanan kayıt dönem boyunca sürekli güncellenmektedir.</w:t>
      </w:r>
    </w:p>
    <w:p>
      <w:pPr>
        <w:keepNext/>
        <w:spacing w:before="120"/>
        <w:jc w:val="center"/>
      </w:pPr>
      <w:r>
        <w:drawing>
          <wp:inline xmlns:a="http://schemas.openxmlformats.org/drawingml/2006/main" xmlns:pic="http://schemas.openxmlformats.org/drawingml/2006/picture">
            <wp:extent cx="3154680" cy="3061109"/>
            <wp:docPr id="14" name="Picture 14"/>
            <wp:cNvGraphicFramePr>
              <a:graphicFrameLocks noChangeAspect="1"/>
            </wp:cNvGraphicFramePr>
            <a:graphic>
              <a:graphicData uri="http://schemas.openxmlformats.org/drawingml/2006/picture">
                <pic:pic>
                  <pic:nvPicPr>
                    <pic:cNvPr id="0" name="app_screenshot.png"/>
                    <pic:cNvPicPr/>
                  </pic:nvPicPr>
                  <pic:blipFill>
                    <a:blip r:embed="rId45"/>
                    <a:stretch>
                      <a:fillRect/>
                    </a:stretch>
                  </pic:blipFill>
                  <pic:spPr>
                    <a:xfrm>
                      <a:off x="0" y="0"/>
                      <a:ext cx="3154680" cy="3061109"/>
                    </a:xfrm>
                    <a:prstGeom prst="rect"/>
                  </pic:spPr>
                </pic:pic>
              </a:graphicData>
            </a:graphic>
          </wp:inline>
        </w:drawing>
      </w:r>
    </w:p>
    <w:p>
      <w:pPr>
        <w:pStyle w:val="FigureCaption"/>
        <w:spacing w:after="160"/>
      </w:pPr>
      <w:r>
        <w:rPr>
          <w:sz w:val="16"/>
        </w:rPr>
        <w:t xml:space="preserve">Şekil 14. </w:t>
      </w:r>
      <w:r>
        <w:rPr>
          <w:sz w:val="16"/>
        </w:rPr>
        <w:t>Web tabanlı erken uyarı uygulaması. Solda: gözlenen görüşe göre çizilen pist sahnesi üzerinde sade dille durum özeti ve önümüzdeki 6 saatin sis olasılıkları ile uyarı eşikleri. Sağda: seçilen saatin etkili faktörleri (sade dildeki gruplara toplanmış SHAP değerleri) ve ILS kategorisi görünümü.</w:t>
      </w:r>
    </w:p>
    <w:p>
      <w:pPr>
        <w:keepNext/>
        <w:widowControl w:val="0"/>
        <w:pBdr>
          <w:top w:val="nil"/>
          <w:left w:val="nil"/>
          <w:bottom w:val="nil"/>
          <w:right w:val="nil"/>
          <w:between w:val="nil"/>
        </w:pBdr>
        <w:spacing w:line="252" w:lineRule="auto"/>
        <w:ind w:firstLine="202"/>
        <w:jc w:val="center"/>
      </w:pPr>
      <w:r>
        <w:rPr>
          <w:sz w:val="16"/>
        </w:rPr>
        <w:t>TABLO X</w:t>
      </w:r>
    </w:p>
    <w:p>
      <w:pPr>
        <w:pStyle w:val="TableTitle"/>
        <w:keepNext/>
        <w:spacing w:after="60"/>
      </w:pPr>
      <w:r>
        <w:rPr>
          <w:sz w:val="16"/>
        </w:rPr>
        <w:t>Test dönemi sonrası operasyonel doğrulama</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1296"/>
        <w:gridCol w:w="1296"/>
        <w:gridCol w:w="1296"/>
        <w:gridCol w:w="1296"/>
        <w:gridCol w:w="1296"/>
        <w:gridCol w:w="1296"/>
        <w:gridCol w:w="1296"/>
        <w:gridCol w:w="1296"/>
      </w:tblGrid>
      <w:tr>
        <w:tc>
          <w:tcPr>
            <w:tcW w:type="dxa" w:w="1444"/>
            <w:tcBorders>
              <w:bottom w:val="single" w:sz="4" w:color="000000"/>
            </w:tcBorders>
          </w:tcPr>
          <w:p>
            <w:pPr>
              <w:spacing w:before="10" w:after="10"/>
              <w:jc w:val="left"/>
              <w:rPr>
                <w:sz w:val="14"/>
              </w:rPr>
            </w:pPr>
            <w:r>
              <w:rPr>
                <w:b/>
                <w:sz w:val="14"/>
              </w:rPr>
              <w:t>Dönem</w:t>
            </w:r>
          </w:p>
        </w:tc>
        <w:tc>
          <w:tcPr>
            <w:tcW w:type="dxa" w:w="462"/>
            <w:tcBorders>
              <w:bottom w:val="single" w:sz="4" w:color="000000"/>
            </w:tcBorders>
          </w:tcPr>
          <w:p>
            <w:pPr>
              <w:spacing w:before="10" w:after="10"/>
              <w:jc w:val="center"/>
              <w:rPr>
                <w:sz w:val="14"/>
              </w:rPr>
            </w:pPr>
            <w:r>
              <w:rPr>
                <w:b/>
                <w:sz w:val="14"/>
              </w:rPr>
              <w:t>Süre</w:t>
            </w:r>
          </w:p>
        </w:tc>
        <w:tc>
          <w:tcPr>
            <w:tcW w:type="dxa" w:w="578"/>
            <w:tcBorders>
              <w:bottom w:val="single" w:sz="4" w:color="000000"/>
            </w:tcBorders>
          </w:tcPr>
          <w:p>
            <w:pPr>
              <w:spacing w:before="10" w:after="10"/>
              <w:jc w:val="center"/>
              <w:rPr>
                <w:sz w:val="14"/>
              </w:rPr>
            </w:pPr>
            <w:r>
              <w:rPr>
                <w:b/>
                <w:sz w:val="14"/>
              </w:rPr>
              <w:t>n</w:t>
            </w:r>
          </w:p>
        </w:tc>
        <w:tc>
          <w:tcPr>
            <w:tcW w:type="dxa" w:w="404"/>
            <w:tcBorders>
              <w:bottom w:val="single" w:sz="4" w:color="000000"/>
            </w:tcBorders>
          </w:tcPr>
          <w:p>
            <w:pPr>
              <w:spacing w:before="10" w:after="10"/>
              <w:jc w:val="center"/>
              <w:rPr>
                <w:sz w:val="14"/>
              </w:rPr>
            </w:pPr>
            <w:r>
              <w:rPr>
                <w:b/>
                <w:sz w:val="14"/>
              </w:rPr>
              <w:t>Sis</w:t>
            </w:r>
          </w:p>
        </w:tc>
        <w:tc>
          <w:tcPr>
            <w:tcW w:type="dxa" w:w="578"/>
            <w:tcBorders>
              <w:bottom w:val="single" w:sz="4" w:color="000000"/>
            </w:tcBorders>
          </w:tcPr>
          <w:p>
            <w:pPr>
              <w:spacing w:before="10" w:after="10"/>
              <w:jc w:val="center"/>
              <w:rPr>
                <w:sz w:val="14"/>
              </w:rPr>
            </w:pPr>
            <w:r>
              <w:rPr>
                <w:b/>
                <w:sz w:val="14"/>
              </w:rPr>
              <w:t>Uyarı</w:t>
            </w:r>
          </w:p>
        </w:tc>
        <w:tc>
          <w:tcPr>
            <w:tcW w:type="dxa" w:w="462"/>
            <w:tcBorders>
              <w:bottom w:val="single" w:sz="4" w:color="000000"/>
            </w:tcBorders>
          </w:tcPr>
          <w:p>
            <w:pPr>
              <w:spacing w:before="10" w:after="10"/>
              <w:jc w:val="center"/>
              <w:rPr>
                <w:sz w:val="14"/>
              </w:rPr>
            </w:pPr>
            <w:r>
              <w:rPr>
                <w:b/>
                <w:sz w:val="14"/>
              </w:rPr>
              <w:t>POD</w:t>
            </w:r>
          </w:p>
        </w:tc>
        <w:tc>
          <w:tcPr>
            <w:tcW w:type="dxa" w:w="462"/>
            <w:tcBorders>
              <w:bottom w:val="single" w:sz="4" w:color="000000"/>
            </w:tcBorders>
          </w:tcPr>
          <w:p>
            <w:pPr>
              <w:spacing w:before="10" w:after="10"/>
              <w:jc w:val="center"/>
              <w:rPr>
                <w:sz w:val="14"/>
              </w:rPr>
            </w:pPr>
            <w:r>
              <w:rPr>
                <w:b/>
                <w:sz w:val="14"/>
              </w:rPr>
              <w:t>FAR</w:t>
            </w:r>
          </w:p>
        </w:tc>
        <w:tc>
          <w:tcPr>
            <w:tcW w:type="dxa" w:w="578"/>
            <w:tcBorders>
              <w:bottom w:val="single" w:sz="4" w:color="000000"/>
            </w:tcBorders>
          </w:tcPr>
          <w:p>
            <w:pPr>
              <w:spacing w:before="10" w:after="10"/>
              <w:jc w:val="center"/>
              <w:rPr>
                <w:sz w:val="14"/>
              </w:rPr>
            </w:pPr>
            <w:r>
              <w:rPr>
                <w:b/>
                <w:sz w:val="14"/>
              </w:rPr>
              <w:t>BS</w:t>
            </w:r>
          </w:p>
        </w:tc>
      </w:tr>
      <w:tr>
        <w:tc>
          <w:tcPr>
            <w:tcW w:type="dxa" w:w="1444"/>
          </w:tcPr>
          <w:p>
            <w:pPr>
              <w:spacing w:before="10" w:after="10"/>
              <w:jc w:val="left"/>
              <w:rPr>
                <w:sz w:val="14"/>
              </w:rPr>
            </w:pPr>
            <w:r>
              <w:rPr>
                <w:sz w:val="14"/>
              </w:rPr>
              <w:t>07/2026–10/2026 yeniden oynatma</w:t>
            </w:r>
          </w:p>
        </w:tc>
        <w:tc>
          <w:tcPr>
            <w:tcW w:type="dxa" w:w="462"/>
          </w:tcPr>
          <w:p>
            <w:pPr>
              <w:spacing w:before="10" w:after="10"/>
              <w:jc w:val="center"/>
              <w:rPr>
                <w:sz w:val="14"/>
              </w:rPr>
            </w:pPr>
            <w:r>
              <w:rPr>
                <w:sz w:val="14"/>
              </w:rPr>
              <w:t>1 sa</w:t>
            </w:r>
          </w:p>
        </w:tc>
        <w:tc>
          <w:tcPr>
            <w:tcW w:type="dxa" w:w="578"/>
          </w:tcPr>
          <w:p>
            <w:pPr>
              <w:spacing w:before="10" w:after="10"/>
              <w:jc w:val="center"/>
              <w:rPr>
                <w:sz w:val="14"/>
              </w:rPr>
            </w:pPr>
            <w:r>
              <w:rPr>
                <w:sz w:val="14"/>
              </w:rPr>
              <w:t>5 737</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yeniden oynatma</w:t>
            </w:r>
          </w:p>
        </w:tc>
        <w:tc>
          <w:tcPr>
            <w:tcW w:type="dxa" w:w="462"/>
          </w:tcPr>
          <w:p>
            <w:pPr>
              <w:spacing w:before="10" w:after="10"/>
              <w:jc w:val="center"/>
              <w:rPr>
                <w:sz w:val="14"/>
              </w:rPr>
            </w:pPr>
            <w:r>
              <w:rPr>
                <w:sz w:val="14"/>
              </w:rPr>
              <w:t>2 sa</w:t>
            </w:r>
          </w:p>
        </w:tc>
        <w:tc>
          <w:tcPr>
            <w:tcW w:type="dxa" w:w="578"/>
          </w:tcPr>
          <w:p>
            <w:pPr>
              <w:spacing w:before="10" w:after="10"/>
              <w:jc w:val="center"/>
              <w:rPr>
                <w:sz w:val="14"/>
              </w:rPr>
            </w:pPr>
            <w:r>
              <w:rPr>
                <w:sz w:val="14"/>
              </w:rPr>
              <w:t>5 735</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yeniden oynatma</w:t>
            </w:r>
          </w:p>
        </w:tc>
        <w:tc>
          <w:tcPr>
            <w:tcW w:type="dxa" w:w="462"/>
          </w:tcPr>
          <w:p>
            <w:pPr>
              <w:spacing w:before="10" w:after="10"/>
              <w:jc w:val="center"/>
              <w:rPr>
                <w:sz w:val="14"/>
              </w:rPr>
            </w:pPr>
            <w:r>
              <w:rPr>
                <w:sz w:val="14"/>
              </w:rPr>
              <w:t>3 sa</w:t>
            </w:r>
          </w:p>
        </w:tc>
        <w:tc>
          <w:tcPr>
            <w:tcW w:type="dxa" w:w="578"/>
          </w:tcPr>
          <w:p>
            <w:pPr>
              <w:spacing w:before="10" w:after="10"/>
              <w:jc w:val="center"/>
              <w:rPr>
                <w:sz w:val="14"/>
              </w:rPr>
            </w:pPr>
            <w:r>
              <w:rPr>
                <w:sz w:val="14"/>
              </w:rPr>
              <w:t>5 734</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yeniden oynatma</w:t>
            </w:r>
          </w:p>
        </w:tc>
        <w:tc>
          <w:tcPr>
            <w:tcW w:type="dxa" w:w="462"/>
          </w:tcPr>
          <w:p>
            <w:pPr>
              <w:spacing w:before="10" w:after="10"/>
              <w:jc w:val="center"/>
              <w:rPr>
                <w:sz w:val="14"/>
              </w:rPr>
            </w:pPr>
            <w:r>
              <w:rPr>
                <w:sz w:val="14"/>
              </w:rPr>
              <w:t>4 sa</w:t>
            </w:r>
          </w:p>
        </w:tc>
        <w:tc>
          <w:tcPr>
            <w:tcW w:type="dxa" w:w="578"/>
          </w:tcPr>
          <w:p>
            <w:pPr>
              <w:spacing w:before="10" w:after="10"/>
              <w:jc w:val="center"/>
              <w:rPr>
                <w:sz w:val="14"/>
              </w:rPr>
            </w:pPr>
            <w:r>
              <w:rPr>
                <w:sz w:val="14"/>
              </w:rPr>
              <w:t>5 731</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yeniden oynatma</w:t>
            </w:r>
          </w:p>
        </w:tc>
        <w:tc>
          <w:tcPr>
            <w:tcW w:type="dxa" w:w="462"/>
          </w:tcPr>
          <w:p>
            <w:pPr>
              <w:spacing w:before="10" w:after="10"/>
              <w:jc w:val="center"/>
              <w:rPr>
                <w:sz w:val="14"/>
              </w:rPr>
            </w:pPr>
            <w:r>
              <w:rPr>
                <w:sz w:val="14"/>
              </w:rPr>
              <w:t>5 sa</w:t>
            </w:r>
          </w:p>
        </w:tc>
        <w:tc>
          <w:tcPr>
            <w:tcW w:type="dxa" w:w="578"/>
          </w:tcPr>
          <w:p>
            <w:pPr>
              <w:spacing w:before="10" w:after="10"/>
              <w:jc w:val="center"/>
              <w:rPr>
                <w:sz w:val="14"/>
              </w:rPr>
            </w:pPr>
            <w:r>
              <w:rPr>
                <w:sz w:val="14"/>
              </w:rPr>
              <w:t>5 729</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r>
        <w:tc>
          <w:tcPr>
            <w:tcW w:type="dxa" w:w="1444"/>
          </w:tcPr>
          <w:p>
            <w:pPr>
              <w:spacing w:before="10" w:after="10"/>
              <w:jc w:val="left"/>
              <w:rPr>
                <w:sz w:val="14"/>
              </w:rPr>
            </w:pPr>
            <w:r>
              <w:rPr>
                <w:sz w:val="14"/>
              </w:rPr>
              <w:t>07/2026–10/2026 yeniden oynatma</w:t>
            </w:r>
          </w:p>
        </w:tc>
        <w:tc>
          <w:tcPr>
            <w:tcW w:type="dxa" w:w="462"/>
          </w:tcPr>
          <w:p>
            <w:pPr>
              <w:spacing w:before="10" w:after="10"/>
              <w:jc w:val="center"/>
              <w:rPr>
                <w:sz w:val="14"/>
              </w:rPr>
            </w:pPr>
            <w:r>
              <w:rPr>
                <w:sz w:val="14"/>
              </w:rPr>
              <w:t>6 sa</w:t>
            </w:r>
          </w:p>
        </w:tc>
        <w:tc>
          <w:tcPr>
            <w:tcW w:type="dxa" w:w="578"/>
          </w:tcPr>
          <w:p>
            <w:pPr>
              <w:spacing w:before="10" w:after="10"/>
              <w:jc w:val="center"/>
              <w:rPr>
                <w:sz w:val="14"/>
              </w:rPr>
            </w:pPr>
            <w:r>
              <w:rPr>
                <w:sz w:val="14"/>
              </w:rPr>
              <w:t>5 727</w:t>
            </w:r>
          </w:p>
        </w:tc>
        <w:tc>
          <w:tcPr>
            <w:tcW w:type="dxa" w:w="404"/>
          </w:tcPr>
          <w:p>
            <w:pPr>
              <w:spacing w:before="10" w:after="10"/>
              <w:jc w:val="center"/>
              <w:rPr>
                <w:sz w:val="14"/>
              </w:rPr>
            </w:pPr>
            <w:r>
              <w:rPr>
                <w:sz w:val="14"/>
              </w:rPr>
              <w:t>0</w:t>
            </w:r>
          </w:p>
        </w:tc>
        <w:tc>
          <w:tcPr>
            <w:tcW w:type="dxa" w:w="578"/>
          </w:tcPr>
          <w:p>
            <w:pPr>
              <w:spacing w:before="10" w:after="10"/>
              <w:jc w:val="center"/>
              <w:rPr>
                <w:sz w:val="14"/>
              </w:rPr>
            </w:pPr>
            <w:r>
              <w:rPr>
                <w:sz w:val="14"/>
              </w:rPr>
              <w:t>0</w:t>
            </w:r>
          </w:p>
        </w:tc>
        <w:tc>
          <w:tcPr>
            <w:tcW w:type="dxa" w:w="462"/>
          </w:tcPr>
          <w:p>
            <w:pPr>
              <w:spacing w:before="10" w:after="10"/>
              <w:jc w:val="center"/>
              <w:rPr>
                <w:sz w:val="14"/>
              </w:rPr>
            </w:pPr>
            <w:r>
              <w:rPr>
                <w:sz w:val="14"/>
              </w:rPr>
              <w:t>–</w:t>
            </w:r>
          </w:p>
        </w:tc>
        <w:tc>
          <w:tcPr>
            <w:tcW w:type="dxa" w:w="462"/>
          </w:tcPr>
          <w:p>
            <w:pPr>
              <w:spacing w:before="10" w:after="10"/>
              <w:jc w:val="center"/>
              <w:rPr>
                <w:sz w:val="14"/>
              </w:rPr>
            </w:pPr>
            <w:r>
              <w:rPr>
                <w:sz w:val="14"/>
              </w:rPr>
              <w:t>–</w:t>
            </w:r>
          </w:p>
        </w:tc>
        <w:tc>
          <w:tcPr>
            <w:tcW w:type="dxa" w:w="578"/>
          </w:tcPr>
          <w:p>
            <w:pPr>
              <w:spacing w:before="10" w:after="10"/>
              <w:jc w:val="center"/>
              <w:rPr>
                <w:sz w:val="14"/>
              </w:rPr>
            </w:pPr>
            <w:r>
              <w:rPr>
                <w:sz w:val="14"/>
              </w:rPr>
              <w:t>0,0000</w:t>
            </w:r>
          </w:p>
        </w:tc>
      </w:tr>
    </w:tbl>
    <w:p>
      <w:pPr>
        <w:pStyle w:val="FigureCaption"/>
        <w:spacing w:before="40"/>
      </w:pPr>
      <w:r>
        <w:rPr>
          <w:sz w:val="14"/>
        </w:rPr>
        <w:t>Yeniden oynatma: arşiv METAR'ları web uygulamasının koduyla işlenmiştir; canlı: çalışan uygulamanın kaydettiği ve otomatik doğruladığı tahminler.</w:t>
      </w:r>
    </w:p>
    <w:p>
      <w:pPr>
        <w:spacing w:after="80"/>
      </w:pPr>
    </w:p>
    <w:p>
      <w:pPr>
        <w:pStyle w:val="Heading1"/>
      </w:pPr>
      <w:r>
        <w:t xml:space="preserve">VI. </w:t>
      </w:r>
      <w:r>
        <w:t>Tartışma</w:t>
      </w:r>
    </w:p>
    <w:p>
      <w:pPr>
        <w:pStyle w:val="Text"/>
      </w:pPr>
      <w:r>
        <w:t>Bulgular, yalnızca gözleme dayalı bir kısa vadeli tahminin Esenboğa'da hem kalıcılık tahminine hem de resmî TREND tahminine önemli ölçüde beceri katabildiğini göstermektedir. Üç nokta özellikle vurgulanmalıdır. Birincisi, en iyi model öngörü süresine bağlıdır: 1 saatte anlık durumdaki keskin eşiklerden yararlanan ağaç toplulukları en iyiyken 3–6 saatte yinelemeli ağlar 12 saatlik geçmişten daha fazla bilgi çıkarmakta ve en iyi olasılıksal skorlara ulaşmaktadır. Operasyonel bir sistem bu nedenle en kısa sürelerde artırma yöntemlerini, 2 saatin ötesinde yinelemeli ağları birleştirebilir. İkincisi, SHAP analizi modellerin rastlantısal ilişkiler yerine radyasyon sisinin fiziğini—doygunluk, zayıf karışım ve günlük ışınım döngüsü—öğrendiğini doğrulamaktadır; bu, tahmincilerin güvenini desteklemekte [21] ve LTAC'de radyasyon sisinin baskınlığıyla uyumludur [4]. Üçüncüsü, TREND ile karşılaştırma resmî 2 saatlik tahminin esasen kalıcılık olduğunu, dolayısıyla mütevazı bir veriye dayalı kılavuzun bile çok kısa vadeli hizmeti iyileştirebileceğini göstermektedir.</w:t>
      </w:r>
    </w:p>
    <w:p>
      <w:pPr>
        <w:pStyle w:val="Text"/>
      </w:pPr>
      <w:r>
        <w:t>Çalışmanın sınırlılıkları da bulunmaktadır. Yalnızca nokta gözlemleri kullanılmıştır; tek bir METAR'da görülemeyen sınır tabaka süreçlerine ve adveksiyona bağlı olan sis başlangıçlarını tahmin etmek zor olmaya devam etmektedir ve sayısal hava tahmini, uydu veya tavan ölçer (seilometre) verileri bu konuda büyük olasılıkla iyileşme sağlayacaktır [11], [19]. Test sezonları için tarihsel TAF arşivine erişilemediğinden TAF karşılaştırması kısa ve sissiz bir pencereyle sınırlı kalmıştır; bu karşılaştırma canlı doğrulamayla tamamlanacaktır. Yalnızca tek bir havalimanı incelendiğinden aktarılabilirlik değerlendirilmemiştir [20]. Son olarak sis sıklığının 21 yıl boyunca azalması durağan olmayan bir süreci işaret etmektedir; sezonlarla hizalı doğrulama ve güncel sezonlarda kalibrasyon bu etkiyi azaltmış olsa da modellerin dönemsel olarak yeniden eğitilmesi gerekecektir.</w:t>
      </w:r>
    </w:p>
    <w:p>
      <w:pPr>
        <w:pStyle w:val="Heading1"/>
      </w:pPr>
      <w:r>
        <w:t xml:space="preserve">VII. </w:t>
      </w:r>
      <w:r>
        <w:t>Sonuç</w:t>
      </w:r>
    </w:p>
    <w:p>
      <w:pPr>
        <w:pStyle w:val="Text"/>
      </w:pPr>
      <w:r>
        <w:t>Bu makalede Ankara Esenboğa Havalimanı'nda sis ve düşük görüş için ilk makine öğrenmesi tabanlı kısa vadeli tahmin sistemi sunulmuştur. Kalite kontrolünden geçirilmiş 21,8 yıllık METAR/SPECI rasatlarına dayanan ve dört bağımsız sis sezonunda doğrulanan tüm modeller kalıcılık tahmininden anlamlı biçimde daha başarılı olmuş, LightGBM ise 1 saatte resmî METAR TREND tahminini CSI'da 0,105 farkla geçmiştir. Kalibre edilmiş olasılıklar, ILS kategorisi tahminleri ve SHAP açıklamaları tahminleri operasyonel olarak yorumlanabilir kılmakta; açık kaynaklı web uygulaması ise bunları sürekli öz doğrulamayla gerçek zamanlı olarak sunmaktadır. Gelecek çalışmalarda başlangıç tespitini iyileştirmek için sayısal model ve uydu öznitelikleri eklenecek, TAF karşılaştırması tam sis sezonlarına genişletilecek ve yaklaşım diğer Türk havalimanlarına aktarılacaktır.</w:t>
      </w:r>
    </w:p>
    <w:p>
      <w:pPr>
        <w:pStyle w:val="Heading1"/>
      </w:pPr>
      <w:r>
        <w:t>Ek</w:t>
      </w:r>
    </w:p>
    <w:p>
      <w:pPr>
        <w:pStyle w:val="Text"/>
      </w:pPr>
      <w:r>
        <w:t>Doğrulama sezonlarında seçilen hiperparametreler Tablo XI'de listelenmiştir. Veri setinin tamamı, çözücü, eğitim ve değerlendirme betikleri, eğitilmiş modeller, İngilizce ve Türkçe şekiller ve web uygulaması https://github.com/AtaSakik/esenboga-fog-nowcasting adresindedir; tek bir betik bu makaledeki tüm sayıları yeniden üretmektedir.</w:t>
      </w:r>
    </w:p>
    <w:p>
      <w:pPr>
        <w:keepNext/>
        <w:widowControl w:val="0"/>
        <w:pBdr>
          <w:top w:val="nil"/>
          <w:left w:val="nil"/>
          <w:bottom w:val="nil"/>
          <w:right w:val="nil"/>
          <w:between w:val="nil"/>
        </w:pBdr>
        <w:spacing w:line="252" w:lineRule="auto"/>
        <w:ind w:firstLine="202"/>
        <w:jc w:val="center"/>
      </w:pPr>
      <w:r>
        <w:rPr>
          <w:sz w:val="16"/>
        </w:rPr>
        <w:t>TABLO XI</w:t>
      </w:r>
    </w:p>
    <w:p>
      <w:pPr>
        <w:pStyle w:val="TableTitle"/>
        <w:keepNext/>
        <w:spacing w:after="60"/>
      </w:pPr>
      <w:r>
        <w:rPr>
          <w:sz w:val="16"/>
        </w:rPr>
        <w:t>Seçilen hiperparametreler</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CellMar>
          <w:left w:w="45" w:type="dxa"/>
          <w:right w:w="45" w:type="dxa"/>
        </w:tblCellMar>
      </w:tblPr>
      <w:tblGrid>
        <w:gridCol w:w="3456"/>
        <w:gridCol w:w="3456"/>
        <w:gridCol w:w="3456"/>
      </w:tblGrid>
      <w:tr>
        <w:tc>
          <w:tcPr>
            <w:tcW w:type="dxa" w:w="880"/>
            <w:tcBorders>
              <w:bottom w:val="single" w:sz="4" w:color="000000"/>
            </w:tcBorders>
          </w:tcPr>
          <w:p>
            <w:pPr>
              <w:spacing w:before="10" w:after="10"/>
              <w:jc w:val="left"/>
              <w:rPr>
                <w:sz w:val="14"/>
              </w:rPr>
            </w:pPr>
            <w:r>
              <w:rPr>
                <w:b/>
                <w:sz w:val="14"/>
              </w:rPr>
              <w:t>Model</w:t>
            </w:r>
          </w:p>
        </w:tc>
        <w:tc>
          <w:tcPr>
            <w:tcW w:type="dxa" w:w="566"/>
            <w:tcBorders>
              <w:bottom w:val="single" w:sz="4" w:color="000000"/>
            </w:tcBorders>
          </w:tcPr>
          <w:p>
            <w:pPr>
              <w:spacing w:before="10" w:after="10"/>
              <w:jc w:val="left"/>
              <w:rPr>
                <w:sz w:val="14"/>
              </w:rPr>
            </w:pPr>
            <w:r>
              <w:rPr>
                <w:b/>
                <w:sz w:val="14"/>
              </w:rPr>
              <w:t>Süre</w:t>
            </w:r>
          </w:p>
        </w:tc>
        <w:tc>
          <w:tcPr>
            <w:tcW w:type="dxa" w:w="3522"/>
            <w:tcBorders>
              <w:bottom w:val="single" w:sz="4" w:color="000000"/>
            </w:tcBorders>
          </w:tcPr>
          <w:p>
            <w:pPr>
              <w:spacing w:before="10" w:after="10"/>
              <w:jc w:val="left"/>
              <w:rPr>
                <w:sz w:val="14"/>
              </w:rPr>
            </w:pPr>
            <w:r>
              <w:rPr>
                <w:b/>
                <w:sz w:val="14"/>
              </w:rPr>
              <w:t>Ayar</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1 sa</w:t>
            </w:r>
          </w:p>
        </w:tc>
        <w:tc>
          <w:tcPr>
            <w:tcW w:type="dxa" w:w="3522"/>
          </w:tcPr>
          <w:p>
            <w:pPr>
              <w:spacing w:before="10" w:after="10"/>
              <w:jc w:val="left"/>
              <w:rPr>
                <w:sz w:val="14"/>
              </w:rPr>
            </w:pPr>
            <w:r>
              <w:rPr>
                <w:sz w:val="14"/>
              </w:rPr>
              <w:t>η=0,026, leaves=17, min_child=42, ff=0,76, bf=0,71, λ₂=0,0383</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2 sa</w:t>
            </w:r>
          </w:p>
        </w:tc>
        <w:tc>
          <w:tcPr>
            <w:tcW w:type="dxa" w:w="3522"/>
          </w:tcPr>
          <w:p>
            <w:pPr>
              <w:spacing w:before="10" w:after="10"/>
              <w:jc w:val="left"/>
              <w:rPr>
                <w:sz w:val="14"/>
              </w:rPr>
            </w:pPr>
            <w:r>
              <w:rPr>
                <w:sz w:val="14"/>
              </w:rPr>
              <w:t>η=0,027, leaves=119, min_child=203, ff=0,96, bf=0,95, λ₂=0,475</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3 sa</w:t>
            </w:r>
          </w:p>
        </w:tc>
        <w:tc>
          <w:tcPr>
            <w:tcW w:type="dxa" w:w="3522"/>
          </w:tcPr>
          <w:p>
            <w:pPr>
              <w:spacing w:before="10" w:after="10"/>
              <w:jc w:val="left"/>
              <w:rPr>
                <w:sz w:val="14"/>
              </w:rPr>
            </w:pPr>
            <w:r>
              <w:rPr>
                <w:sz w:val="14"/>
              </w:rPr>
              <w:t>η=0,025, leaves=27, min_child=59, ff=0,67, bf=0,89, λ₂=0,00783</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4 sa</w:t>
            </w:r>
          </w:p>
        </w:tc>
        <w:tc>
          <w:tcPr>
            <w:tcW w:type="dxa" w:w="3522"/>
          </w:tcPr>
          <w:p>
            <w:pPr>
              <w:spacing w:before="10" w:after="10"/>
              <w:jc w:val="left"/>
              <w:rPr>
                <w:sz w:val="14"/>
              </w:rPr>
            </w:pPr>
            <w:r>
              <w:rPr>
                <w:sz w:val="14"/>
              </w:rPr>
              <w:t>η=0,052, leaves=16, min_child=122, ff=0,50, bf=0,53, λ₂=17,7</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5 sa</w:t>
            </w:r>
          </w:p>
        </w:tc>
        <w:tc>
          <w:tcPr>
            <w:tcW w:type="dxa" w:w="3522"/>
          </w:tcPr>
          <w:p>
            <w:pPr>
              <w:spacing w:before="10" w:after="10"/>
              <w:jc w:val="left"/>
              <w:rPr>
                <w:sz w:val="14"/>
              </w:rPr>
            </w:pPr>
            <w:r>
              <w:rPr>
                <w:sz w:val="14"/>
              </w:rPr>
              <w:t>η=0,052, leaves=16, min_child=122, ff=0,50, bf=0,53, λ₂=17,7</w:t>
            </w:r>
          </w:p>
        </w:tc>
      </w:tr>
      <w:tr>
        <w:tc>
          <w:tcPr>
            <w:tcW w:type="dxa" w:w="880"/>
          </w:tcPr>
          <w:p>
            <w:pPr>
              <w:spacing w:before="10" w:after="10"/>
              <w:jc w:val="left"/>
              <w:rPr>
                <w:sz w:val="14"/>
              </w:rPr>
            </w:pPr>
            <w:r>
              <w:rPr>
                <w:sz w:val="14"/>
              </w:rPr>
              <w:t>LightGBM</w:t>
            </w:r>
          </w:p>
        </w:tc>
        <w:tc>
          <w:tcPr>
            <w:tcW w:type="dxa" w:w="566"/>
          </w:tcPr>
          <w:p>
            <w:pPr>
              <w:spacing w:before="10" w:after="10"/>
              <w:jc w:val="left"/>
              <w:rPr>
                <w:sz w:val="14"/>
              </w:rPr>
            </w:pPr>
            <w:r>
              <w:rPr>
                <w:sz w:val="14"/>
              </w:rPr>
              <w:t>6 sa</w:t>
            </w:r>
          </w:p>
        </w:tc>
        <w:tc>
          <w:tcPr>
            <w:tcW w:type="dxa" w:w="3522"/>
          </w:tcPr>
          <w:p>
            <w:pPr>
              <w:spacing w:before="10" w:after="10"/>
              <w:jc w:val="left"/>
              <w:rPr>
                <w:sz w:val="14"/>
              </w:rPr>
            </w:pPr>
            <w:r>
              <w:rPr>
                <w:sz w:val="14"/>
              </w:rPr>
              <w:t>η=0,053, leaves=15, min_child=316, ff=0,69, bf=0,69, λ₂=14</w:t>
            </w:r>
          </w:p>
        </w:tc>
      </w:tr>
      <w:tr>
        <w:tc>
          <w:tcPr>
            <w:tcW w:type="dxa" w:w="880"/>
          </w:tcPr>
          <w:p>
            <w:pPr>
              <w:spacing w:before="10" w:after="10"/>
              <w:jc w:val="left"/>
              <w:rPr>
                <w:sz w:val="14"/>
              </w:rPr>
            </w:pPr>
            <w:r>
              <w:rPr>
                <w:sz w:val="14"/>
              </w:rPr>
              <w:t>XGBoost</w:t>
            </w:r>
          </w:p>
        </w:tc>
        <w:tc>
          <w:tcPr>
            <w:tcW w:type="dxa" w:w="566"/>
          </w:tcPr>
          <w:p>
            <w:pPr>
              <w:spacing w:before="10" w:after="10"/>
              <w:jc w:val="left"/>
              <w:rPr>
                <w:sz w:val="14"/>
              </w:rPr>
            </w:pPr>
            <w:r>
              <w:rPr>
                <w:sz w:val="14"/>
              </w:rPr>
              <w:t>1 sa</w:t>
            </w:r>
          </w:p>
        </w:tc>
        <w:tc>
          <w:tcPr>
            <w:tcW w:type="dxa" w:w="3522"/>
          </w:tcPr>
          <w:p>
            <w:pPr>
              <w:spacing w:before="10" w:after="10"/>
              <w:jc w:val="left"/>
              <w:rPr>
                <w:sz w:val="14"/>
              </w:rPr>
            </w:pPr>
            <w:r>
              <w:rPr>
                <w:sz w:val="14"/>
              </w:rPr>
              <w:t>η=0,032, depth=5, mcw=2,0, subsample=0,70, colsample=0,74, λ=0,447</w:t>
            </w:r>
          </w:p>
        </w:tc>
      </w:tr>
      <w:tr>
        <w:tc>
          <w:tcPr>
            <w:tcW w:type="dxa" w:w="880"/>
          </w:tcPr>
          <w:p>
            <w:pPr>
              <w:spacing w:before="10" w:after="10"/>
              <w:jc w:val="left"/>
              <w:rPr>
                <w:sz w:val="14"/>
              </w:rPr>
            </w:pPr>
            <w:r>
              <w:rPr>
                <w:sz w:val="14"/>
              </w:rPr>
              <w:t>XGBoost</w:t>
            </w:r>
          </w:p>
        </w:tc>
        <w:tc>
          <w:tcPr>
            <w:tcW w:type="dxa" w:w="566"/>
          </w:tcPr>
          <w:p>
            <w:pPr>
              <w:spacing w:before="10" w:after="10"/>
              <w:jc w:val="left"/>
              <w:rPr>
                <w:sz w:val="14"/>
              </w:rPr>
            </w:pPr>
            <w:r>
              <w:rPr>
                <w:sz w:val="14"/>
              </w:rPr>
              <w:t>3 sa</w:t>
            </w:r>
          </w:p>
        </w:tc>
        <w:tc>
          <w:tcPr>
            <w:tcW w:type="dxa" w:w="3522"/>
          </w:tcPr>
          <w:p>
            <w:pPr>
              <w:spacing w:before="10" w:after="10"/>
              <w:jc w:val="left"/>
              <w:rPr>
                <w:sz w:val="14"/>
              </w:rPr>
            </w:pPr>
            <w:r>
              <w:rPr>
                <w:sz w:val="14"/>
              </w:rPr>
              <w:t>η=0,035, depth=9, mcw=14,8, subsample=1,00, colsample=0,70, λ=0,574</w:t>
            </w:r>
          </w:p>
        </w:tc>
      </w:tr>
      <w:tr>
        <w:tc>
          <w:tcPr>
            <w:tcW w:type="dxa" w:w="880"/>
          </w:tcPr>
          <w:p>
            <w:pPr>
              <w:spacing w:before="10" w:after="10"/>
              <w:jc w:val="left"/>
              <w:rPr>
                <w:sz w:val="14"/>
              </w:rPr>
            </w:pPr>
            <w:r>
              <w:rPr>
                <w:sz w:val="14"/>
              </w:rPr>
              <w:t>XGBoost</w:t>
            </w:r>
          </w:p>
        </w:tc>
        <w:tc>
          <w:tcPr>
            <w:tcW w:type="dxa" w:w="566"/>
          </w:tcPr>
          <w:p>
            <w:pPr>
              <w:spacing w:before="10" w:after="10"/>
              <w:jc w:val="left"/>
              <w:rPr>
                <w:sz w:val="14"/>
              </w:rPr>
            </w:pPr>
            <w:r>
              <w:rPr>
                <w:sz w:val="14"/>
              </w:rPr>
              <w:t>6 sa</w:t>
            </w:r>
          </w:p>
        </w:tc>
        <w:tc>
          <w:tcPr>
            <w:tcW w:type="dxa" w:w="3522"/>
          </w:tcPr>
          <w:p>
            <w:pPr>
              <w:spacing w:before="10" w:after="10"/>
              <w:jc w:val="left"/>
              <w:rPr>
                <w:sz w:val="14"/>
              </w:rPr>
            </w:pPr>
            <w:r>
              <w:rPr>
                <w:sz w:val="14"/>
              </w:rPr>
              <w:t>η=0,084, depth=6, mcw=8,1, subsample=0,60, colsample=0,45, λ=27,7</w:t>
            </w:r>
          </w:p>
        </w:tc>
      </w:tr>
      <w:tr>
        <w:tc>
          <w:tcPr>
            <w:tcW w:type="dxa" w:w="880"/>
          </w:tcPr>
          <w:p>
            <w:pPr>
              <w:spacing w:before="10" w:after="10"/>
              <w:jc w:val="left"/>
              <w:rPr>
                <w:sz w:val="14"/>
              </w:rPr>
            </w:pPr>
            <w:r>
              <w:rPr>
                <w:sz w:val="14"/>
              </w:rPr>
              <w:t>GRU</w:t>
            </w:r>
          </w:p>
        </w:tc>
        <w:tc>
          <w:tcPr>
            <w:tcW w:type="dxa" w:w="566"/>
          </w:tcPr>
          <w:p>
            <w:pPr>
              <w:spacing w:before="10" w:after="10"/>
              <w:jc w:val="left"/>
              <w:rPr>
                <w:sz w:val="14"/>
              </w:rPr>
            </w:pPr>
            <w:r>
              <w:rPr>
                <w:sz w:val="14"/>
              </w:rPr>
              <w:t>1/3/6</w:t>
            </w:r>
          </w:p>
        </w:tc>
        <w:tc>
          <w:tcPr>
            <w:tcW w:type="dxa" w:w="3522"/>
          </w:tcPr>
          <w:p>
            <w:pPr>
              <w:spacing w:before="10" w:after="10"/>
              <w:jc w:val="left"/>
              <w:rPr>
                <w:sz w:val="14"/>
              </w:rPr>
            </w:pPr>
            <w:r>
              <w:rPr>
                <w:sz w:val="14"/>
              </w:rPr>
              <w:t>hidden=32, layers=2, dropout=0,2, lr=0,001, wd=0,0001, seq=24×30 min</w:t>
            </w:r>
          </w:p>
        </w:tc>
      </w:tr>
      <w:tr>
        <w:tc>
          <w:tcPr>
            <w:tcW w:type="dxa" w:w="880"/>
          </w:tcPr>
          <w:p>
            <w:pPr>
              <w:spacing w:before="10" w:after="10"/>
              <w:jc w:val="left"/>
              <w:rPr>
                <w:sz w:val="14"/>
              </w:rPr>
            </w:pPr>
            <w:r>
              <w:rPr>
                <w:sz w:val="14"/>
              </w:rPr>
              <w:t>LSTM</w:t>
            </w:r>
          </w:p>
        </w:tc>
        <w:tc>
          <w:tcPr>
            <w:tcW w:type="dxa" w:w="566"/>
          </w:tcPr>
          <w:p>
            <w:pPr>
              <w:spacing w:before="10" w:after="10"/>
              <w:jc w:val="left"/>
              <w:rPr>
                <w:sz w:val="14"/>
              </w:rPr>
            </w:pPr>
            <w:r>
              <w:rPr>
                <w:sz w:val="14"/>
              </w:rPr>
              <w:t>1/3/6</w:t>
            </w:r>
          </w:p>
        </w:tc>
        <w:tc>
          <w:tcPr>
            <w:tcW w:type="dxa" w:w="3522"/>
          </w:tcPr>
          <w:p>
            <w:pPr>
              <w:spacing w:before="10" w:after="10"/>
              <w:jc w:val="left"/>
              <w:rPr>
                <w:sz w:val="14"/>
              </w:rPr>
            </w:pPr>
            <w:r>
              <w:rPr>
                <w:sz w:val="14"/>
              </w:rPr>
              <w:t>hidden=64, layers=2, dropout=0,2, lr=0,001, wd=0,0001, seq=24×30 min</w:t>
            </w:r>
          </w:p>
        </w:tc>
      </w:tr>
    </w:tbl>
    <w:p>
      <w:pPr>
        <w:spacing w:after="80"/>
      </w:pPr>
    </w:p>
    <w:p>
      <w:pPr>
        <w:pStyle w:val="Heading1"/>
      </w:pPr>
      <w:r>
        <w:t>Teşekkür</w:t>
      </w:r>
    </w:p>
    <w:p>
      <w:pPr>
        <w:pStyle w:val="Text"/>
      </w:pPr>
      <w:r>
        <w:t>Yazar, meteorolojik arşivlerini açık erişime sunan Iowa Environmental Mesonet, Ogimet ve NOAA Aviation Weather Center'a ve proje süresince verdiği rehberlik için YMH453 Makine Öğrenmesi dersinin öğretim üyesine teşekkür eder.</w:t>
      </w:r>
    </w:p>
    <w:p>
      <w:pPr>
        <w:keepNext/>
        <w:pBdr>
          <w:top w:val="nil"/>
          <w:left w:val="nil"/>
          <w:bottom w:val="nil"/>
          <w:right w:val="nil"/>
          <w:between w:val="nil"/>
        </w:pBdr>
        <w:spacing w:before="240" w:after="80"/>
        <w:jc w:val="center"/>
        <w:rPr>
          <w:color w:val="222222"/>
          <w:sz w:val="16"/>
          <w:szCs w:val="16"/>
        </w:rPr>
      </w:pPr>
      <w:r>
        <w:rPr>
          <w:smallCaps/>
        </w:rPr>
        <w:t>Kaynaklar</w:t>
      </w:r>
    </w:p>
    <w:p>
      <w:pPr>
        <w:numPr>
          <w:ilvl w:val="0"/>
          <w:numId w:val="1"/>
        </w:numPr>
        <w:ind w:left="360" w:hanging="360"/>
        <w:jc w:val="both"/>
        <w:rPr>
          <w:sz w:val="16"/>
          <w:szCs w:val="16"/>
        </w:rPr>
      </w:pPr>
      <w:r>
        <w:rPr>
          <w:i w:val="0"/>
          <w:sz w:val="16"/>
        </w:rPr>
        <w:t xml:space="preserve">I. Gultepe et al., “Fog research: A review of past achievements and future perspectives,” </w:t>
      </w:r>
      <w:r>
        <w:rPr>
          <w:i/>
          <w:sz w:val="16"/>
        </w:rPr>
        <w:t>Pure Appl. Geophys.</w:t>
      </w:r>
      <w:r>
        <w:rPr>
          <w:i w:val="0"/>
          <w:sz w:val="16"/>
        </w:rPr>
        <w:t>, vol. 164, no. 6–7, pp. 1121–1159, Jun. 2007, doi: 10.1007/s00024-007-0211-x.</w:t>
      </w:r>
    </w:p>
    <w:p>
      <w:pPr>
        <w:numPr>
          <w:ilvl w:val="0"/>
          <w:numId w:val="1"/>
        </w:numPr>
        <w:ind w:left="360" w:hanging="360"/>
        <w:jc w:val="both"/>
        <w:rPr>
          <w:sz w:val="16"/>
          <w:szCs w:val="16"/>
        </w:rPr>
      </w:pPr>
      <w:r>
        <w:rPr>
          <w:i w:val="0"/>
          <w:sz w:val="16"/>
        </w:rPr>
        <w:t xml:space="preserve">M. Haeffelin et al., “PARISFOG: Shedding new light on fog physical processes,” </w:t>
      </w:r>
      <w:r>
        <w:rPr>
          <w:i/>
          <w:sz w:val="16"/>
        </w:rPr>
        <w:t>Bull. Amer. Meteorol. Soc.</w:t>
      </w:r>
      <w:r>
        <w:rPr>
          <w:i w:val="0"/>
          <w:sz w:val="16"/>
        </w:rPr>
        <w:t>, vol. 91, no. 6, pp. 767–783, Jun. 2010, doi: 10.1175/2009BAMS2671.1.</w:t>
      </w:r>
    </w:p>
    <w:p>
      <w:pPr>
        <w:numPr>
          <w:ilvl w:val="0"/>
          <w:numId w:val="1"/>
        </w:numPr>
        <w:ind w:left="360" w:hanging="360"/>
        <w:jc w:val="both"/>
        <w:rPr>
          <w:sz w:val="16"/>
          <w:szCs w:val="16"/>
        </w:rPr>
      </w:pPr>
      <w:r>
        <w:rPr>
          <w:i w:val="0"/>
          <w:sz w:val="16"/>
        </w:rPr>
        <w:t xml:space="preserve">R. Dalmau and J. Attia, “A collection of machine learning models for improved airport operations amidst adverse weather conditions,” </w:t>
      </w:r>
      <w:r>
        <w:rPr>
          <w:i/>
          <w:sz w:val="16"/>
        </w:rPr>
        <w:t>Eur. J. Transp. Infrastruct. Res.</w:t>
      </w:r>
      <w:r>
        <w:rPr>
          <w:i w:val="0"/>
          <w:sz w:val="16"/>
        </w:rPr>
        <w:t>, vol. 25, no. 1, pp. 133–159, Feb. 2025, doi: 10.59490/ejtir.2025.25.1.7487.</w:t>
      </w:r>
    </w:p>
    <w:p>
      <w:pPr>
        <w:numPr>
          <w:ilvl w:val="0"/>
          <w:numId w:val="1"/>
        </w:numPr>
        <w:ind w:left="360" w:hanging="360"/>
        <w:jc w:val="both"/>
        <w:rPr>
          <w:sz w:val="16"/>
          <w:szCs w:val="16"/>
        </w:rPr>
      </w:pPr>
      <w:r>
        <w:rPr>
          <w:i w:val="0"/>
          <w:sz w:val="16"/>
        </w:rPr>
        <w:t xml:space="preserve">G. Çamalan, S. Yağan ve N. Akgün, “Esenboğa Havalimanı sis etüdü,” </w:t>
      </w:r>
      <w:r>
        <w:rPr>
          <w:i/>
          <w:sz w:val="16"/>
        </w:rPr>
        <w:t>I. Meteoroloji Sempozyumu</w:t>
      </w:r>
      <w:r>
        <w:rPr>
          <w:i w:val="0"/>
          <w:sz w:val="16"/>
        </w:rPr>
        <w:t>, Ankara, Türkiye, Mayıs 2010. [Çevrimiçi]. Erişim: https://www.mgm.gov.tr/FILES/genel/makale/sisbildirisi.pdf</w:t>
      </w:r>
    </w:p>
    <w:p>
      <w:pPr>
        <w:numPr>
          <w:ilvl w:val="0"/>
          <w:numId w:val="1"/>
        </w:numPr>
        <w:ind w:left="360" w:hanging="360"/>
        <w:jc w:val="both"/>
        <w:rPr>
          <w:sz w:val="16"/>
          <w:szCs w:val="16"/>
        </w:rPr>
      </w:pPr>
      <w:r>
        <w:rPr>
          <w:i w:val="0"/>
          <w:sz w:val="16"/>
        </w:rPr>
        <w:t xml:space="preserve">R. Koyuncu, A. Deniz, and E. T. Özdemir, “Ankara Esenboğa International Airport (Turkey) fog analysis and synoptical investigation of the fog event dated 17–19 December 2019,” </w:t>
      </w:r>
      <w:r>
        <w:rPr>
          <w:i/>
          <w:sz w:val="16"/>
        </w:rPr>
        <w:t>Int. J. Climatol.</w:t>
      </w:r>
      <w:r>
        <w:rPr>
          <w:i w:val="0"/>
          <w:sz w:val="16"/>
        </w:rPr>
        <w:t>, vol. 42, no. 16, pp. 8368–8389, Dec. 2022, doi: 10.1002/joc.7728.</w:t>
      </w:r>
    </w:p>
    <w:p>
      <w:pPr>
        <w:numPr>
          <w:ilvl w:val="0"/>
          <w:numId w:val="1"/>
        </w:numPr>
        <w:ind w:left="360" w:hanging="360"/>
        <w:jc w:val="both"/>
        <w:rPr>
          <w:sz w:val="16"/>
          <w:szCs w:val="16"/>
        </w:rPr>
      </w:pPr>
      <w:r>
        <w:rPr>
          <w:i w:val="0"/>
          <w:sz w:val="16"/>
        </w:rPr>
        <w:t xml:space="preserve">P. Kneringer, S. J. Dietz, G. J. Mayr, and A. Zeileis, “Probabilistic nowcasting of low-visibility procedure states at Vienna International Airport during cold season,” </w:t>
      </w:r>
      <w:r>
        <w:rPr>
          <w:i/>
          <w:sz w:val="16"/>
        </w:rPr>
        <w:t>Pure Appl. Geophys.</w:t>
      </w:r>
      <w:r>
        <w:rPr>
          <w:i w:val="0"/>
          <w:sz w:val="16"/>
        </w:rPr>
        <w:t>, vol. 176, no. 5, pp. 2165–2177, May 2019, doi: 10.1007/s00024-018-1863-4.</w:t>
      </w:r>
    </w:p>
    <w:p>
      <w:pPr>
        <w:numPr>
          <w:ilvl w:val="0"/>
          <w:numId w:val="1"/>
        </w:numPr>
        <w:ind w:left="360" w:hanging="360"/>
        <w:jc w:val="both"/>
        <w:rPr>
          <w:sz w:val="16"/>
          <w:szCs w:val="16"/>
        </w:rPr>
      </w:pPr>
      <w:r>
        <w:rPr>
          <w:i w:val="0"/>
          <w:sz w:val="16"/>
        </w:rPr>
        <w:t xml:space="preserve">S. J. Dietz, P. Kneringer, G. J. Mayr, and A. Zeileis, “Forecasting low-visibility procedure states with tree-based statistical methods,” </w:t>
      </w:r>
      <w:r>
        <w:rPr>
          <w:i/>
          <w:sz w:val="16"/>
        </w:rPr>
        <w:t>Pure Appl. Geophys.</w:t>
      </w:r>
      <w:r>
        <w:rPr>
          <w:i w:val="0"/>
          <w:sz w:val="16"/>
        </w:rPr>
        <w:t>, vol. 176, no. 6, pp. 2631–2644, Jun. 2019, doi: 10.1007/s00024-018-1914-x.</w:t>
      </w:r>
    </w:p>
    <w:p>
      <w:pPr>
        <w:numPr>
          <w:ilvl w:val="0"/>
          <w:numId w:val="1"/>
        </w:numPr>
        <w:ind w:left="360" w:hanging="360"/>
        <w:jc w:val="both"/>
        <w:rPr>
          <w:sz w:val="16"/>
          <w:szCs w:val="16"/>
        </w:rPr>
      </w:pPr>
      <w:r>
        <w:rPr>
          <w:i w:val="0"/>
          <w:sz w:val="16"/>
        </w:rPr>
        <w:t xml:space="preserve">S. J. Dietz, P. Kneringer, G. J. Mayr, and A. Zeileis, “Low-visibility forecasts for different flight planning horizons using tree-based boosting models,” </w:t>
      </w:r>
      <w:r>
        <w:rPr>
          <w:i/>
          <w:sz w:val="16"/>
        </w:rPr>
        <w:t>Adv. Stat. Climatol. Meteorol. Oceanogr.</w:t>
      </w:r>
      <w:r>
        <w:rPr>
          <w:i w:val="0"/>
          <w:sz w:val="16"/>
        </w:rPr>
        <w:t>, vol. 5, no. 1, pp. 101–114, Jun. 2019, doi: 10.5194/ascmo-5-101-2019.</w:t>
      </w:r>
    </w:p>
    <w:p>
      <w:pPr>
        <w:numPr>
          <w:ilvl w:val="0"/>
          <w:numId w:val="1"/>
        </w:numPr>
        <w:ind w:left="360" w:hanging="360"/>
        <w:jc w:val="both"/>
        <w:rPr>
          <w:sz w:val="16"/>
          <w:szCs w:val="16"/>
        </w:rPr>
      </w:pPr>
      <w:r>
        <w:rPr>
          <w:i w:val="0"/>
          <w:sz w:val="16"/>
        </w:rPr>
        <w:t xml:space="preserve">D. Alves, M. Belo-Pereira, F. Mendonça, and F. Morgado-Dias, “Intelligent visibility forecasting at airports: A systematic review,” </w:t>
      </w:r>
      <w:r>
        <w:rPr>
          <w:i/>
          <w:sz w:val="16"/>
        </w:rPr>
        <w:t>Environ. Res. Commun.</w:t>
      </w:r>
      <w:r>
        <w:rPr>
          <w:i w:val="0"/>
          <w:sz w:val="16"/>
        </w:rPr>
        <w:t>, vol. 7, no. 6, Art. no. 062002, Jun. 2025, doi: 10.1088/2515-7620/addea9.</w:t>
      </w:r>
    </w:p>
    <w:p>
      <w:pPr>
        <w:numPr>
          <w:ilvl w:val="0"/>
          <w:numId w:val="1"/>
        </w:numPr>
        <w:ind w:left="360" w:hanging="360"/>
        <w:jc w:val="both"/>
        <w:rPr>
          <w:sz w:val="16"/>
          <w:szCs w:val="16"/>
        </w:rPr>
      </w:pPr>
      <w:r>
        <w:rPr>
          <w:i w:val="0"/>
          <w:sz w:val="16"/>
        </w:rPr>
        <w:t xml:space="preserve">S. Salcedo-Sanz, D. Guijo-Rubio, J. Pérez-Aracil, C. Peláez-Rodríguez, A. M. Gomez-Orellana, and P. A. Gutiérrez-Peña, “Artificial intelligence-based methods and algorithms in fog and atmospheric low-visibility forecasting,” </w:t>
      </w:r>
      <w:r>
        <w:rPr>
          <w:i/>
          <w:sz w:val="16"/>
        </w:rPr>
        <w:t>Atmosphere</w:t>
      </w:r>
      <w:r>
        <w:rPr>
          <w:i w:val="0"/>
          <w:sz w:val="16"/>
        </w:rPr>
        <w:t>, vol. 16, no. 9, Art. no. 1073, Sep. 2025, doi: 10.3390/atmos16091073.</w:t>
      </w:r>
    </w:p>
    <w:p>
      <w:pPr>
        <w:numPr>
          <w:ilvl w:val="0"/>
          <w:numId w:val="1"/>
        </w:numPr>
        <w:ind w:left="360" w:hanging="360"/>
        <w:jc w:val="both"/>
        <w:rPr>
          <w:sz w:val="16"/>
          <w:szCs w:val="16"/>
        </w:rPr>
      </w:pPr>
      <w:r>
        <w:rPr>
          <w:i w:val="0"/>
          <w:sz w:val="16"/>
        </w:rPr>
        <w:t xml:space="preserve">G. R. Herman and R. S. Schumacher, “Using reforecasts to improve forecasting of fog and visibility for aviation,” </w:t>
      </w:r>
      <w:r>
        <w:rPr>
          <w:i/>
          <w:sz w:val="16"/>
        </w:rPr>
        <w:t>Weather Forecast.</w:t>
      </w:r>
      <w:r>
        <w:rPr>
          <w:i w:val="0"/>
          <w:sz w:val="16"/>
        </w:rPr>
        <w:t>, vol. 31, no. 2, pp. 467–482, Apr. 2016, doi: 10.1175/WAF-D-15-0108.1.</w:t>
      </w:r>
    </w:p>
    <w:p>
      <w:pPr>
        <w:numPr>
          <w:ilvl w:val="0"/>
          <w:numId w:val="1"/>
        </w:numPr>
        <w:ind w:left="360" w:hanging="360"/>
        <w:jc w:val="both"/>
        <w:rPr>
          <w:sz w:val="16"/>
          <w:szCs w:val="16"/>
        </w:rPr>
      </w:pPr>
      <w:r>
        <w:rPr>
          <w:i w:val="0"/>
          <w:sz w:val="16"/>
        </w:rPr>
        <w:t xml:space="preserve">D. Fabbian, R. de Dear, and S. Lellyett, “Application of artificial neural network forecasts to predict fog at Canberra International Airport,” </w:t>
      </w:r>
      <w:r>
        <w:rPr>
          <w:i/>
          <w:sz w:val="16"/>
        </w:rPr>
        <w:t>Weather Forecast.</w:t>
      </w:r>
      <w:r>
        <w:rPr>
          <w:i w:val="0"/>
          <w:sz w:val="16"/>
        </w:rPr>
        <w:t>, vol. 22, no. 2, pp. 372–381, Apr. 2007, doi: 10.1175/WAF980.1.</w:t>
      </w:r>
    </w:p>
    <w:p>
      <w:pPr>
        <w:numPr>
          <w:ilvl w:val="0"/>
          <w:numId w:val="1"/>
        </w:numPr>
        <w:ind w:left="360" w:hanging="360"/>
        <w:jc w:val="both"/>
        <w:rPr>
          <w:sz w:val="16"/>
          <w:szCs w:val="16"/>
        </w:rPr>
      </w:pPr>
      <w:r>
        <w:rPr>
          <w:i w:val="0"/>
          <w:sz w:val="16"/>
        </w:rPr>
        <w:t xml:space="preserve">C. Marzban, S. Leyton, and B. Colman, “Ceiling and visibility forecasts via neural networks,” </w:t>
      </w:r>
      <w:r>
        <w:rPr>
          <w:i/>
          <w:sz w:val="16"/>
        </w:rPr>
        <w:t>Weather Forecast.</w:t>
      </w:r>
      <w:r>
        <w:rPr>
          <w:i w:val="0"/>
          <w:sz w:val="16"/>
        </w:rPr>
        <w:t>, vol. 22, no. 3, pp. 466–479, Jun. 2007, doi: 10.1175/WAF994.1.</w:t>
      </w:r>
    </w:p>
    <w:p>
      <w:pPr>
        <w:numPr>
          <w:ilvl w:val="0"/>
          <w:numId w:val="1"/>
        </w:numPr>
        <w:ind w:left="360" w:hanging="360"/>
        <w:jc w:val="both"/>
        <w:rPr>
          <w:sz w:val="16"/>
          <w:szCs w:val="16"/>
        </w:rPr>
      </w:pPr>
      <w:r>
        <w:rPr>
          <w:i w:val="0"/>
          <w:sz w:val="16"/>
        </w:rPr>
        <w:t xml:space="preserve">J. B. Bremnes and S. C. Michaelides, “Probabilistic visibility forecasting using neural networks,” </w:t>
      </w:r>
      <w:r>
        <w:rPr>
          <w:i/>
          <w:sz w:val="16"/>
        </w:rPr>
        <w:t>Pure Appl. Geophys.</w:t>
      </w:r>
      <w:r>
        <w:rPr>
          <w:i w:val="0"/>
          <w:sz w:val="16"/>
        </w:rPr>
        <w:t>, vol. 164, no. 6–7, pp. 1365–1381, Jun. 2007, doi: 10.1007/s00024-007-0223-6.</w:t>
      </w:r>
    </w:p>
    <w:p>
      <w:pPr>
        <w:numPr>
          <w:ilvl w:val="0"/>
          <w:numId w:val="1"/>
        </w:numPr>
        <w:ind w:left="360" w:hanging="360"/>
        <w:jc w:val="both"/>
        <w:rPr>
          <w:sz w:val="16"/>
          <w:szCs w:val="16"/>
        </w:rPr>
      </w:pPr>
      <w:r>
        <w:rPr>
          <w:i w:val="0"/>
          <w:sz w:val="16"/>
        </w:rPr>
        <w:t xml:space="preserve">D. Guijo-Rubio, P. A. Gutiérrez, C. Casanova-Mateo, J. Sanz-Justo, S. Salcedo-Sanz, and C. Hervás-Martínez, “Prediction of low-visibility events due to fog using ordinal classification,” </w:t>
      </w:r>
      <w:r>
        <w:rPr>
          <w:i/>
          <w:sz w:val="16"/>
        </w:rPr>
        <w:t>Atmos. Res.</w:t>
      </w:r>
      <w:r>
        <w:rPr>
          <w:i w:val="0"/>
          <w:sz w:val="16"/>
        </w:rPr>
        <w:t>, vol. 214, pp. 64–73, Dec. 2018, doi: 10.1016/j.atmosres.2018.07.017.</w:t>
      </w:r>
    </w:p>
    <w:p>
      <w:pPr>
        <w:numPr>
          <w:ilvl w:val="0"/>
          <w:numId w:val="1"/>
        </w:numPr>
        <w:ind w:left="360" w:hanging="360"/>
        <w:jc w:val="both"/>
        <w:rPr>
          <w:sz w:val="16"/>
          <w:szCs w:val="16"/>
        </w:rPr>
      </w:pPr>
      <w:r>
        <w:rPr>
          <w:i w:val="0"/>
          <w:sz w:val="16"/>
        </w:rPr>
        <w:t xml:space="preserve">C. Castillo-Botón et al., “Machine learning regression and classification methods for fog events prediction,” </w:t>
      </w:r>
      <w:r>
        <w:rPr>
          <w:i/>
          <w:sz w:val="16"/>
        </w:rPr>
        <w:t>Atmos. Res.</w:t>
      </w:r>
      <w:r>
        <w:rPr>
          <w:i w:val="0"/>
          <w:sz w:val="16"/>
        </w:rPr>
        <w:t>, vol. 272, Art. no. 106157, Jul. 2022, doi: 10.1016/j.atmosres.2022.106157.</w:t>
      </w:r>
    </w:p>
    <w:p>
      <w:pPr>
        <w:numPr>
          <w:ilvl w:val="0"/>
          <w:numId w:val="1"/>
        </w:numPr>
        <w:ind w:left="360" w:hanging="360"/>
        <w:jc w:val="both"/>
        <w:rPr>
          <w:sz w:val="16"/>
          <w:szCs w:val="16"/>
        </w:rPr>
      </w:pPr>
      <w:r>
        <w:rPr>
          <w:i w:val="0"/>
          <w:sz w:val="16"/>
        </w:rPr>
        <w:t xml:space="preserve">L. Zhu, G. Zhu, L. Han, and N. Wang, “The application of deep learning in airport visibility forecast,” </w:t>
      </w:r>
      <w:r>
        <w:rPr>
          <w:i/>
          <w:sz w:val="16"/>
        </w:rPr>
        <w:t>Atmos. Clim. Sci.</w:t>
      </w:r>
      <w:r>
        <w:rPr>
          <w:i w:val="0"/>
          <w:sz w:val="16"/>
        </w:rPr>
        <w:t>, vol. 7, no. 3, pp. 314–322, 2017, doi: 10.4236/acs.2017.73023.</w:t>
      </w:r>
    </w:p>
    <w:p>
      <w:pPr>
        <w:numPr>
          <w:ilvl w:val="0"/>
          <w:numId w:val="1"/>
        </w:numPr>
        <w:ind w:left="360" w:hanging="360"/>
        <w:jc w:val="both"/>
        <w:rPr>
          <w:sz w:val="16"/>
          <w:szCs w:val="16"/>
        </w:rPr>
      </w:pPr>
      <w:r>
        <w:rPr>
          <w:i w:val="0"/>
          <w:sz w:val="16"/>
        </w:rPr>
        <w:t xml:space="preserve">L. C. Ortega, L. D. Otero, M. Solomon, C. E. Otero, and A. Fabregas, “Deep learning models for visibility forecasting using climatological data,” </w:t>
      </w:r>
      <w:r>
        <w:rPr>
          <w:i/>
          <w:sz w:val="16"/>
        </w:rPr>
        <w:t>Int. J. Forecast.</w:t>
      </w:r>
      <w:r>
        <w:rPr>
          <w:i w:val="0"/>
          <w:sz w:val="16"/>
        </w:rPr>
        <w:t>, vol. 39, no. 2, pp. 992–1004, Apr. 2023, doi: 10.1016/j.ijforecast.2022.03.009.</w:t>
      </w:r>
    </w:p>
    <w:p>
      <w:pPr>
        <w:numPr>
          <w:ilvl w:val="0"/>
          <w:numId w:val="1"/>
        </w:numPr>
        <w:ind w:left="360" w:hanging="360"/>
        <w:jc w:val="both"/>
        <w:rPr>
          <w:sz w:val="16"/>
          <w:szCs w:val="16"/>
        </w:rPr>
      </w:pPr>
      <w:r>
        <w:rPr>
          <w:i w:val="0"/>
          <w:sz w:val="16"/>
        </w:rPr>
        <w:t xml:space="preserve">H. Kamangir et al., “FogNet: A multiscale 3D CNN with double-branch dense block and attention mechanism for fog prediction,” </w:t>
      </w:r>
      <w:r>
        <w:rPr>
          <w:i/>
          <w:sz w:val="16"/>
        </w:rPr>
        <w:t>Mach. Learn. Appl.</w:t>
      </w:r>
      <w:r>
        <w:rPr>
          <w:i w:val="0"/>
          <w:sz w:val="16"/>
        </w:rPr>
        <w:t>, vol. 5, Art. no. 100038, Sep. 2021, doi: 10.1016/j.mlwa.2021.100038.</w:t>
      </w:r>
    </w:p>
    <w:p>
      <w:pPr>
        <w:numPr>
          <w:ilvl w:val="0"/>
          <w:numId w:val="1"/>
        </w:numPr>
        <w:ind w:left="360" w:hanging="360"/>
        <w:jc w:val="both"/>
        <w:rPr>
          <w:sz w:val="16"/>
          <w:szCs w:val="16"/>
        </w:rPr>
      </w:pPr>
      <w:r>
        <w:rPr>
          <w:i w:val="0"/>
          <w:sz w:val="16"/>
        </w:rPr>
        <w:t>M. Cerda Castillo, “Geographic transferability of machine learning models for short-term airport fog forecasting,” 2025, arXiv:2510.21819.</w:t>
      </w:r>
    </w:p>
    <w:p>
      <w:pPr>
        <w:numPr>
          <w:ilvl w:val="0"/>
          <w:numId w:val="1"/>
        </w:numPr>
        <w:ind w:left="360" w:hanging="360"/>
        <w:jc w:val="both"/>
        <w:rPr>
          <w:sz w:val="16"/>
          <w:szCs w:val="16"/>
        </w:rPr>
      </w:pPr>
      <w:r>
        <w:rPr>
          <w:i w:val="0"/>
          <w:sz w:val="16"/>
        </w:rPr>
        <w:t xml:space="preserve">A. McGovern et al., “Making the black box more transparent: Understanding the physical implications of machine learning,” </w:t>
      </w:r>
      <w:r>
        <w:rPr>
          <w:i/>
          <w:sz w:val="16"/>
        </w:rPr>
        <w:t>Bull. Amer. Meteorol. Soc.</w:t>
      </w:r>
      <w:r>
        <w:rPr>
          <w:i w:val="0"/>
          <w:sz w:val="16"/>
        </w:rPr>
        <w:t>, vol. 100, no. 11, pp. 2175–2199, Nov. 2019, doi: 10.1175/BAMS-D-18-0195.1.</w:t>
      </w:r>
    </w:p>
    <w:p>
      <w:pPr>
        <w:numPr>
          <w:ilvl w:val="0"/>
          <w:numId w:val="1"/>
        </w:numPr>
        <w:ind w:left="360" w:hanging="360"/>
        <w:jc w:val="both"/>
        <w:rPr>
          <w:sz w:val="16"/>
          <w:szCs w:val="16"/>
        </w:rPr>
      </w:pPr>
      <w:r>
        <w:rPr>
          <w:i w:val="0"/>
          <w:sz w:val="16"/>
        </w:rPr>
        <w:t xml:space="preserve">S. M. Lundberg and S.-I. Lee, “A unified approach to interpreting model predictions,” in </w:t>
      </w:r>
      <w:r>
        <w:rPr>
          <w:i/>
          <w:sz w:val="16"/>
        </w:rPr>
        <w:t>Proc. Adv. Neural Inf. Process. Syst. (NeurIPS)</w:t>
      </w:r>
      <w:r>
        <w:rPr>
          <w:i w:val="0"/>
          <w:sz w:val="16"/>
        </w:rPr>
        <w:t>, vol. 30, Long Beach, CA, USA, 2017, pp. 4765–4774.</w:t>
      </w:r>
    </w:p>
    <w:p>
      <w:pPr>
        <w:numPr>
          <w:ilvl w:val="0"/>
          <w:numId w:val="1"/>
        </w:numPr>
        <w:ind w:left="360" w:hanging="360"/>
        <w:jc w:val="both"/>
        <w:rPr>
          <w:sz w:val="16"/>
          <w:szCs w:val="16"/>
        </w:rPr>
      </w:pPr>
      <w:r>
        <w:rPr>
          <w:i w:val="0"/>
          <w:sz w:val="16"/>
        </w:rPr>
        <w:t xml:space="preserve">S. M. Lundberg et al., “From local explanations to global understanding with explainable AI for trees,” </w:t>
      </w:r>
      <w:r>
        <w:rPr>
          <w:i/>
          <w:sz w:val="16"/>
        </w:rPr>
        <w:t>Nat. Mach. Intell.</w:t>
      </w:r>
      <w:r>
        <w:rPr>
          <w:i w:val="0"/>
          <w:sz w:val="16"/>
        </w:rPr>
        <w:t>, vol. 2, no. 1, pp. 56–67, Jan. 2020, doi: 10.1038/s42256-019-0138-9.</w:t>
      </w:r>
    </w:p>
    <w:p>
      <w:pPr>
        <w:numPr>
          <w:ilvl w:val="0"/>
          <w:numId w:val="1"/>
        </w:numPr>
        <w:ind w:left="360" w:hanging="360"/>
        <w:jc w:val="both"/>
        <w:rPr>
          <w:sz w:val="16"/>
          <w:szCs w:val="16"/>
        </w:rPr>
      </w:pPr>
      <w:r>
        <w:rPr>
          <w:i w:val="0"/>
          <w:sz w:val="16"/>
        </w:rPr>
        <w:t xml:space="preserve">I. T. Jolliffe and D. B. Stephenson, Eds., </w:t>
      </w:r>
      <w:r>
        <w:rPr>
          <w:i/>
          <w:sz w:val="16"/>
        </w:rPr>
        <w:t>Forecast Verification: A Practitioner's Guide in Atmospheric Science</w:t>
      </w:r>
      <w:r>
        <w:rPr>
          <w:i w:val="0"/>
          <w:sz w:val="16"/>
        </w:rPr>
        <w:t>, 2nd ed. Chichester, U.K.: Wiley, 2012, doi: 10.1002/9781119960003.</w:t>
      </w:r>
    </w:p>
    <w:p>
      <w:pPr>
        <w:numPr>
          <w:ilvl w:val="0"/>
          <w:numId w:val="1"/>
        </w:numPr>
        <w:ind w:left="360" w:hanging="360"/>
        <w:jc w:val="both"/>
        <w:rPr>
          <w:sz w:val="16"/>
          <w:szCs w:val="16"/>
        </w:rPr>
      </w:pPr>
      <w:r>
        <w:rPr>
          <w:i w:val="0"/>
          <w:sz w:val="16"/>
        </w:rPr>
        <w:t xml:space="preserve">D. S. Wilks, </w:t>
      </w:r>
      <w:r>
        <w:rPr>
          <w:i/>
          <w:sz w:val="16"/>
        </w:rPr>
        <w:t>Statistical Methods in the Atmospheric Sciences</w:t>
      </w:r>
      <w:r>
        <w:rPr>
          <w:i w:val="0"/>
          <w:sz w:val="16"/>
        </w:rPr>
        <w:t>, 4th ed. Amsterdam, The Netherlands: Elsevier, 2019, doi: 10.1016/C2017-0-03921-6.</w:t>
      </w:r>
    </w:p>
    <w:p>
      <w:pPr>
        <w:numPr>
          <w:ilvl w:val="0"/>
          <w:numId w:val="1"/>
        </w:numPr>
        <w:ind w:left="360" w:hanging="360"/>
        <w:jc w:val="both"/>
        <w:rPr>
          <w:sz w:val="16"/>
          <w:szCs w:val="16"/>
        </w:rPr>
      </w:pPr>
      <w:r>
        <w:rPr>
          <w:i w:val="0"/>
          <w:sz w:val="16"/>
        </w:rPr>
        <w:t xml:space="preserve">G. Mahringer, “Terminal aerodrome forecast verification in Austro Control using time windows and ranges of forecast conditions,” </w:t>
      </w:r>
      <w:r>
        <w:rPr>
          <w:i/>
          <w:sz w:val="16"/>
        </w:rPr>
        <w:t>Meteorol. Appl.</w:t>
      </w:r>
      <w:r>
        <w:rPr>
          <w:i w:val="0"/>
          <w:sz w:val="16"/>
        </w:rPr>
        <w:t>, vol. 15, no. 1, pp. 113–123, Mar. 2008, doi: 10.1002/met.62.</w:t>
      </w:r>
    </w:p>
    <w:p>
      <w:pPr>
        <w:numPr>
          <w:ilvl w:val="0"/>
          <w:numId w:val="1"/>
        </w:numPr>
        <w:ind w:left="360" w:hanging="360"/>
        <w:jc w:val="both"/>
        <w:rPr>
          <w:sz w:val="16"/>
          <w:szCs w:val="16"/>
        </w:rPr>
      </w:pPr>
      <w:r>
        <w:rPr>
          <w:i w:val="0"/>
          <w:sz w:val="16"/>
        </w:rPr>
        <w:t>Iowa Environmental Mesonet, “ASOS-AWOS-METAR data download,” Iowa State Univ., Ames, IA, ABD. [Çevrimiçi]. Erişim: https://mesonet.agron.iastate.edu/request/download.phtml (erişim tarihi 29 Ekim 2026).</w:t>
      </w:r>
    </w:p>
    <w:p>
      <w:pPr>
        <w:numPr>
          <w:ilvl w:val="0"/>
          <w:numId w:val="1"/>
        </w:numPr>
        <w:ind w:left="360" w:hanging="360"/>
        <w:jc w:val="both"/>
        <w:rPr>
          <w:sz w:val="16"/>
          <w:szCs w:val="16"/>
        </w:rPr>
      </w:pPr>
      <w:r>
        <w:rPr>
          <w:i w:val="0"/>
          <w:sz w:val="16"/>
        </w:rPr>
        <w:t>G. Ballester Valor, “Ogimet: METAR, SPECI ve TAF arşivi.” [Çevrimiçi]. Erişim: https://www.ogimet.com (erişim tarihi 29 Ekim 2026).</w:t>
      </w:r>
    </w:p>
    <w:p>
      <w:pPr>
        <w:numPr>
          <w:ilvl w:val="0"/>
          <w:numId w:val="1"/>
        </w:numPr>
        <w:ind w:left="360" w:hanging="360"/>
        <w:jc w:val="both"/>
        <w:rPr>
          <w:sz w:val="16"/>
          <w:szCs w:val="16"/>
        </w:rPr>
      </w:pPr>
      <w:r>
        <w:rPr>
          <w:i w:val="0"/>
          <w:sz w:val="16"/>
        </w:rPr>
        <w:t>NOAA Aviation Weather Center, “Data API.” [Çevrimiçi]. Erişim: https://aviationweather.gov/data/api/ (erişim tarihi 29 Ekim 2026).</w:t>
      </w:r>
    </w:p>
    <w:p>
      <w:pPr>
        <w:numPr>
          <w:ilvl w:val="0"/>
          <w:numId w:val="1"/>
        </w:numPr>
        <w:ind w:left="360" w:hanging="360"/>
        <w:jc w:val="both"/>
        <w:rPr>
          <w:sz w:val="16"/>
          <w:szCs w:val="16"/>
        </w:rPr>
      </w:pPr>
      <w:r>
        <w:rPr>
          <w:i/>
          <w:sz w:val="16"/>
        </w:rPr>
        <w:t>Manual on Codes—International Codes, Volume I.1, Part A: Alphanumeric Codes</w:t>
      </w:r>
      <w:r>
        <w:rPr>
          <w:i w:val="0"/>
          <w:sz w:val="16"/>
        </w:rPr>
        <w:t>, WMO-No. 306, World Meteorological Organization, Geneva, Switzerland, 2019.</w:t>
      </w:r>
    </w:p>
    <w:p>
      <w:pPr>
        <w:numPr>
          <w:ilvl w:val="0"/>
          <w:numId w:val="1"/>
        </w:numPr>
        <w:ind w:left="360" w:hanging="360"/>
        <w:jc w:val="both"/>
        <w:rPr>
          <w:sz w:val="16"/>
          <w:szCs w:val="16"/>
        </w:rPr>
      </w:pPr>
      <w:r>
        <w:rPr>
          <w:i/>
          <w:sz w:val="16"/>
        </w:rPr>
        <w:t>Meteorological Service for International Air Navigation, Annex 3 to the Convention on International Civil Aviation</w:t>
      </w:r>
      <w:r>
        <w:rPr>
          <w:i w:val="0"/>
          <w:sz w:val="16"/>
        </w:rPr>
        <w:t>, 20th ed., International Civil Aviation Organization, Montréal, QC, Canada, 2018.</w:t>
      </w:r>
    </w:p>
    <w:p>
      <w:pPr>
        <w:numPr>
          <w:ilvl w:val="0"/>
          <w:numId w:val="1"/>
        </w:numPr>
        <w:ind w:left="360" w:hanging="360"/>
        <w:jc w:val="both"/>
        <w:rPr>
          <w:sz w:val="16"/>
          <w:szCs w:val="16"/>
        </w:rPr>
      </w:pPr>
      <w:r>
        <w:rPr>
          <w:i/>
          <w:sz w:val="16"/>
        </w:rPr>
        <w:t>Manual of All-Weather Operations</w:t>
      </w:r>
      <w:r>
        <w:rPr>
          <w:i w:val="0"/>
          <w:sz w:val="16"/>
        </w:rPr>
        <w:t>, Doc 9365-AN/910, 4th ed., International Civil Aviation Organization, Montréal, QC, Canada, 2017.</w:t>
      </w:r>
    </w:p>
    <w:p>
      <w:pPr>
        <w:numPr>
          <w:ilvl w:val="0"/>
          <w:numId w:val="1"/>
        </w:numPr>
        <w:ind w:left="360" w:hanging="360"/>
        <w:jc w:val="both"/>
        <w:rPr>
          <w:sz w:val="16"/>
          <w:szCs w:val="16"/>
        </w:rPr>
      </w:pPr>
      <w:r>
        <w:rPr>
          <w:i/>
          <w:sz w:val="16"/>
        </w:rPr>
        <w:t>Manual of Runway Visual Range Observing and Reporting Practices</w:t>
      </w:r>
      <w:r>
        <w:rPr>
          <w:i w:val="0"/>
          <w:sz w:val="16"/>
        </w:rPr>
        <w:t>, Doc 9328-AN/908, 3rd ed., International Civil Aviation Organization, Montréal, QC, Canada, 2005.</w:t>
      </w:r>
    </w:p>
    <w:p>
      <w:pPr>
        <w:numPr>
          <w:ilvl w:val="0"/>
          <w:numId w:val="1"/>
        </w:numPr>
        <w:ind w:left="360" w:hanging="360"/>
        <w:jc w:val="both"/>
        <w:rPr>
          <w:sz w:val="16"/>
          <w:szCs w:val="16"/>
        </w:rPr>
      </w:pPr>
      <w:r>
        <w:rPr>
          <w:i w:val="0"/>
          <w:sz w:val="16"/>
        </w:rPr>
        <w:t xml:space="preserve">E. Frank and M. Hall, “A simple approach to ordinal classification,” in </w:t>
      </w:r>
      <w:r>
        <w:rPr>
          <w:i/>
          <w:sz w:val="16"/>
        </w:rPr>
        <w:t>Machine Learning: ECML 2001</w:t>
      </w:r>
      <w:r>
        <w:rPr>
          <w:i w:val="0"/>
          <w:sz w:val="16"/>
        </w:rPr>
        <w:t xml:space="preserve"> (Lecture Notes in Computer Science, vol. 2167). Berlin, Germany: Springer, 2001, pp. 145–156, doi: 10.1007/3-540-44795-4_13.</w:t>
      </w:r>
    </w:p>
    <w:p>
      <w:pPr>
        <w:numPr>
          <w:ilvl w:val="0"/>
          <w:numId w:val="1"/>
        </w:numPr>
        <w:ind w:left="360" w:hanging="360"/>
        <w:jc w:val="both"/>
        <w:rPr>
          <w:sz w:val="16"/>
          <w:szCs w:val="16"/>
        </w:rPr>
      </w:pPr>
      <w:r>
        <w:rPr>
          <w:i w:val="0"/>
          <w:sz w:val="16"/>
        </w:rPr>
        <w:t xml:space="preserve">O. A. Alduchov and R. E. Eskridge, “Improved Magnus form approximation of saturation vapor pressure,” </w:t>
      </w:r>
      <w:r>
        <w:rPr>
          <w:i/>
          <w:sz w:val="16"/>
        </w:rPr>
        <w:t>J. Appl. Meteorol.</w:t>
      </w:r>
      <w:r>
        <w:rPr>
          <w:i w:val="0"/>
          <w:sz w:val="16"/>
        </w:rPr>
        <w:t>, vol. 35, no. 4, pp. 601–609, Apr. 1996, doi: 10.1175/1520-0450(1996)035&lt;0601:IMFAOS&gt;2.0.CO;2.</w:t>
      </w:r>
    </w:p>
    <w:p>
      <w:pPr>
        <w:numPr>
          <w:ilvl w:val="0"/>
          <w:numId w:val="1"/>
        </w:numPr>
        <w:ind w:left="360" w:hanging="360"/>
        <w:jc w:val="both"/>
        <w:rPr>
          <w:sz w:val="16"/>
          <w:szCs w:val="16"/>
        </w:rPr>
      </w:pPr>
      <w:r>
        <w:rPr>
          <w:i w:val="0"/>
          <w:sz w:val="16"/>
        </w:rPr>
        <w:t xml:space="preserve">J. W. Spencer, “Fourier series representation of the position of the sun,” </w:t>
      </w:r>
      <w:r>
        <w:rPr>
          <w:i/>
          <w:sz w:val="16"/>
        </w:rPr>
        <w:t>Search</w:t>
      </w:r>
      <w:r>
        <w:rPr>
          <w:i w:val="0"/>
          <w:sz w:val="16"/>
        </w:rPr>
        <w:t>, vol. 2, no. 5, p. 172, 1971.</w:t>
      </w:r>
    </w:p>
    <w:p>
      <w:pPr>
        <w:numPr>
          <w:ilvl w:val="0"/>
          <w:numId w:val="1"/>
        </w:numPr>
        <w:ind w:left="360" w:hanging="360"/>
        <w:jc w:val="both"/>
        <w:rPr>
          <w:sz w:val="16"/>
          <w:szCs w:val="16"/>
        </w:rPr>
      </w:pPr>
      <w:r>
        <w:rPr>
          <w:i w:val="0"/>
          <w:sz w:val="16"/>
        </w:rPr>
        <w:t xml:space="preserve">D. R. Cox, “The regression analysis of binary sequences,” </w:t>
      </w:r>
      <w:r>
        <w:rPr>
          <w:i/>
          <w:sz w:val="16"/>
        </w:rPr>
        <w:t>J. R. Stat. Soc. Ser. B</w:t>
      </w:r>
      <w:r>
        <w:rPr>
          <w:i w:val="0"/>
          <w:sz w:val="16"/>
        </w:rPr>
        <w:t>, vol. 20, no. 2, pp. 215–232, Jul. 1958, doi: 10.1111/j.2517-6161.1958.tb00292.x.</w:t>
      </w:r>
    </w:p>
    <w:p>
      <w:pPr>
        <w:numPr>
          <w:ilvl w:val="0"/>
          <w:numId w:val="1"/>
        </w:numPr>
        <w:ind w:left="360" w:hanging="360"/>
        <w:jc w:val="both"/>
        <w:rPr>
          <w:sz w:val="16"/>
          <w:szCs w:val="16"/>
        </w:rPr>
      </w:pPr>
      <w:r>
        <w:rPr>
          <w:i w:val="0"/>
          <w:sz w:val="16"/>
        </w:rPr>
        <w:t xml:space="preserve">L. Breiman, “Random forests,” </w:t>
      </w:r>
      <w:r>
        <w:rPr>
          <w:i/>
          <w:sz w:val="16"/>
        </w:rPr>
        <w:t>Mach. Learn.</w:t>
      </w:r>
      <w:r>
        <w:rPr>
          <w:i w:val="0"/>
          <w:sz w:val="16"/>
        </w:rPr>
        <w:t>, vol. 45, no. 1, pp. 5–32, Oct. 2001, doi: 10.1023/A:1010933404324.</w:t>
      </w:r>
    </w:p>
    <w:p>
      <w:pPr>
        <w:numPr>
          <w:ilvl w:val="0"/>
          <w:numId w:val="1"/>
        </w:numPr>
        <w:ind w:left="360" w:hanging="360"/>
        <w:jc w:val="both"/>
        <w:rPr>
          <w:sz w:val="16"/>
          <w:szCs w:val="16"/>
        </w:rPr>
      </w:pPr>
      <w:r>
        <w:rPr>
          <w:i w:val="0"/>
          <w:sz w:val="16"/>
        </w:rPr>
        <w:t xml:space="preserve">T. Chen and C. Guestrin, “XGBoost: A scalable tree boosting system,” in </w:t>
      </w:r>
      <w:r>
        <w:rPr>
          <w:i/>
          <w:sz w:val="16"/>
        </w:rPr>
        <w:t>Proc. 22nd ACM SIGKDD Int. Conf. Knowl. Discov. Data Mining</w:t>
      </w:r>
      <w:r>
        <w:rPr>
          <w:i w:val="0"/>
          <w:sz w:val="16"/>
        </w:rPr>
        <w:t>, San Francisco, CA, USA, Aug. 2016, pp. 785–794, doi: 10.1145/2939672.2939785.</w:t>
      </w:r>
    </w:p>
    <w:p>
      <w:pPr>
        <w:numPr>
          <w:ilvl w:val="0"/>
          <w:numId w:val="1"/>
        </w:numPr>
        <w:ind w:left="360" w:hanging="360"/>
        <w:jc w:val="both"/>
        <w:rPr>
          <w:sz w:val="16"/>
          <w:szCs w:val="16"/>
        </w:rPr>
      </w:pPr>
      <w:r>
        <w:rPr>
          <w:i w:val="0"/>
          <w:sz w:val="16"/>
        </w:rPr>
        <w:t xml:space="preserve">G. Ke et al., “LightGBM: A highly efficient gradient boosting decision tree,” in </w:t>
      </w:r>
      <w:r>
        <w:rPr>
          <w:i/>
          <w:sz w:val="16"/>
        </w:rPr>
        <w:t>Proc. Adv. Neural Inf. Process. Syst. (NeurIPS)</w:t>
      </w:r>
      <w:r>
        <w:rPr>
          <w:i w:val="0"/>
          <w:sz w:val="16"/>
        </w:rPr>
        <w:t>, vol. 30, Long Beach, CA, USA, 2017, pp. 3146–3154.</w:t>
      </w:r>
    </w:p>
    <w:p>
      <w:pPr>
        <w:numPr>
          <w:ilvl w:val="0"/>
          <w:numId w:val="1"/>
        </w:numPr>
        <w:ind w:left="360" w:hanging="360"/>
        <w:jc w:val="both"/>
        <w:rPr>
          <w:sz w:val="16"/>
          <w:szCs w:val="16"/>
        </w:rPr>
      </w:pPr>
      <w:r>
        <w:rPr>
          <w:i w:val="0"/>
          <w:sz w:val="16"/>
        </w:rPr>
        <w:t xml:space="preserve">T. Akiba, S. Sano, T. Yanase, T. Ohta, and M. Koyama, “Optuna: A next-generation hyperparameter optimization framework,” in </w:t>
      </w:r>
      <w:r>
        <w:rPr>
          <w:i/>
          <w:sz w:val="16"/>
        </w:rPr>
        <w:t>Proc. 25th ACM SIGKDD Int. Conf. Knowl. Discov. Data Mining</w:t>
      </w:r>
      <w:r>
        <w:rPr>
          <w:i w:val="0"/>
          <w:sz w:val="16"/>
        </w:rPr>
        <w:t>, Anchorage, AK, USA, Jul. 2019, pp. 2623–2631, doi: 10.1145/3292500.3330701.</w:t>
      </w:r>
    </w:p>
    <w:p>
      <w:pPr>
        <w:numPr>
          <w:ilvl w:val="0"/>
          <w:numId w:val="1"/>
        </w:numPr>
        <w:ind w:left="360" w:hanging="360"/>
        <w:jc w:val="both"/>
        <w:rPr>
          <w:sz w:val="16"/>
          <w:szCs w:val="16"/>
        </w:rPr>
      </w:pPr>
      <w:r>
        <w:rPr>
          <w:i w:val="0"/>
          <w:sz w:val="16"/>
        </w:rPr>
        <w:t xml:space="preserve">S. Hochreiter and J. Schmidhuber, “Long short-term memory,” </w:t>
      </w:r>
      <w:r>
        <w:rPr>
          <w:i/>
          <w:sz w:val="16"/>
        </w:rPr>
        <w:t>Neural Comput.</w:t>
      </w:r>
      <w:r>
        <w:rPr>
          <w:i w:val="0"/>
          <w:sz w:val="16"/>
        </w:rPr>
        <w:t>, vol. 9, no. 8, pp. 1735–1780, Nov. 1997, doi: 10.1162/neco.1997.9.8.1735.</w:t>
      </w:r>
    </w:p>
    <w:p>
      <w:pPr>
        <w:numPr>
          <w:ilvl w:val="0"/>
          <w:numId w:val="1"/>
        </w:numPr>
        <w:ind w:left="360" w:hanging="360"/>
        <w:jc w:val="both"/>
        <w:rPr>
          <w:sz w:val="16"/>
          <w:szCs w:val="16"/>
        </w:rPr>
      </w:pPr>
      <w:r>
        <w:rPr>
          <w:i w:val="0"/>
          <w:sz w:val="16"/>
        </w:rPr>
        <w:t xml:space="preserve">K. Cho et al., “Learning phrase representations using RNN encoder–decoder for statistical machine translation,” in </w:t>
      </w:r>
      <w:r>
        <w:rPr>
          <w:i/>
          <w:sz w:val="16"/>
        </w:rPr>
        <w:t>Proc. Conf. Empirical Methods Natural Lang. Process. (EMNLP)</w:t>
      </w:r>
      <w:r>
        <w:rPr>
          <w:i w:val="0"/>
          <w:sz w:val="16"/>
        </w:rPr>
        <w:t>, Doha, Qatar, 2014, pp. 1724–1734, doi: 10.3115/v1/D14-1179.</w:t>
      </w:r>
    </w:p>
    <w:p>
      <w:pPr>
        <w:numPr>
          <w:ilvl w:val="0"/>
          <w:numId w:val="1"/>
        </w:numPr>
        <w:ind w:left="360" w:hanging="360"/>
        <w:jc w:val="both"/>
        <w:rPr>
          <w:sz w:val="16"/>
          <w:szCs w:val="16"/>
        </w:rPr>
      </w:pPr>
      <w:r>
        <w:rPr>
          <w:i w:val="0"/>
          <w:sz w:val="16"/>
        </w:rPr>
        <w:t xml:space="preserve">I. Loshchilov and F. Hutter, “Decoupled weight decay regularization,” in </w:t>
      </w:r>
      <w:r>
        <w:rPr>
          <w:i/>
          <w:sz w:val="16"/>
        </w:rPr>
        <w:t>Proc. Int. Conf. Learn. Represent. (ICLR)</w:t>
      </w:r>
      <w:r>
        <w:rPr>
          <w:i w:val="0"/>
          <w:sz w:val="16"/>
        </w:rPr>
        <w:t>, New Orleans, LA, USA, 2019.</w:t>
      </w:r>
    </w:p>
    <w:p>
      <w:pPr>
        <w:numPr>
          <w:ilvl w:val="0"/>
          <w:numId w:val="1"/>
        </w:numPr>
        <w:ind w:left="360" w:hanging="360"/>
        <w:jc w:val="both"/>
        <w:rPr>
          <w:sz w:val="16"/>
          <w:szCs w:val="16"/>
        </w:rPr>
      </w:pPr>
      <w:r>
        <w:rPr>
          <w:i w:val="0"/>
          <w:sz w:val="16"/>
        </w:rPr>
        <w:t xml:space="preserve">F. Pedregosa et al., “Scikit-learn: Machine learning in Python,” </w:t>
      </w:r>
      <w:r>
        <w:rPr>
          <w:i/>
          <w:sz w:val="16"/>
        </w:rPr>
        <w:t>J. Mach. Learn. Res.</w:t>
      </w:r>
      <w:r>
        <w:rPr>
          <w:i w:val="0"/>
          <w:sz w:val="16"/>
        </w:rPr>
        <w:t>, vol. 12, pp. 2825–2830, 2011.</w:t>
      </w:r>
    </w:p>
    <w:p>
      <w:pPr>
        <w:numPr>
          <w:ilvl w:val="0"/>
          <w:numId w:val="1"/>
        </w:numPr>
        <w:ind w:left="360" w:hanging="360"/>
        <w:jc w:val="both"/>
        <w:rPr>
          <w:sz w:val="16"/>
          <w:szCs w:val="16"/>
        </w:rPr>
      </w:pPr>
      <w:r>
        <w:rPr>
          <w:i w:val="0"/>
          <w:sz w:val="16"/>
        </w:rPr>
        <w:t xml:space="preserve">A. Paszke et al., “PyTorch: An imperative style, high-performance deep learning library,” in </w:t>
      </w:r>
      <w:r>
        <w:rPr>
          <w:i/>
          <w:sz w:val="16"/>
        </w:rPr>
        <w:t>Proc. Adv. Neural Inf. Process. Syst. (NeurIPS)</w:t>
      </w:r>
      <w:r>
        <w:rPr>
          <w:i w:val="0"/>
          <w:sz w:val="16"/>
        </w:rPr>
        <w:t>, vol. 32, Vancouver, BC, Canada, 2019, pp. 8024–8035.</w:t>
      </w:r>
    </w:p>
    <w:p>
      <w:pPr>
        <w:numPr>
          <w:ilvl w:val="0"/>
          <w:numId w:val="1"/>
        </w:numPr>
        <w:ind w:left="360" w:hanging="360"/>
        <w:jc w:val="both"/>
        <w:rPr>
          <w:sz w:val="16"/>
          <w:szCs w:val="16"/>
        </w:rPr>
      </w:pPr>
      <w:r>
        <w:rPr>
          <w:i w:val="0"/>
          <w:sz w:val="16"/>
        </w:rPr>
        <w:t xml:space="preserve">H. He and E. A. Garcia, “Learning from imbalanced data,” </w:t>
      </w:r>
      <w:r>
        <w:rPr>
          <w:i/>
          <w:sz w:val="16"/>
        </w:rPr>
        <w:t>IEEE Trans. Knowl. Data Eng.</w:t>
      </w:r>
      <w:r>
        <w:rPr>
          <w:i w:val="0"/>
          <w:sz w:val="16"/>
        </w:rPr>
        <w:t>, vol. 21, no. 9, pp. 1263–1284, Sep. 2009, doi: 10.1109/TKDE.2008.239.</w:t>
      </w:r>
    </w:p>
    <w:p>
      <w:pPr>
        <w:numPr>
          <w:ilvl w:val="0"/>
          <w:numId w:val="1"/>
        </w:numPr>
        <w:ind w:left="360" w:hanging="360"/>
        <w:jc w:val="both"/>
        <w:rPr>
          <w:sz w:val="16"/>
          <w:szCs w:val="16"/>
        </w:rPr>
      </w:pPr>
      <w:r>
        <w:rPr>
          <w:i w:val="0"/>
          <w:sz w:val="16"/>
        </w:rPr>
        <w:t xml:space="preserve">N. V. Chawla, K. W. Bowyer, L. O. Hall, and W. P. Kegelmeyer, “SMOTE: Synthetic minority over-sampling technique,” </w:t>
      </w:r>
      <w:r>
        <w:rPr>
          <w:i/>
          <w:sz w:val="16"/>
        </w:rPr>
        <w:t>J. Artif. Intell. Res.</w:t>
      </w:r>
      <w:r>
        <w:rPr>
          <w:i w:val="0"/>
          <w:sz w:val="16"/>
        </w:rPr>
        <w:t>, vol. 16, pp. 321–357, Jun. 2002, doi: 10.1613/jair.953.</w:t>
      </w:r>
    </w:p>
    <w:p>
      <w:pPr>
        <w:numPr>
          <w:ilvl w:val="0"/>
          <w:numId w:val="1"/>
        </w:numPr>
        <w:ind w:left="360" w:hanging="360"/>
        <w:jc w:val="both"/>
        <w:rPr>
          <w:sz w:val="16"/>
          <w:szCs w:val="16"/>
        </w:rPr>
      </w:pPr>
      <w:r>
        <w:rPr>
          <w:i w:val="0"/>
          <w:sz w:val="16"/>
        </w:rPr>
        <w:t xml:space="preserve">J. C. Platt, “Probabilistic outputs for support vector machines and comparisons to regularized likelihood methods,” in </w:t>
      </w:r>
      <w:r>
        <w:rPr>
          <w:i/>
          <w:sz w:val="16"/>
        </w:rPr>
        <w:t>Advances in Large Margin Classifiers</w:t>
      </w:r>
      <w:r>
        <w:rPr>
          <w:i w:val="0"/>
          <w:sz w:val="16"/>
        </w:rPr>
        <w:t>, A. J. Smola, P. Bartlett, B. Schölkopf, and D. Schuurmans, Eds. Cambridge, MA, USA: MIT Press, 1999, pp. 61–74.</w:t>
      </w:r>
    </w:p>
    <w:p>
      <w:pPr>
        <w:numPr>
          <w:ilvl w:val="0"/>
          <w:numId w:val="1"/>
        </w:numPr>
        <w:ind w:left="360" w:hanging="360"/>
        <w:jc w:val="both"/>
        <w:rPr>
          <w:sz w:val="16"/>
          <w:szCs w:val="16"/>
        </w:rPr>
      </w:pPr>
      <w:r>
        <w:rPr>
          <w:i w:val="0"/>
          <w:sz w:val="16"/>
        </w:rPr>
        <w:t xml:space="preserve">B. Zadrozny and C. Elkan, “Transforming classifier scores into accurate multiclass probability estimates,” in </w:t>
      </w:r>
      <w:r>
        <w:rPr>
          <w:i/>
          <w:sz w:val="16"/>
        </w:rPr>
        <w:t>Proc. 8th ACM SIGKDD Int. Conf. Knowl. Discov. Data Mining</w:t>
      </w:r>
      <w:r>
        <w:rPr>
          <w:i w:val="0"/>
          <w:sz w:val="16"/>
        </w:rPr>
        <w:t>, Edmonton, AB, Canada, Jul. 2002, pp. 694–699, doi: 10.1145/775047.775151.</w:t>
      </w:r>
    </w:p>
    <w:p>
      <w:pPr>
        <w:numPr>
          <w:ilvl w:val="0"/>
          <w:numId w:val="1"/>
        </w:numPr>
        <w:ind w:left="360" w:hanging="360"/>
        <w:jc w:val="both"/>
        <w:rPr>
          <w:sz w:val="16"/>
          <w:szCs w:val="16"/>
        </w:rPr>
      </w:pPr>
      <w:r>
        <w:rPr>
          <w:i w:val="0"/>
          <w:sz w:val="16"/>
        </w:rPr>
        <w:t xml:space="preserve">A. Niculescu-Mizil and R. Caruana, “Predicting good probabilities with supervised learning,” in </w:t>
      </w:r>
      <w:r>
        <w:rPr>
          <w:i/>
          <w:sz w:val="16"/>
        </w:rPr>
        <w:t>Proc. 22nd Int. Conf. Mach. Learn. (ICML)</w:t>
      </w:r>
      <w:r>
        <w:rPr>
          <w:i w:val="0"/>
          <w:sz w:val="16"/>
        </w:rPr>
        <w:t>, Bonn, Germany, 2005, pp. 625–632, doi: 10.1145/1102351.1102430.</w:t>
      </w:r>
    </w:p>
    <w:p>
      <w:pPr>
        <w:numPr>
          <w:ilvl w:val="0"/>
          <w:numId w:val="1"/>
        </w:numPr>
        <w:ind w:left="360" w:hanging="360"/>
        <w:jc w:val="both"/>
        <w:rPr>
          <w:sz w:val="16"/>
          <w:szCs w:val="16"/>
        </w:rPr>
      </w:pPr>
      <w:r>
        <w:rPr>
          <w:i w:val="0"/>
          <w:sz w:val="16"/>
        </w:rPr>
        <w:t xml:space="preserve">S. Kaufman, S. Rosset, C. Perlich, and O. Stitelman, “Leakage in data mining: Formulation, detection, and avoidance,” </w:t>
      </w:r>
      <w:r>
        <w:rPr>
          <w:i/>
          <w:sz w:val="16"/>
        </w:rPr>
        <w:t>ACM Trans. Knowl. Discov. Data</w:t>
      </w:r>
      <w:r>
        <w:rPr>
          <w:i w:val="0"/>
          <w:sz w:val="16"/>
        </w:rPr>
        <w:t>, vol. 6, no. 4, pp. 1–21, Dec. 2012, doi: 10.1145/2382577.2382579.</w:t>
      </w:r>
    </w:p>
    <w:p>
      <w:pPr>
        <w:numPr>
          <w:ilvl w:val="0"/>
          <w:numId w:val="1"/>
        </w:numPr>
        <w:ind w:left="360" w:hanging="360"/>
        <w:jc w:val="both"/>
        <w:rPr>
          <w:sz w:val="16"/>
          <w:szCs w:val="16"/>
        </w:rPr>
      </w:pPr>
      <w:r>
        <w:rPr>
          <w:i w:val="0"/>
          <w:sz w:val="16"/>
        </w:rPr>
        <w:t xml:space="preserve">P. Heidke, “Berechnung des Erfolges und der Güte der Windstärkevorhersagen im Sturmwarnungsdienst,” </w:t>
      </w:r>
      <w:r>
        <w:rPr>
          <w:i/>
          <w:sz w:val="16"/>
        </w:rPr>
        <w:t>Geogr. Ann.</w:t>
      </w:r>
      <w:r>
        <w:rPr>
          <w:i w:val="0"/>
          <w:sz w:val="16"/>
        </w:rPr>
        <w:t>, vol. 8, no. 4, pp. 301–349, Dec. 1926, doi: 10.1080/20014422.1926.11881138.</w:t>
      </w:r>
    </w:p>
    <w:p>
      <w:pPr>
        <w:numPr>
          <w:ilvl w:val="0"/>
          <w:numId w:val="1"/>
        </w:numPr>
        <w:ind w:left="360" w:hanging="360"/>
        <w:jc w:val="both"/>
        <w:rPr>
          <w:sz w:val="16"/>
          <w:szCs w:val="16"/>
        </w:rPr>
      </w:pPr>
      <w:r>
        <w:rPr>
          <w:i w:val="0"/>
          <w:sz w:val="16"/>
        </w:rPr>
        <w:t xml:space="preserve">C. A. Doswell, R. Davies-Jones, and D. L. Keller, “On summary measures of skill in rare event forecasting based on contingency tables,” </w:t>
      </w:r>
      <w:r>
        <w:rPr>
          <w:i/>
          <w:sz w:val="16"/>
        </w:rPr>
        <w:t>Weather Forecast.</w:t>
      </w:r>
      <w:r>
        <w:rPr>
          <w:i w:val="0"/>
          <w:sz w:val="16"/>
        </w:rPr>
        <w:t>, vol. 5, no. 4, pp. 576–585, Dec. 1990, doi: 10.1175/1520-0434(1990)005&lt;0576:OSMOSI&gt;2.0.CO;2.</w:t>
      </w:r>
    </w:p>
    <w:p>
      <w:pPr>
        <w:numPr>
          <w:ilvl w:val="0"/>
          <w:numId w:val="1"/>
        </w:numPr>
        <w:ind w:left="360" w:hanging="360"/>
        <w:jc w:val="both"/>
        <w:rPr>
          <w:sz w:val="16"/>
          <w:szCs w:val="16"/>
        </w:rPr>
      </w:pPr>
      <w:r>
        <w:rPr>
          <w:i w:val="0"/>
          <w:sz w:val="16"/>
        </w:rPr>
        <w:t xml:space="preserve">T. Saito and M. Rehmsmeier, “The precision-recall plot is more informative than the ROC plot when evaluating binary classifiers on imbalanced datasets,” </w:t>
      </w:r>
      <w:r>
        <w:rPr>
          <w:i/>
          <w:sz w:val="16"/>
        </w:rPr>
        <w:t>PLoS One</w:t>
      </w:r>
      <w:r>
        <w:rPr>
          <w:i w:val="0"/>
          <w:sz w:val="16"/>
        </w:rPr>
        <w:t>, vol. 10, no. 3, Art. no. e0118432, Mar. 2015, doi: 10.1371/journal.pone.0118432.</w:t>
      </w:r>
    </w:p>
    <w:p>
      <w:pPr>
        <w:numPr>
          <w:ilvl w:val="0"/>
          <w:numId w:val="1"/>
        </w:numPr>
        <w:ind w:left="360" w:hanging="360"/>
        <w:jc w:val="both"/>
        <w:rPr>
          <w:sz w:val="16"/>
          <w:szCs w:val="16"/>
        </w:rPr>
      </w:pPr>
      <w:r>
        <w:rPr>
          <w:i w:val="0"/>
          <w:sz w:val="16"/>
        </w:rPr>
        <w:t xml:space="preserve">J. Davis and M. Goadrich, “The relationship between precision-recall and ROC curves,” in </w:t>
      </w:r>
      <w:r>
        <w:rPr>
          <w:i/>
          <w:sz w:val="16"/>
        </w:rPr>
        <w:t>Proc. 23rd Int. Conf. Mach. Learn. (ICML)</w:t>
      </w:r>
      <w:r>
        <w:rPr>
          <w:i w:val="0"/>
          <w:sz w:val="16"/>
        </w:rPr>
        <w:t>, Pittsburgh, PA, USA, 2006, pp. 233–240, doi: 10.1145/1143844.1143874.</w:t>
      </w:r>
    </w:p>
    <w:p>
      <w:pPr>
        <w:numPr>
          <w:ilvl w:val="0"/>
          <w:numId w:val="1"/>
        </w:numPr>
        <w:ind w:left="360" w:hanging="360"/>
        <w:jc w:val="both"/>
        <w:rPr>
          <w:sz w:val="16"/>
          <w:szCs w:val="16"/>
        </w:rPr>
      </w:pPr>
      <w:r>
        <w:rPr>
          <w:i w:val="0"/>
          <w:sz w:val="16"/>
        </w:rPr>
        <w:t xml:space="preserve">G. W. Brier, “Verification of forecasts expressed in terms of probability,” </w:t>
      </w:r>
      <w:r>
        <w:rPr>
          <w:i/>
          <w:sz w:val="16"/>
        </w:rPr>
        <w:t>Mon. Weather Rev.</w:t>
      </w:r>
      <w:r>
        <w:rPr>
          <w:i w:val="0"/>
          <w:sz w:val="16"/>
        </w:rPr>
        <w:t>, vol. 78, no. 1, pp. 1–3, Jan. 1950, doi: 10.1175/1520-0493(1950)078&lt;0001:VOFEIT&gt;2.0.CO;2.</w:t>
      </w:r>
    </w:p>
    <w:p>
      <w:pPr>
        <w:numPr>
          <w:ilvl w:val="0"/>
          <w:numId w:val="1"/>
        </w:numPr>
        <w:ind w:left="360" w:hanging="360"/>
        <w:jc w:val="both"/>
        <w:rPr>
          <w:sz w:val="16"/>
          <w:szCs w:val="16"/>
        </w:rPr>
      </w:pPr>
      <w:r>
        <w:rPr>
          <w:i w:val="0"/>
          <w:sz w:val="16"/>
        </w:rPr>
        <w:t xml:space="preserve">A. H. Murphy, “A new vector partition of the probability score,” </w:t>
      </w:r>
      <w:r>
        <w:rPr>
          <w:i/>
          <w:sz w:val="16"/>
        </w:rPr>
        <w:t>J. Appl. Meteorol.</w:t>
      </w:r>
      <w:r>
        <w:rPr>
          <w:i w:val="0"/>
          <w:sz w:val="16"/>
        </w:rPr>
        <w:t>, vol. 12, no. 4, pp. 595–600, Jun. 1973, doi: 10.1175/1520-0450(1973)012&lt;0595:ANVPOT&gt;2.0.CO;2.</w:t>
      </w:r>
    </w:p>
    <w:p>
      <w:pPr>
        <w:numPr>
          <w:ilvl w:val="0"/>
          <w:numId w:val="1"/>
        </w:numPr>
        <w:ind w:left="360" w:hanging="360"/>
        <w:jc w:val="both"/>
        <w:rPr>
          <w:sz w:val="16"/>
          <w:szCs w:val="16"/>
        </w:rPr>
      </w:pPr>
      <w:r>
        <w:rPr>
          <w:i w:val="0"/>
          <w:sz w:val="16"/>
        </w:rPr>
        <w:t xml:space="preserve">E. S. Epstein, “A scoring system for probability forecasts of ranked categories,” </w:t>
      </w:r>
      <w:r>
        <w:rPr>
          <w:i/>
          <w:sz w:val="16"/>
        </w:rPr>
        <w:t>J. Appl. Meteorol.</w:t>
      </w:r>
      <w:r>
        <w:rPr>
          <w:i w:val="0"/>
          <w:sz w:val="16"/>
        </w:rPr>
        <w:t>, vol. 8, no. 6, pp. 985–987, Dec. 1969, doi: 10.1175/1520-0450(1969)008&lt;0985:ASSFPF&gt;2.0.CO;2.</w:t>
      </w:r>
    </w:p>
    <w:p>
      <w:pPr>
        <w:numPr>
          <w:ilvl w:val="0"/>
          <w:numId w:val="1"/>
        </w:numPr>
        <w:ind w:left="360" w:hanging="360"/>
        <w:jc w:val="both"/>
        <w:rPr>
          <w:sz w:val="16"/>
          <w:szCs w:val="16"/>
        </w:rPr>
      </w:pPr>
      <w:r>
        <w:rPr>
          <w:i w:val="0"/>
          <w:sz w:val="16"/>
        </w:rPr>
        <w:t xml:space="preserve">H. R. Künsch, “The jackknife and the bootstrap for general stationary observations,” </w:t>
      </w:r>
      <w:r>
        <w:rPr>
          <w:i/>
          <w:sz w:val="16"/>
        </w:rPr>
        <w:t>Ann. Statist.</w:t>
      </w:r>
      <w:r>
        <w:rPr>
          <w:i w:val="0"/>
          <w:sz w:val="16"/>
        </w:rPr>
        <w:t>, vol. 17, no. 3, pp. 1217–1241, Sep. 1989, doi: 10.1214/aos/1176347265.</w:t>
      </w:r>
    </w:p>
    <w:p>
      <w:pPr>
        <w:numPr>
          <w:ilvl w:val="0"/>
          <w:numId w:val="1"/>
        </w:numPr>
        <w:ind w:left="360" w:hanging="360"/>
        <w:jc w:val="both"/>
        <w:rPr>
          <w:sz w:val="16"/>
          <w:szCs w:val="16"/>
        </w:rPr>
      </w:pPr>
      <w:r>
        <w:rPr>
          <w:i w:val="0"/>
          <w:sz w:val="16"/>
        </w:rPr>
        <w:t xml:space="preserve">D. S. Wilks, “Resampling hypothesis tests for autocorrelated fields,” </w:t>
      </w:r>
      <w:r>
        <w:rPr>
          <w:i/>
          <w:sz w:val="16"/>
        </w:rPr>
        <w:t>J. Climate</w:t>
      </w:r>
      <w:r>
        <w:rPr>
          <w:i w:val="0"/>
          <w:sz w:val="16"/>
        </w:rPr>
        <w:t>, vol. 10, no. 1, pp. 65–82, Jan. 1997, doi: 10.1175/1520-0442(1997)010&lt;0065:RHTFAF&gt;2.0.CO;2.</w:t>
      </w:r>
    </w:p>
    <w:p>
      <w:pPr>
        <w:numPr>
          <w:ilvl w:val="0"/>
          <w:numId w:val="1"/>
        </w:numPr>
        <w:ind w:left="360" w:hanging="360"/>
        <w:jc w:val="both"/>
        <w:rPr>
          <w:sz w:val="16"/>
          <w:szCs w:val="16"/>
        </w:rPr>
      </w:pPr>
      <w:r>
        <w:rPr>
          <w:i w:val="0"/>
          <w:sz w:val="16"/>
        </w:rPr>
        <w:t xml:space="preserve">L. S. Shapley, “A value for n-person games,” in </w:t>
      </w:r>
      <w:r>
        <w:rPr>
          <w:i/>
          <w:sz w:val="16"/>
        </w:rPr>
        <w:t>Contributions to the Theory of Games</w:t>
      </w:r>
      <w:r>
        <w:rPr>
          <w:i w:val="0"/>
          <w:sz w:val="16"/>
        </w:rPr>
        <w:t>, vol. II, H. W. Kuhn and A. W. Tucker, Eds. Princeton, NJ, USA: Princeton Univ. Press, 1953, pp. 307–317, doi: 10.1515/9781400881970-018.</w:t>
      </w:r>
    </w:p>
    <w:p/>
    <w:p>
      <w:pPr>
        <w:jc w:val="both"/>
        <w:rPr>
          <w:rFonts w:ascii="Times" w:eastAsia="Times" w:hAnsi="Times" w:cs="Times"/>
        </w:rPr>
      </w:pPr>
      <w:r>
        <w:rPr>
          <w:b/>
          <w:sz w:val="16"/>
        </w:rPr>
        <w:t>Ata Sakik</w:t>
      </w:r>
      <w:r>
        <w:rPr>
          <w:sz w:val="16"/>
        </w:rPr>
        <w:t xml:space="preserve"> Ankara Üniversitesi Yazılım Mühendisliği Bölümü'nde 4. sınıf lisans öğrencisidir. Araştırma ilgi alanları makine öğrenmesi, açıklanabilir yapay zekâ ve bunların havacılık meteorolojisi ile operasyonel tahmin sistemlerine uygulanmasıdır.</w:t>
      </w:r>
    </w:p>
    <w:sectPr w:rsidR="00732E4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500A" w14:textId="77777777" w:rsidR="00953692" w:rsidRDefault="00953692">
      <w:r>
        <w:separator/>
      </w:r>
    </w:p>
  </w:endnote>
  <w:endnote w:type="continuationSeparator" w:id="0">
    <w:p w14:paraId="36A2CADD" w14:textId="77777777" w:rsidR="00953692" w:rsidRDefault="0095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Klee One"/>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11A1" w14:textId="77777777" w:rsidR="00953692" w:rsidRPr="009A0AA6" w:rsidRDefault="00953692" w:rsidP="009A0AA6">
      <w:pPr>
        <w:pStyle w:val="Footer"/>
      </w:pPr>
    </w:p>
  </w:footnote>
  <w:footnote w:type="continuationSeparator" w:id="0">
    <w:p w14:paraId="604DB351" w14:textId="77777777" w:rsidR="00953692" w:rsidRDefault="00953692">
      <w:r>
        <w:continuationSeparator/>
      </w:r>
    </w:p>
  </w:footnote>
  <w:footnote w:id="1">
    <w:p>
      <w:pPr>
        <w:pStyle w:val="FootnoteText"/>
      </w:pPr>
      <w:r>
        <w:t xml:space="preserve">Bu çalışma, Ankara Üniversitesi Yazılım Mühendisliği Bölümü YMH453 Makine Öğrenmesi dersinin 2026–2027 güz dönemi projesi olarak hazırlanmıştır. Veri seti, kaynak kodlar, eğitilmiş modeller ve web uygulaması https://github.com/AtaSakik/esenboga-fog-nowcasting adresinde açık olarak paylaşılmaktadır.</w:t>
      </w:r>
    </w:p>
    <w:p>
      <w:pPr>
        <w:pStyle w:val="FootnoteText"/>
      </w:pPr>
      <w:r>
        <w:t xml:space="preserve">A. Sakik, Ankara Üniversitesi Yazılım Mühendisliği Bölümü 4. sınıf öğrencisidir, Ankara, Türkiye (öğrenci no. 25290085; e-posta: atasakik0077@hotmail.com).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rPr>
        <w:sz w:val="16"/>
      </w:rPr>
      <w:t xml:space="preserve">YMH453 MAKİNE ÖĞRENMESİ — DÖNEM PROJESİ, ANKARA ÜNİVERSİTESİ, 2026   </w:t>
    </w: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1296E"/>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061A1"/>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369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75BD6"/>
    <w:rsid w:val="00B83635"/>
    <w:rsid w:val="00BC0495"/>
    <w:rsid w:val="00BE4774"/>
    <w:rsid w:val="00C04F49"/>
    <w:rsid w:val="00C16047"/>
    <w:rsid w:val="00C25825"/>
    <w:rsid w:val="00C364D3"/>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96CDD"/>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85036EF5-A3D9-4D1A-9309-8214A043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val="tr-TR"/>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val="tr-TR"/>
    </w:rPr>
  </w:style>
  <w:style w:type="character" w:customStyle="1" w:styleId="TextL-MAGChar">
    <w:name w:val="Text L-MAG Char"/>
    <w:link w:val="TextL-MAG"/>
    <w:rsid w:val="009C7D17"/>
    <w:rPr>
      <w:rFonts w:ascii="Arial" w:eastAsia="MS Mincho" w:hAnsi="Arial"/>
      <w:sz w:val="18"/>
      <w:szCs w:val="22"/>
      <w:lang w:eastAsia="ja-JP" w:val="tr-TR"/>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fontTable" Target="fontTable.xml"/><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26804</Characters>
  <Application>Microsoft Office Word</Application>
  <DocSecurity>0</DocSecurity>
  <Lines>223</Lines>
  <Paragraphs>62</Paragraphs>
  <ScaleCrop>false</ScaleCrop>
  <Company/>
  <LinksUpToDate>false</LinksUpToDate>
  <CharactersWithSpaces>31444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 Sakik</dc:creator>
  <cp:lastModifiedBy>Ata Sakik</cp:lastModifiedBy>
  <cp:revision>2</cp:revision>
  <dcterms:created xsi:type="dcterms:W3CDTF">2024-06-12T13:11:00Z</dcterms:created>
  <dcterms:modified xsi:type="dcterms:W3CDTF">2025-12-03T08:56:00Z</dcterms:modified>
  <dc:title>Ankara Esenboğa Havalimanı'nda Sis ve Düşük Görüş Koşullarının Açıklanabilir Makine Öğrenmesiyle Kısa Vadeli Tahmini</dc:title>
  <dc:subject>YMH453 Machine Learning term project</dc:subject>
  <cp:keywords>Açıklanabilir yapay zekâ, düşük görüş prosedürleri, gradyan artırma, havacılık meteorolojisi, kısa vadeli tahmin, pist görüş mesafesi, sis, yinelemeli sinir ağları.</cp:keywords>
</cp:coreProperties>
</file>