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framePr w:w="0" w:hSpace="0" w:vSpace="0" w:wrap="auto" w:vAnchor="margin" w:hAnchor="text" w:xAlign="left" w:yAlign="inline"/>
      </w:pPr>
      <w:r>
        <w:t>Explainable Machine Learning-Based Nowcasting of Fog and Low Visibility at Ankara Esenboğa Airport</w:t>
      </w:r>
    </w:p>
    <w:p>
      <w:pPr>
        <w:pBdr>
          <w:top w:val="nil"/>
          <w:left w:val="nil"/>
          <w:bottom w:val="nil"/>
          <w:right w:val="nil"/>
          <w:between w:val="nil"/>
        </w:pBdr>
        <w:jc w:val="center"/>
        <w:rPr>
          <w:color w:val="000000"/>
          <w:sz w:val="22"/>
          <w:szCs w:val="22"/>
        </w:rPr>
      </w:pPr>
    </w:p>
    <w:p>
      <w:pPr>
        <w:pBdr>
          <w:top w:val="nil"/>
          <w:left w:val="nil"/>
          <w:bottom w:val="nil"/>
          <w:right w:val="nil"/>
          <w:between w:val="nil"/>
        </w:pBdr>
        <w:jc w:val="center"/>
        <w:rPr>
          <w:color w:val="000000"/>
          <w:sz w:val="22"/>
          <w:szCs w:val="22"/>
        </w:rPr>
      </w:pPr>
      <w:r>
        <w:rPr>
          <w:sz w:val="22"/>
        </w:rPr>
        <w:t>Ata Sakik</w:t>
      </w: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pPr>
        <w:pBdr>
          <w:top w:val="nil"/>
          <w:left w:val="nil"/>
          <w:bottom w:val="nil"/>
          <w:right w:val="nil"/>
          <w:between w:val="nil"/>
        </w:pBdr>
        <w:spacing w:before="20"/>
        <w:ind w:firstLine="202"/>
        <w:jc w:val="both"/>
        <w:rPr>
          <w:b/>
          <w:color w:val="000000"/>
          <w:sz w:val="18"/>
          <w:szCs w:val="18"/>
        </w:rPr>
      </w:pPr>
      <w:r>
        <w:rPr>
          <w:b/>
          <w:i/>
          <w:sz w:val="18"/>
        </w:rPr>
        <w:t>Abstract</w:t>
      </w:r>
      <w:r>
        <w:rPr>
          <w:b/>
          <w:sz w:val="18"/>
        </w:rPr>
        <w:t>—</w:t>
      </w:r>
      <w:r>
        <w:rPr>
          <w:b/>
          <w:sz w:val="18"/>
        </w:rPr>
        <w:t>Fog is the main meteorological cause of delays, diversions and cancellations at Ankara Esenboğa International Airport (LTAC), where more than half of all fog observations require CAT II/III approach procedures. This study presents the first machine-learning nowcasting system for low visibility at LTAC. Using 21.8 years (2005–2026) of quality-controlled METAR/SPECI reports, fog (prevailing visibility below 1000 m) and ILS-oriented runway visual range categories are predicted 1, 3 and 6 h ahead from 77 predictors that describe the current state, tendencies, boundary-layer memory and the solar cycle. Logistic regression, random forest, XGBoost, LightGBM and multi-task GRU/LSTM networks were trained chronologically, calibrated and verified on four independent fog seasons (2022–2026) against persistence, climatology and the official METAR TREND forecast. All models significantly outperform persistence at every lead time: the best critical success index is 0.73, 0.47 and 0.34 at 1, 3 and 6 h, compared with 0.65, 0.32 and 0.13 for persistence, and at 1 h LightGBM exceeds the TREND forecast by 0.105 (95% confidence interval 0.075–0.140). Gradient boosting is best at 1 h, whereas recurrent networks give the highest probabilistic skill at 3–6 h. SHAP analysis reveals a physically consistent shift from the current humidity and visibility state at 1 h to boundary-layer moisture memory and the time to sunrise at 6 h. The calibrated models are deployed in an open-source web application that issues tiered warnings, explains every forecast and verifies itself in real time.</w:t>
      </w:r>
    </w:p>
    <w:p/>
    <w:p>
      <w:pPr>
        <w:jc w:val="both"/>
        <w:rPr>
          <w:b/>
          <w:sz w:val="18"/>
          <w:szCs w:val="18"/>
        </w:rPr>
      </w:pPr>
      <w:r>
        <w:rPr>
          <w:b/>
          <w:i/>
          <w:sz w:val="18"/>
        </w:rPr>
        <w:t>Index Terms</w:t>
      </w:r>
      <w:r>
        <w:rPr>
          <w:b/>
          <w:sz w:val="18"/>
        </w:rPr>
        <w:t>—Aviation meteorology, explainable artificial intelligence, fog, gradient boosting, low-visibility procedures, nowcasting, recurrent neural networks, runway visual range.</w:t>
      </w:r>
    </w:p>
    <w:p>
      <w:pPr>
        <w:pStyle w:val="Heading1"/>
      </w:pPr>
      <w:r>
        <w:t xml:space="preserve">I. </w:t>
      </w:r>
      <w:r>
        <w:t>Introduction</w:t>
      </w:r>
    </w:p>
    <w:p>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F</w:t>
      </w:r>
    </w:p>
    <w:p>
      <w:pPr>
        <w:widowControl w:val="0"/>
        <w:pBdr>
          <w:top w:val="nil"/>
          <w:left w:val="nil"/>
          <w:bottom w:val="nil"/>
          <w:right w:val="nil"/>
          <w:between w:val="nil"/>
        </w:pBdr>
        <w:spacing w:line="252" w:lineRule="auto"/>
        <w:jc w:val="both"/>
      </w:pPr>
      <w:r>
        <w:rPr>
          <w:smallCaps/>
        </w:rPr>
        <w:t>OG</w:t>
      </w:r>
      <w:r>
        <w:t xml:space="preserve"> reduces the horizontal visibility near the ground below 1000 m and is one of the most disruptive weather phenomena for aviation [1], [2]. When visibility or runway visual range (RVR) falls below the minima of the available instrument landing system (ILS) category, an airport must activate low-visibility procedures, reduce its arrival rate or close, which propagates delays, diversions and cancellations through the network [3]. Ankara Esenboğa International Airport (LTAC), the main gateway of the Turkish capital, is particularly exposed: about 89% of its fogs occur between October and February, most of them reduce RVR below 350 m and roughly three quarters are radiation fogs [4]; for 2011–2020 about 800 fog hours were recorded and a single episode in December 2019 lasted almost three days [5].</w:t>
      </w:r>
    </w:p>
    <w:p>
      <w:pPr>
        <w:pStyle w:val="Text"/>
      </w:pPr>
      <w:r>
        <w:t>Despite this operational relevance, the published work on Esenboğa is climatological and synoptic. Çamalan et al. [4] analysed 2000–2009 observations and explicitly recommended the development of fog prediction models, and Koyuncu et al. [5] combined a decadal analysis with a synoptic case study. To the best of our knowledge, no machine-learning (ML) forecast of fog or low visibility has been developed for LTAC. Internationally, statistical and ML nowcasts of fog and low-visibility-procedure states have shown clear skill over persistence at airports such as Vienna [6]–[8] and in many other locations [9], [10], but few studies compare data-driven forecasts with the official aerodrome forecasts under an identical information horizon, and few explain what the models have learnt in physical terms.</w:t>
      </w:r>
    </w:p>
    <w:p>
      <w:pPr>
        <w:pStyle w:val="Text"/>
      </w:pPr>
      <w:r>
        <w:t>This study closes these gaps for LTAC. Its contributions are:</w:t>
      </w:r>
    </w:p>
    <w:p>
      <w:pPr>
        <w:pStyle w:val="Text"/>
      </w:pPr>
      <w:r>
        <w:t>1) a 21.8-year quality-controlled METAR/SPECI data set (2005–2026) whose fog statistics reproduce the published climatology of the airport, released openly together with all code;</w:t>
      </w:r>
    </w:p>
    <w:p>
      <w:pPr>
        <w:pStyle w:val="Text"/>
      </w:pPr>
      <w:r>
        <w:t>2) a benchmark of six model families—logistic regression, random forest, XGBoost, LightGBM, GRU and LSTM—for fog and ILS-category forecasts at 1, 3 and 6 h, with probability calibration, a class-imbalance ablation and day-block bootstrap significance tests against persistence, climatology and the official METAR TREND (and the TAF in an operational window);</w:t>
      </w:r>
    </w:p>
    <w:p>
      <w:pPr>
        <w:pStyle w:val="Text"/>
      </w:pPr>
      <w:r>
        <w:t>3) an ordinal formulation of the RVR/ILS-category forecast and a dedicated analysis of fog onsets and dissipations, the events that matter most for operations;</w:t>
      </w:r>
    </w:p>
    <w:p>
      <w:pPr>
        <w:pStyle w:val="Text"/>
      </w:pPr>
      <w:r>
        <w:t>4) a SHAP-based explanation that connects the learnt relationships to fog physics and shows how the dominant predictors change with lead time; and</w:t>
      </w:r>
    </w:p>
    <w:p>
      <w:pPr>
        <w:pStyle w:val="Text"/>
      </w:pPr>
      <w:r>
        <w:t>5) an open-source web-based early-warning application that runs the identical pipeline on live METARs, issues tiered warnings with explanations and verifies its own forecasts in real time.</w:t>
      </w:r>
    </w:p>
    <w:p>
      <w:pPr>
        <w:pStyle w:val="Text"/>
      </w:pPr>
      <w:r>
        <w:t>The remainder of the paper is organised as follows. Section II reviews related work, Section III describes the airport and the data, Section IV the methodology, Section V the results, and Section VI discusses implications and limitations; Section VII concludes.</w:t>
      </w:r>
    </w:p>
    <w:p>
      <w:pPr>
        <w:pStyle w:val="Heading1"/>
      </w:pPr>
      <w:r>
        <w:t xml:space="preserve">II. </w:t>
      </w:r>
      <w:r>
        <w:t>Related Work</w:t>
      </w:r>
    </w:p>
    <w:p>
      <w:pPr>
        <w:pStyle w:val="Heading2"/>
        <w:numPr>
          <w:ilvl w:val="0"/>
          <w:numId w:val="0"/>
        </w:numPr>
      </w:pPr>
      <w:r>
        <w:t xml:space="preserve">A. </w:t>
      </w:r>
      <w:r>
        <w:t>Fog Physics and Esenboğa</w:t>
      </w:r>
    </w:p>
    <w:p>
      <w:pPr>
        <w:pStyle w:val="Text"/>
      </w:pPr>
      <w:r>
        <w:t>Fog forms when the near-surface air becomes saturated through radiative cooling, advection of moist air or moistening by evaporation, and dissipates through solar heating, mixing or drying [1]. Field campaigns such as ParisFog showed that the life cycle of radiation fog is controlled by a delicate balance of radiative cooling, turbulence, aerosols and surface moisture [2], which explains why numerical weather prediction still struggles with fog [1], [11]. At Esenboğa, Çamalan et al. [4] found that radiation fog accounts for 75% of the fog days of 2000–2009 and that most fog observations fall into the CAT III range (RVR &lt; 350 m), and Koyuncu et al. [5] related a prolonged December 2019 event to a persistent anticyclone and a strong low-level inversion.</w:t>
      </w:r>
    </w:p>
    <w:p>
      <w:pPr>
        <w:pStyle w:val="Heading2"/>
        <w:numPr>
          <w:ilvl w:val="0"/>
          <w:numId w:val="0"/>
        </w:numPr>
      </w:pPr>
      <w:r>
        <w:t xml:space="preserve">B. </w:t>
      </w:r>
      <w:r>
        <w:t>Statistical and Machine-Learning Nowcasting at Airports</w:t>
      </w:r>
    </w:p>
    <w:p>
      <w:pPr>
        <w:pStyle w:val="Text"/>
      </w:pPr>
      <w:r>
        <w:t>Early data-driven approaches used artificial neural networks for fog at Canberra [12], for ceiling and visibility at US airports [13] and for probabilistic visibility forecasts [14]. Herman and Schumacher [11] post-processed reforecasts to improve fog and visibility guidance for aviation. For Vienna International Airport, Kneringer et al. [6] nowcast ordered low-visibility-procedure states with ordered logistic regression up to 2 h ahead, and Dietz et al. showed that tree-based models [7] and boosting [8] improve such forecasts for different planning horizons. Guijo-Rubio et al. [15] treated fog-induced low visibility as an ordinal classification problem, and Castillo-Botón et al. [16] compared regression and classification formulations of many ML methods. Deep learning approaches range from deep networks for airport visibility [17] and climatological visibility forecasting [18] to the three-dimensional convolutional FogNet [19]. Recent reviews [9], [10] confirm the potential of these methods but highlight inconsistent verification practices, rare comparisons with official forecasts and the limited transferability of models between sites [20].</w:t>
      </w:r>
    </w:p>
    <w:p>
      <w:pPr>
        <w:pStyle w:val="Heading2"/>
        <w:numPr>
          <w:ilvl w:val="0"/>
          <w:numId w:val="0"/>
        </w:numPr>
      </w:pPr>
      <w:r>
        <w:t xml:space="preserve">C. </w:t>
      </w:r>
      <w:r>
        <w:t>Explainable AI and Forecast Verification</w:t>
      </w:r>
    </w:p>
    <w:p>
      <w:pPr>
        <w:pStyle w:val="Text"/>
      </w:pPr>
      <w:r>
        <w:t>Explainability is essential for the acceptance of ML forecasts by forecasters [21]. SHAP values [22] provide additive, locally accurate attributions that can be computed exactly for tree ensembles [23]. Aerodrome forecasts are verified with categorical scores derived from contingency tables [24], [25]; because TAFs and TRENDs contain change groups, they are best interpreted as ranges of forecast conditions [26]. The present study combines these strands—calibrated ML, ordinal ILS categories, explicit comparison with the official forecasts and SHAP explanations—in a single, operationally deployed system for an airport that had no data-driven fog forecast.</w:t>
      </w:r>
    </w:p>
    <w:p>
      <w:pPr>
        <w:pStyle w:val="Heading1"/>
      </w:pPr>
      <w:r>
        <w:t xml:space="preserve">III. </w:t>
      </w:r>
      <w:r>
        <w:t>Study Area and Data</w:t>
      </w:r>
    </w:p>
    <w:p>
      <w:pPr>
        <w:pStyle w:val="Heading2"/>
        <w:numPr>
          <w:ilvl w:val="0"/>
          <w:numId w:val="0"/>
        </w:numPr>
      </w:pPr>
      <w:r>
        <w:t xml:space="preserve">A. </w:t>
      </w:r>
      <w:r>
        <w:t>Esenboğa Airport and Its Fog Climate</w:t>
      </w:r>
    </w:p>
    <w:p>
      <w:pPr>
        <w:pStyle w:val="Text"/>
      </w:pPr>
      <w:r>
        <w:t>Ankara Esenboğa International Airport (40.13° N, 32.99° E) lies on a plateau about 28 km north-east of the city centre at an elevation of 953 m. Its continental climate combines long winter nights, frequent anticyclonic stagnation, snow cover and moist boundary layers after frontal precipitation—conditions that favour radiative cooling and fog [4], [5]. Fig. 1 summarises the fog climate in the data set used here. Fog is almost exclusively a cold-season phenomenon: 94.6% of all half-hourly observations with a prevailing visibility below 1000 m fall between October and February, with frequencies of 4.3% in December and 3.7% in January and practically none from June to September. Within the day, fog is most frequent around sunrise (08 LT, 2.8%) and least frequent at 15 LT. The 819.5 fog hours we count for 2011–2020 agree closely with the approximately 800 h reported for that decade by Koyuncu et al. [5], and the share of fog observations with RVR ≤ 350 m (55.5%) confirms the finding of Çamalan et al. [4] that most fogs require CAT III operations. The 537 fog episodes are short—median 2 h—but the 90th percentile reaches 9 h and the longest lasted 35.5 h, so the operational problem is dominated by the timing of onsets and dissipations. The annual number of fog hours has decreased markedly: from about 130 h per year in 2005–2012 to about 50 h per year in 2020–2025.</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295644" cy="1769364"/>
            <wp:docPr id="1" name="Picture 1"/>
            <wp:cNvGraphicFramePr>
              <a:graphicFrameLocks noChangeAspect="1"/>
            </wp:cNvGraphicFramePr>
            <a:graphic>
              <a:graphicData uri="http://schemas.openxmlformats.org/drawingml/2006/picture">
                <pic:pic>
                  <pic:nvPicPr>
                    <pic:cNvPr id="0" name="climatology.png"/>
                    <pic:cNvPicPr/>
                  </pic:nvPicPr>
                  <pic:blipFill>
                    <a:blip r:embed="rId32"/>
                    <a:stretch>
                      <a:fillRect/>
                    </a:stretch>
                  </pic:blipFill>
                  <pic:spPr>
                    <a:xfrm>
                      <a:off x="0" y="0"/>
                      <a:ext cx="6295644" cy="1769364"/>
                    </a:xfrm>
                    <a:prstGeom prst="rect"/>
                  </pic:spPr>
                </pic:pic>
              </a:graphicData>
            </a:graphic>
          </wp:inline>
        </w:drawing>
      </w:r>
    </w:p>
    <w:p>
      <w:pPr>
        <w:pStyle w:val="FigureCaption"/>
        <w:spacing w:after="160"/>
      </w:pPr>
      <w:r>
        <w:rPr>
          <w:sz w:val="16"/>
        </w:rPr>
        <w:t xml:space="preserve">Fig. 1. </w:t>
      </w:r>
      <w:r>
        <w:rPr>
          <w:sz w:val="16"/>
        </w:rPr>
        <w:t>Fog climate of LTAC, 2005–2026 (prevailing visibility &lt; 1000 m). (a) Annual number of fog hours; the shaded decade 2011–2020 is the period analysed by Koyuncu et al. (b) Monthly frequency of fog in the half-hourly observations. (c) Frequency by month and local hour (UTC+3).</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B. </w:t>
      </w:r>
      <w:r>
        <w:t>Observations and Official Forecasts</w:t>
      </w:r>
    </w:p>
    <w:p>
      <w:pPr>
        <w:pStyle w:val="Text"/>
      </w:pPr>
      <w:r>
        <w:t>The study uses the routine half-hourly METARs (issued at HH:20 and HH:50 UTC) and special SPECI reports of January 2005–October 2026. Original report texts were retrieved from the Iowa Environmental Mesonet (IEM) [27]. Older IEM holdings also contain reports reconstructed from the NCEI Integrated Surface Database; as these lack RVR and TREND groups and carry visibility in statute-mile steps, they were discarded and the resulting gaps were filled with original texts from the Ogimet archive [28]. Every METAR includes the forecaster's 2-h TREND forecast (NOSIG, BECMG or TEMPO groups), which serves as the official very-short-range forecast. Terminal aerodrome forecasts (TAFs; 24-h validity, issued four times a day) are available from the NOAA Aviation Weather Center data service [29] for the most recent 30 days only, because the historical TAF archive could not be accessed reliably; they are therefore evaluated in the operational period.</w:t>
      </w:r>
    </w:p>
    <w:p>
      <w:pPr>
        <w:pStyle w:val="Text"/>
      </w:pPr>
      <w:r>
        <w:t>All reports were decoded with a purpose-built WMO FM 15/FM 51 decoder [30] that extracts prevailing and minimum visibility, the RVR of every runway, present and recent weather, cloud layers and vertical visibility, temperature, dew point, QNH and the TREND/TAF change groups; it also repairs frequent keying errors (e.g., "NO SIG", "Q1 015"). Quality control removed NIL and malformed reports, applied physical range checks and a dew-point consistency check, and removed isolated spikes in temperature, dew point and pressure. Table I summarises the resulting data set.</w:t>
      </w:r>
    </w:p>
    <w:p>
      <w:pPr>
        <w:keepNext/>
        <w:widowControl w:val="0"/>
        <w:pBdr>
          <w:top w:val="nil"/>
          <w:left w:val="nil"/>
          <w:bottom w:val="nil"/>
          <w:right w:val="nil"/>
          <w:between w:val="nil"/>
        </w:pBdr>
        <w:spacing w:line="252" w:lineRule="auto"/>
        <w:ind w:firstLine="202"/>
        <w:jc w:val="center"/>
      </w:pPr>
      <w:r>
        <w:rPr>
          <w:sz w:val="16"/>
        </w:rPr>
        <w:t>TABLE I</w:t>
      </w:r>
    </w:p>
    <w:p>
      <w:pPr>
        <w:pStyle w:val="TableTitle"/>
        <w:keepNext/>
        <w:spacing w:after="60"/>
      </w:pPr>
      <w:r>
        <w:rPr>
          <w:sz w:val="16"/>
        </w:rPr>
        <w:t>Characteristics of the LTAC data set</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5184"/>
        <w:gridCol w:w="5184"/>
      </w:tblGrid>
      <w:tr>
        <w:tc>
          <w:tcPr>
            <w:tcW w:type="dxa" w:w="2930"/>
            <w:tcBorders>
              <w:bottom w:val="single" w:sz="4" w:color="000000"/>
            </w:tcBorders>
          </w:tcPr>
          <w:p>
            <w:pPr>
              <w:spacing w:before="10" w:after="10"/>
              <w:jc w:val="left"/>
              <w:rPr>
                <w:sz w:val="14"/>
              </w:rPr>
            </w:pPr>
            <w:r>
              <w:rPr>
                <w:b/>
                <w:sz w:val="14"/>
              </w:rPr>
              <w:t>Quantity</w:t>
            </w:r>
          </w:p>
        </w:tc>
        <w:tc>
          <w:tcPr>
            <w:tcW w:type="dxa" w:w="2038"/>
            <w:tcBorders>
              <w:bottom w:val="single" w:sz="4" w:color="000000"/>
            </w:tcBorders>
          </w:tcPr>
          <w:p>
            <w:pPr>
              <w:spacing w:before="10" w:after="10"/>
              <w:jc w:val="center"/>
              <w:rPr>
                <w:sz w:val="14"/>
              </w:rPr>
            </w:pPr>
            <w:r>
              <w:rPr>
                <w:b/>
                <w:sz w:val="14"/>
              </w:rPr>
              <w:t>Value</w:t>
            </w:r>
          </w:p>
        </w:tc>
      </w:tr>
      <w:tr>
        <w:tc>
          <w:tcPr>
            <w:tcW w:type="dxa" w:w="2930"/>
          </w:tcPr>
          <w:p>
            <w:pPr>
              <w:spacing w:before="10" w:after="10"/>
              <w:jc w:val="left"/>
              <w:rPr>
                <w:sz w:val="14"/>
              </w:rPr>
            </w:pPr>
            <w:r>
              <w:rPr>
                <w:sz w:val="14"/>
              </w:rPr>
              <w:t>Period (UTC)</w:t>
            </w:r>
          </w:p>
        </w:tc>
        <w:tc>
          <w:tcPr>
            <w:tcW w:type="dxa" w:w="2038"/>
          </w:tcPr>
          <w:p>
            <w:pPr>
              <w:spacing w:before="10" w:after="10"/>
              <w:jc w:val="center"/>
              <w:rPr>
                <w:sz w:val="14"/>
              </w:rPr>
            </w:pPr>
            <w:r>
              <w:rPr>
                <w:sz w:val="14"/>
              </w:rPr>
              <w:t>01/2005 – 10/2026</w:t>
            </w:r>
          </w:p>
        </w:tc>
      </w:tr>
      <w:tr>
        <w:tc>
          <w:tcPr>
            <w:tcW w:type="dxa" w:w="2930"/>
          </w:tcPr>
          <w:p>
            <w:pPr>
              <w:spacing w:before="10" w:after="10"/>
              <w:jc w:val="left"/>
              <w:rPr>
                <w:sz w:val="14"/>
              </w:rPr>
            </w:pPr>
            <w:r>
              <w:rPr>
                <w:sz w:val="14"/>
              </w:rPr>
              <w:t>METAR / SPECI reports (after QC)</w:t>
            </w:r>
          </w:p>
        </w:tc>
        <w:tc>
          <w:tcPr>
            <w:tcW w:type="dxa" w:w="2038"/>
          </w:tcPr>
          <w:p>
            <w:pPr>
              <w:spacing w:before="10" w:after="10"/>
              <w:jc w:val="center"/>
              <w:rPr>
                <w:sz w:val="14"/>
              </w:rPr>
            </w:pPr>
            <w:r>
              <w:rPr>
                <w:sz w:val="14"/>
              </w:rPr>
              <w:t>381 408 / 3 610</w:t>
            </w:r>
          </w:p>
        </w:tc>
      </w:tr>
      <w:tr>
        <w:tc>
          <w:tcPr>
            <w:tcW w:type="dxa" w:w="2930"/>
          </w:tcPr>
          <w:p>
            <w:pPr>
              <w:spacing w:before="10" w:after="10"/>
              <w:jc w:val="left"/>
              <w:rPr>
                <w:sz w:val="14"/>
              </w:rPr>
            </w:pPr>
            <w:r>
              <w:rPr>
                <w:sz w:val="14"/>
              </w:rPr>
              <w:t>Sources: IEM / Ogimet (gap filling)</w:t>
            </w:r>
          </w:p>
        </w:tc>
        <w:tc>
          <w:tcPr>
            <w:tcW w:type="dxa" w:w="2038"/>
          </w:tcPr>
          <w:p>
            <w:pPr>
              <w:spacing w:before="10" w:after="10"/>
              <w:jc w:val="center"/>
              <w:rPr>
                <w:sz w:val="14"/>
              </w:rPr>
            </w:pPr>
            <w:r>
              <w:rPr>
                <w:sz w:val="14"/>
              </w:rPr>
              <w:t>364 028 / 20 990</w:t>
            </w:r>
          </w:p>
        </w:tc>
      </w:tr>
      <w:tr>
        <w:tc>
          <w:tcPr>
            <w:tcW w:type="dxa" w:w="2930"/>
          </w:tcPr>
          <w:p>
            <w:pPr>
              <w:spacing w:before="10" w:after="10"/>
              <w:jc w:val="left"/>
              <w:rPr>
                <w:sz w:val="14"/>
              </w:rPr>
            </w:pPr>
            <w:r>
              <w:rPr>
                <w:sz w:val="14"/>
              </w:rPr>
              <w:t>Reports removed or corrected by QC</w:t>
            </w:r>
          </w:p>
        </w:tc>
        <w:tc>
          <w:tcPr>
            <w:tcW w:type="dxa" w:w="2038"/>
          </w:tcPr>
          <w:p>
            <w:pPr>
              <w:spacing w:before="10" w:after="10"/>
              <w:jc w:val="center"/>
              <w:rPr>
                <w:sz w:val="14"/>
              </w:rPr>
            </w:pPr>
            <w:r>
              <w:rPr>
                <w:sz w:val="14"/>
              </w:rPr>
              <w:t>109 / 47</w:t>
            </w:r>
          </w:p>
        </w:tc>
      </w:tr>
      <w:tr>
        <w:tc>
          <w:tcPr>
            <w:tcW w:type="dxa" w:w="2930"/>
          </w:tcPr>
          <w:p>
            <w:pPr>
              <w:spacing w:before="10" w:after="10"/>
              <w:jc w:val="left"/>
              <w:rPr>
                <w:sz w:val="14"/>
              </w:rPr>
            </w:pPr>
            <w:r>
              <w:rPr>
                <w:sz w:val="14"/>
              </w:rPr>
              <w:t>30-min analysis slots (with observation)</w:t>
            </w:r>
          </w:p>
        </w:tc>
        <w:tc>
          <w:tcPr>
            <w:tcW w:type="dxa" w:w="2038"/>
          </w:tcPr>
          <w:p>
            <w:pPr>
              <w:spacing w:before="10" w:after="10"/>
              <w:jc w:val="center"/>
              <w:rPr>
                <w:sz w:val="14"/>
              </w:rPr>
            </w:pPr>
            <w:r>
              <w:rPr>
                <w:sz w:val="14"/>
              </w:rPr>
              <w:t>382 607 (99.7%)</w:t>
            </w:r>
          </w:p>
        </w:tc>
      </w:tr>
      <w:tr>
        <w:tc>
          <w:tcPr>
            <w:tcW w:type="dxa" w:w="2930"/>
          </w:tcPr>
          <w:p>
            <w:pPr>
              <w:spacing w:before="10" w:after="10"/>
              <w:jc w:val="left"/>
              <w:rPr>
                <w:sz w:val="14"/>
              </w:rPr>
            </w:pPr>
            <w:r>
              <w:rPr>
                <w:sz w:val="14"/>
              </w:rPr>
              <w:t>Slots with VIS &lt; 1000 m (rate)</w:t>
            </w:r>
          </w:p>
        </w:tc>
        <w:tc>
          <w:tcPr>
            <w:tcW w:type="dxa" w:w="2038"/>
          </w:tcPr>
          <w:p>
            <w:pPr>
              <w:spacing w:before="10" w:after="10"/>
              <w:jc w:val="center"/>
              <w:rPr>
                <w:sz w:val="14"/>
              </w:rPr>
            </w:pPr>
            <w:r>
              <w:rPr>
                <w:sz w:val="14"/>
              </w:rPr>
              <w:t>3 884 (1.02%)</w:t>
            </w:r>
          </w:p>
        </w:tc>
      </w:tr>
      <w:tr>
        <w:tc>
          <w:tcPr>
            <w:tcW w:type="dxa" w:w="2930"/>
          </w:tcPr>
          <w:p>
            <w:pPr>
              <w:spacing w:before="10" w:after="10"/>
              <w:jc w:val="left"/>
              <w:rPr>
                <w:sz w:val="14"/>
              </w:rPr>
            </w:pPr>
            <w:r>
              <w:rPr>
                <w:sz w:val="14"/>
              </w:rPr>
              <w:t>Fog episodes; median / P90 duration</w:t>
            </w:r>
          </w:p>
        </w:tc>
        <w:tc>
          <w:tcPr>
            <w:tcW w:type="dxa" w:w="2038"/>
          </w:tcPr>
          <w:p>
            <w:pPr>
              <w:spacing w:before="10" w:after="10"/>
              <w:jc w:val="center"/>
              <w:rPr>
                <w:sz w:val="14"/>
              </w:rPr>
            </w:pPr>
            <w:r>
              <w:rPr>
                <w:sz w:val="14"/>
              </w:rPr>
              <w:t>537; 2.0 h / 9.0 h</w:t>
            </w:r>
          </w:p>
        </w:tc>
      </w:tr>
      <w:tr>
        <w:tc>
          <w:tcPr>
            <w:tcW w:type="dxa" w:w="2930"/>
          </w:tcPr>
          <w:p>
            <w:pPr>
              <w:spacing w:before="10" w:after="10"/>
              <w:jc w:val="left"/>
              <w:rPr>
                <w:sz w:val="14"/>
              </w:rPr>
            </w:pPr>
            <w:r>
              <w:rPr>
                <w:sz w:val="14"/>
              </w:rPr>
              <w:t>RVR reported when VIS &lt; 1500 m</w:t>
            </w:r>
          </w:p>
        </w:tc>
        <w:tc>
          <w:tcPr>
            <w:tcW w:type="dxa" w:w="2038"/>
          </w:tcPr>
          <w:p>
            <w:pPr>
              <w:spacing w:before="10" w:after="10"/>
              <w:jc w:val="center"/>
              <w:rPr>
                <w:sz w:val="14"/>
              </w:rPr>
            </w:pPr>
            <w:r>
              <w:rPr>
                <w:sz w:val="14"/>
              </w:rPr>
              <w:t>99.9%</w:t>
            </w:r>
          </w:p>
        </w:tc>
      </w:tr>
      <w:tr>
        <w:tc>
          <w:tcPr>
            <w:tcW w:type="dxa" w:w="2930"/>
          </w:tcPr>
          <w:p>
            <w:pPr>
              <w:spacing w:before="10" w:after="10"/>
              <w:jc w:val="left"/>
              <w:rPr>
                <w:sz w:val="14"/>
              </w:rPr>
            </w:pPr>
            <w:r>
              <w:rPr>
                <w:sz w:val="14"/>
              </w:rPr>
              <w:t>Fog slots with RVR ≤ 350 m</w:t>
            </w:r>
          </w:p>
        </w:tc>
        <w:tc>
          <w:tcPr>
            <w:tcW w:type="dxa" w:w="2038"/>
          </w:tcPr>
          <w:p>
            <w:pPr>
              <w:spacing w:before="10" w:after="10"/>
              <w:jc w:val="center"/>
              <w:rPr>
                <w:sz w:val="14"/>
              </w:rPr>
            </w:pPr>
            <w:r>
              <w:rPr>
                <w:sz w:val="14"/>
              </w:rPr>
              <w:t>55.5%</w:t>
            </w:r>
          </w:p>
        </w:tc>
      </w:tr>
    </w:tbl>
    <w:p>
      <w:pPr>
        <w:spacing w:after="80"/>
      </w:pPr>
    </w:p>
    <w:p>
      <w:pPr>
        <w:pStyle w:val="Heading2"/>
        <w:numPr>
          <w:ilvl w:val="0"/>
          <w:numId w:val="0"/>
        </w:numPr>
      </w:pPr>
      <w:r>
        <w:t xml:space="preserve">C. </w:t>
      </w:r>
      <w:r>
        <w:t>Analysis Grid and Predictands</w:t>
      </w:r>
    </w:p>
    <w:p>
      <w:pPr>
        <w:pStyle w:val="Text"/>
      </w:pPr>
      <w:r>
        <w:t xml:space="preserve">The reports were mapped onto a regular 30-min grid aligned with the routine observation times. The state at grid time </w:t>
      </w:r>
      <w:r>
        <w:rPr>
          <w:i/>
        </w:rPr>
        <w:t>t</w:t>
      </w:r>
      <w:r>
        <w:t xml:space="preserve"> is the latest report issued within </w:t>
      </w:r>
      <w:r>
        <w:t>(</w:t>
      </w:r>
      <w:r>
        <w:rPr>
          <w:i/>
        </w:rPr>
        <w:t>t</w:t>
      </w:r>
      <w:r>
        <w:t xml:space="preserve">−29 </w:t>
      </w:r>
      <w:r>
        <w:t>min</w:t>
      </w:r>
      <w:r>
        <w:t xml:space="preserve">, </w:t>
      </w:r>
      <w:r>
        <w:rPr>
          <w:i/>
        </w:rPr>
        <w:t>t</w:t>
      </w:r>
      <w:r>
        <w:t>]</w:t>
      </w:r>
      <w:r>
        <w:t>, so SPECIs between routine times are honoured but no value is ever interpolated or carried forward; 99.7% of the 382 607 grid slots contain an observation.</w:t>
      </w:r>
    </w:p>
    <w:p>
      <w:pPr>
        <w:pStyle w:val="Text"/>
      </w:pPr>
      <w:r>
        <w:t xml:space="preserve">Two predictands are defined at the valid time </w:t>
      </w:r>
      <w:r>
        <w:rPr>
          <w:i/>
        </w:rPr>
        <w:t>t</w:t>
      </w:r>
      <w:r>
        <w:t>+</w:t>
      </w:r>
      <w:r>
        <w:rPr>
          <w:i/>
        </w:rPr>
        <w:t>h</w:t>
      </w:r>
      <w:r>
        <w:t xml:space="preserve"> for lead times </w:t>
      </w:r>
      <w:r>
        <w:rPr>
          <w:i/>
        </w:rPr>
        <w:t>h</w:t>
      </w:r>
      <w:r>
        <w:t xml:space="preserve"> ∈ {1, 3, 6}</w:t>
      </w:r>
      <w:r>
        <w:t xml:space="preserve"> h. The binary fog event is a prevailing visibility below 1000 m, the ICAO/WMO fog threshold [31]. The ILS category is an ordinal variable based on the minimum RVR reported over all runways: class 0 for RVR ≥ 550 m (CAT I or better), class 1 for 350 ≤ RVR &lt; 550 m (CAT II) and class 2 for RVR &lt; 350 m (CAT III). These boundaries follow the categories used for LTAC by Çamalan et al. [4] and the ICAO guidance on all-weather operations and RVR reporting [32], [33]; current CAT II minima allow RVR down to 300 m, so the 350-m boundary is slightly conservative. RVR is reported only when visibility or RVR is below 1500 m; slots without an RVR group and with visibility ≥ 1500 m are therefore class 0, and in the 0.06% of low-visibility slots with a missing RVR the prevailing visibility is used as a conservative proxy.</w:t>
      </w:r>
    </w:p>
    <w:p>
      <w:pPr>
        <w:pStyle w:val="Heading1"/>
      </w:pPr>
      <w:r>
        <w:t xml:space="preserve">IV. </w:t>
      </w:r>
      <w:r>
        <w:t>Methodology</w:t>
      </w:r>
    </w:p>
    <w:p>
      <w:pPr>
        <w:pStyle w:val="Text"/>
      </w:pPr>
      <w:r>
        <w:t>Fig. 2 shows the data flow from the archives to the verified forecasts and to the operational application.</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5109210" cy="1479042"/>
            <wp:docPr id="2" name="Picture 2"/>
            <wp:cNvGraphicFramePr>
              <a:graphicFrameLocks noChangeAspect="1"/>
            </wp:cNvGraphicFramePr>
            <a:graphic>
              <a:graphicData uri="http://schemas.openxmlformats.org/drawingml/2006/picture">
                <pic:pic>
                  <pic:nvPicPr>
                    <pic:cNvPr id="0" name="architecture.png"/>
                    <pic:cNvPicPr/>
                  </pic:nvPicPr>
                  <pic:blipFill>
                    <a:blip r:embed="rId33"/>
                    <a:stretch>
                      <a:fillRect/>
                    </a:stretch>
                  </pic:blipFill>
                  <pic:spPr>
                    <a:xfrm>
                      <a:off x="0" y="0"/>
                      <a:ext cx="5109210" cy="1479042"/>
                    </a:xfrm>
                    <a:prstGeom prst="rect"/>
                  </pic:spPr>
                </pic:pic>
              </a:graphicData>
            </a:graphic>
          </wp:inline>
        </w:drawing>
      </w:r>
    </w:p>
    <w:p>
      <w:pPr>
        <w:pStyle w:val="FigureCaption"/>
        <w:spacing w:after="160"/>
      </w:pPr>
      <w:r>
        <w:rPr>
          <w:sz w:val="16"/>
        </w:rPr>
        <w:t xml:space="preserve">Fig. 2. </w:t>
      </w:r>
      <w:r>
        <w:rPr>
          <w:sz w:val="16"/>
        </w:rPr>
        <w:t>Data flow of the study and of the operational early-warning application. The web application reuses the decoder, quality control, feature pipeline and calibrated models of the offline study, which guarantees identical offline and online forecasts.</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A. </w:t>
      </w:r>
      <w:r>
        <w:t>Problem Formulation</w:t>
      </w:r>
    </w:p>
    <w:p>
      <w:pPr>
        <w:pStyle w:val="Text"/>
      </w:pPr>
      <w:r>
        <w:t xml:space="preserve">For every grid time </w:t>
      </w:r>
      <w:r>
        <w:rPr>
          <w:i/>
        </w:rPr>
        <w:t>t</w:t>
      </w:r>
      <w:r>
        <w:t xml:space="preserve"> with an observation, a model </w:t>
      </w:r>
      <w:r>
        <w:rPr>
          <w:i/>
        </w:rPr>
        <w:t>f</w:t>
      </w:r>
      <w:r>
        <w:rPr>
          <w:i/>
          <w:vertAlign w:val="subscript"/>
        </w:rPr>
        <w:t>h</w:t>
      </w:r>
      <w:r>
        <w:t xml:space="preserve"> estimates the probability</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sSub>
          <m:e>
            <m:r>
              <m:t>p</m:t>
            </m:r>
          </m:e>
          <m:sub>
            <m:r>
              <m:t>h</m:t>
            </m:r>
          </m:sub>
        </m:sSub>
        <m:r>
          <m:t>(t)=P</m:t>
        </m:r>
        <m:r>
          <m:t>(y(t+h)=1∣𝐱(t))</m:t>
        </m:r>
      </m:oMath>
      <w:r>
        <w:tab/>
      </w:r>
      <w:r>
        <w:t>(1)</w:t>
      </w:r>
    </w:p>
    <w:p>
      <w:pPr>
        <w:pStyle w:val="Text"/>
      </w:pPr>
      <w:r>
        <w:t xml:space="preserve">where </w:t>
      </w:r>
      <w:r>
        <w:rPr>
          <w:b/>
        </w:rPr>
        <w:t>x</w:t>
      </w:r>
      <w:r>
        <w:t>(</w:t>
      </w:r>
      <w:r>
        <w:rPr>
          <w:i/>
        </w:rPr>
        <w:t>t</w:t>
      </w:r>
      <w:r>
        <w:t>)</w:t>
      </w:r>
      <w:r>
        <w:t xml:space="preserve"> is a feature vector computed exclusively from reports issued at or before </w:t>
      </w:r>
      <w:r>
        <w:rPr>
          <w:i/>
        </w:rPr>
        <w:t>t</w:t>
      </w:r>
      <w:r>
        <w:t xml:space="preserve">. Warnings are issued when </w:t>
      </w:r>
      <w:r>
        <w:rPr>
          <w:i/>
        </w:rPr>
        <w:t>p</w:t>
      </w:r>
      <w:r>
        <w:rPr>
          <w:i/>
          <w:vertAlign w:val="subscript"/>
        </w:rPr>
        <w:t>h</w:t>
      </w:r>
      <w:r>
        <w:t>(</w:t>
      </w:r>
      <w:r>
        <w:rPr>
          <w:i/>
        </w:rPr>
        <w:t>t</w:t>
      </w:r>
      <w:r>
        <w:t>)</w:t>
      </w:r>
      <w:r>
        <w:t xml:space="preserve"> exceeds a threshold </w:t>
      </w:r>
      <w:r>
        <w:rPr>
          <w:i/>
        </w:rPr>
        <w:t>τ</w:t>
      </w:r>
      <w:r>
        <w:rPr>
          <w:i/>
          <w:vertAlign w:val="subscript"/>
        </w:rPr>
        <w:t>h</w:t>
      </w:r>
      <w:r>
        <w:t xml:space="preserve">. The ILS category is forecast with the ordinal decomposition of Frank and Hall [34]: two binary models estimate </w:t>
      </w:r>
      <w:r>
        <w:rPr>
          <w:i/>
        </w:rPr>
        <w:t>P</w:t>
      </w:r>
      <w:r>
        <w:rPr>
          <w:i w:val="0"/>
          <w:vertAlign w:val="subscript"/>
        </w:rPr>
        <w:t>550</w:t>
      </w:r>
      <w:r>
        <w:t>=</w:t>
      </w:r>
      <w:r>
        <w:rPr>
          <w:i/>
        </w:rPr>
        <w:t>P</w:t>
      </w:r>
      <w:r>
        <w:t>(</w:t>
      </w:r>
      <w:r>
        <w:t>RVR</w:t>
      </w:r>
      <w:r>
        <w:t xml:space="preserve">&lt;550 </w:t>
      </w:r>
      <w:r>
        <w:t>m</w:t>
      </w:r>
      <w:r>
        <w:t>)</w:t>
      </w:r>
      <w:r>
        <w:t xml:space="preserve"> and </w:t>
      </w:r>
      <w:r>
        <w:rPr>
          <w:i/>
        </w:rPr>
        <w:t>P</w:t>
      </w:r>
      <w:r>
        <w:rPr>
          <w:i w:val="0"/>
          <w:vertAlign w:val="subscript"/>
        </w:rPr>
        <w:t>350</w:t>
      </w:r>
      <w:r>
        <w:t>=</w:t>
      </w:r>
      <w:r>
        <w:rPr>
          <w:i/>
        </w:rPr>
        <w:t>P</w:t>
      </w:r>
      <w:r>
        <w:t>(</w:t>
      </w:r>
      <w:r>
        <w:t>RVR</w:t>
      </w:r>
      <w:r>
        <w:t xml:space="preserve">&lt;350 </w:t>
      </w:r>
      <w:r>
        <w:t>m</w:t>
      </w:r>
      <w:r>
        <w:t>)</w:t>
      </w:r>
      <w:r>
        <w:t xml:space="preserve">, from which the class probabilities </w:t>
      </w:r>
      <w:r>
        <w:t>1−</w:t>
      </w:r>
      <w:r>
        <w:rPr>
          <w:i/>
        </w:rPr>
        <w:t>P</w:t>
      </w:r>
      <w:r>
        <w:rPr>
          <w:i w:val="0"/>
          <w:vertAlign w:val="subscript"/>
        </w:rPr>
        <w:t>550</w:t>
      </w:r>
      <w:r>
        <w:t xml:space="preserve">, </w:t>
      </w:r>
      <w:r>
        <w:rPr>
          <w:i/>
        </w:rPr>
        <w:t>P</w:t>
      </w:r>
      <w:r>
        <w:rPr>
          <w:i w:val="0"/>
          <w:vertAlign w:val="subscript"/>
        </w:rPr>
        <w:t>550</w:t>
      </w:r>
      <w:r>
        <w:t>-</w:t>
      </w:r>
      <w:r>
        <w:rPr>
          <w:i/>
        </w:rPr>
        <w:t>P</w:t>
      </w:r>
      <w:r>
        <w:rPr>
          <w:i w:val="0"/>
          <w:vertAlign w:val="subscript"/>
        </w:rPr>
        <w:t>350</w:t>
      </w:r>
      <w:r>
        <w:t xml:space="preserve"> and </w:t>
      </w:r>
      <w:r>
        <w:rPr>
          <w:i/>
        </w:rPr>
        <w:t>P</w:t>
      </w:r>
      <w:r>
        <w:rPr>
          <w:i w:val="0"/>
          <w:vertAlign w:val="subscript"/>
        </w:rPr>
        <w:t>350</w:t>
      </w:r>
      <w:r>
        <w:t xml:space="preserve"> follow, with </w:t>
      </w:r>
      <w:r>
        <w:rPr>
          <w:i/>
        </w:rPr>
        <w:t>P</w:t>
      </w:r>
      <w:r>
        <w:rPr>
          <w:i w:val="0"/>
          <w:vertAlign w:val="subscript"/>
        </w:rPr>
        <w:t>350</w:t>
      </w:r>
      <w:r>
        <w:t xml:space="preserve">≤ </w:t>
      </w:r>
      <w:r>
        <w:rPr>
          <w:i/>
        </w:rPr>
        <w:t>P</w:t>
      </w:r>
      <w:r>
        <w:rPr>
          <w:i w:val="0"/>
          <w:vertAlign w:val="subscript"/>
        </w:rPr>
        <w:t>550</w:t>
      </w:r>
      <w:r>
        <w:t xml:space="preserve"> enforced.</w:t>
      </w:r>
    </w:p>
    <w:p>
      <w:pPr>
        <w:pStyle w:val="Heading2"/>
        <w:numPr>
          <w:ilvl w:val="0"/>
          <w:numId w:val="0"/>
        </w:numPr>
      </w:pPr>
      <w:r>
        <w:t xml:space="preserve">B. </w:t>
      </w:r>
      <w:r>
        <w:t>Feature Engineering</w:t>
      </w:r>
    </w:p>
    <w:p>
      <w:pPr>
        <w:pStyle w:val="Text"/>
      </w:pPr>
      <w:r>
        <w:t xml:space="preserve">The 77 predictors are summarised by group in Table II. They describe (i) the current state—visibility, RVR, temperature </w:t>
      </w:r>
      <w:r>
        <w:rPr>
          <w:i/>
        </w:rPr>
        <w:t>T</w:t>
      </w:r>
      <w:r>
        <w:t xml:space="preserve">, dew point </w:t>
      </w:r>
      <w:r>
        <w:rPr>
          <w:i/>
        </w:rPr>
        <w:t>T</w:t>
      </w:r>
      <w:r>
        <w:rPr>
          <w:i/>
          <w:vertAlign w:val="subscript"/>
        </w:rPr>
        <w:t>d</w:t>
      </w:r>
      <w:r>
        <w:t xml:space="preserve">, dew-point depression </w:t>
      </w:r>
      <w:r>
        <w:rPr>
          <w:i/>
        </w:rPr>
        <w:t>T</w:t>
      </w:r>
      <w:r>
        <w:t>−</w:t>
      </w:r>
      <w:r>
        <w:rPr>
          <w:i/>
        </w:rPr>
        <w:t>T</w:t>
      </w:r>
      <w:r>
        <w:rPr>
          <w:i/>
          <w:vertAlign w:val="subscript"/>
        </w:rPr>
        <w:t>d</w:t>
      </w:r>
      <w:r>
        <w:t>, relative humidity from the Magnus formula [35], wind components, a calm flag, QNH, ceiling, cloud base and cover; (ii) present weather (fog, shallow or patchy fog, mist, haze, drizzle, rain, snow); (iii) 1-, 3- and 6-h tendencies, in particular the nocturnal cooling and the drying or moistening of the surface layer; (iv) memory terms such as the cooling since the 12-h temperature maximum, the fractions of fog, mist, precipitation and snow over the previous 6–72 h and the time since the last fog; and (v) calendar and astronomical terms, including the solar elevation and the time to sunrise at both the issue and the valid time, computed with the NOAA solar-position equations [36]. The valid-time astronomical terms are deterministic and therefore legitimately known in advance.</w:t>
      </w:r>
    </w:p>
    <w:p>
      <w:pPr>
        <w:keepNext/>
        <w:widowControl w:val="0"/>
        <w:pBdr>
          <w:top w:val="nil"/>
          <w:left w:val="nil"/>
          <w:bottom w:val="nil"/>
          <w:right w:val="nil"/>
          <w:between w:val="nil"/>
        </w:pBdr>
        <w:spacing w:line="252" w:lineRule="auto"/>
        <w:ind w:firstLine="202"/>
        <w:jc w:val="center"/>
      </w:pPr>
      <w:r>
        <w:rPr>
          <w:sz w:val="16"/>
        </w:rPr>
        <w:t>TABLE II</w:t>
      </w:r>
    </w:p>
    <w:p>
      <w:pPr>
        <w:pStyle w:val="TableTitle"/>
        <w:keepNext/>
        <w:spacing w:after="60"/>
      </w:pPr>
      <w:r>
        <w:rPr>
          <w:sz w:val="16"/>
        </w:rPr>
        <w:t>Predictor groups (77 features)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3456"/>
        <w:gridCol w:w="3456"/>
        <w:gridCol w:w="3456"/>
      </w:tblGrid>
      <w:tr>
        <w:tc>
          <w:tcPr>
            <w:tcW w:type="dxa" w:w="1192"/>
            <w:tcBorders>
              <w:bottom w:val="single" w:sz="4" w:color="000000"/>
            </w:tcBorders>
          </w:tcPr>
          <w:p>
            <w:pPr>
              <w:spacing w:before="10" w:after="10"/>
              <w:jc w:val="left"/>
              <w:rPr>
                <w:sz w:val="14"/>
              </w:rPr>
            </w:pPr>
            <w:r>
              <w:rPr>
                <w:b/>
                <w:sz w:val="14"/>
              </w:rPr>
              <w:t>Group</w:t>
            </w:r>
          </w:p>
        </w:tc>
        <w:tc>
          <w:tcPr>
            <w:tcW w:type="dxa" w:w="331"/>
            <w:tcBorders>
              <w:bottom w:val="single" w:sz="4" w:color="000000"/>
            </w:tcBorders>
          </w:tcPr>
          <w:p>
            <w:pPr>
              <w:spacing w:before="10" w:after="10"/>
              <w:jc w:val="left"/>
              <w:rPr>
                <w:sz w:val="14"/>
              </w:rPr>
            </w:pPr>
            <w:r>
              <w:rPr>
                <w:b/>
                <w:sz w:val="14"/>
              </w:rPr>
              <w:t>n</w:t>
            </w:r>
          </w:p>
        </w:tc>
        <w:tc>
          <w:tcPr>
            <w:tcW w:type="dxa" w:w="3444"/>
            <w:tcBorders>
              <w:bottom w:val="single" w:sz="4" w:color="000000"/>
            </w:tcBorders>
          </w:tcPr>
          <w:p>
            <w:pPr>
              <w:spacing w:before="10" w:after="10"/>
              <w:jc w:val="left"/>
              <w:rPr>
                <w:sz w:val="14"/>
              </w:rPr>
            </w:pPr>
            <w:r>
              <w:rPr>
                <w:b/>
                <w:sz w:val="14"/>
              </w:rPr>
              <w:t>Content</w:t>
            </w:r>
          </w:p>
        </w:tc>
      </w:tr>
      <w:tr>
        <w:tc>
          <w:tcPr>
            <w:tcW w:type="dxa" w:w="1192"/>
          </w:tcPr>
          <w:p>
            <w:pPr>
              <w:spacing w:before="10" w:after="10"/>
              <w:jc w:val="left"/>
              <w:rPr>
                <w:sz w:val="14"/>
              </w:rPr>
            </w:pPr>
            <w:r>
              <w:rPr>
                <w:sz w:val="14"/>
              </w:rPr>
              <w:t>Current state</w:t>
            </w:r>
          </w:p>
        </w:tc>
        <w:tc>
          <w:tcPr>
            <w:tcW w:type="dxa" w:w="331"/>
          </w:tcPr>
          <w:p>
            <w:pPr>
              <w:spacing w:before="10" w:after="10"/>
              <w:jc w:val="left"/>
              <w:rPr>
                <w:sz w:val="14"/>
              </w:rPr>
            </w:pPr>
            <w:r>
              <w:rPr>
                <w:sz w:val="14"/>
              </w:rPr>
              <w:t>21</w:t>
            </w:r>
          </w:p>
        </w:tc>
        <w:tc>
          <w:tcPr>
            <w:tcW w:type="dxa" w:w="3444"/>
          </w:tcPr>
          <w:p>
            <w:pPr>
              <w:spacing w:before="10" w:after="10"/>
              <w:jc w:val="left"/>
              <w:rPr>
                <w:sz w:val="14"/>
              </w:rPr>
            </w:pPr>
            <w:r>
              <w:rPr>
                <w:sz w:val="14"/>
              </w:rPr>
              <w:t>VIS, RVR, T, Td, T−Td, RH, wind (u, v, calm, gust), QNH, ceiling, cloud base and cover, VV</w:t>
            </w:r>
          </w:p>
        </w:tc>
      </w:tr>
      <w:tr>
        <w:tc>
          <w:tcPr>
            <w:tcW w:type="dxa" w:w="1192"/>
          </w:tcPr>
          <w:p>
            <w:pPr>
              <w:spacing w:before="10" w:after="10"/>
              <w:jc w:val="left"/>
              <w:rPr>
                <w:sz w:val="14"/>
              </w:rPr>
            </w:pPr>
            <w:r>
              <w:rPr>
                <w:sz w:val="14"/>
              </w:rPr>
              <w:t>Present weather</w:t>
            </w:r>
          </w:p>
        </w:tc>
        <w:tc>
          <w:tcPr>
            <w:tcW w:type="dxa" w:w="331"/>
          </w:tcPr>
          <w:p>
            <w:pPr>
              <w:spacing w:before="10" w:after="10"/>
              <w:jc w:val="left"/>
              <w:rPr>
                <w:sz w:val="14"/>
              </w:rPr>
            </w:pPr>
            <w:r>
              <w:rPr>
                <w:sz w:val="14"/>
              </w:rPr>
              <w:t>11</w:t>
            </w:r>
          </w:p>
        </w:tc>
        <w:tc>
          <w:tcPr>
            <w:tcW w:type="dxa" w:w="3444"/>
          </w:tcPr>
          <w:p>
            <w:pPr>
              <w:spacing w:before="10" w:after="10"/>
              <w:jc w:val="left"/>
              <w:rPr>
                <w:sz w:val="14"/>
              </w:rPr>
            </w:pPr>
            <w:r>
              <w:rPr>
                <w:sz w:val="14"/>
              </w:rPr>
              <w:t>FG, MIFG/BCFG/PRFG, VCFG, FZFG, BR, HZ, DZ, RA, SN, recent precipitation</w:t>
            </w:r>
          </w:p>
        </w:tc>
      </w:tr>
      <w:tr>
        <w:tc>
          <w:tcPr>
            <w:tcW w:type="dxa" w:w="1192"/>
          </w:tcPr>
          <w:p>
            <w:pPr>
              <w:spacing w:before="10" w:after="10"/>
              <w:jc w:val="left"/>
              <w:rPr>
                <w:sz w:val="14"/>
              </w:rPr>
            </w:pPr>
            <w:r>
              <w:rPr>
                <w:sz w:val="14"/>
              </w:rPr>
              <w:t>Tendencies</w:t>
            </w:r>
          </w:p>
        </w:tc>
        <w:tc>
          <w:tcPr>
            <w:tcW w:type="dxa" w:w="331"/>
          </w:tcPr>
          <w:p>
            <w:pPr>
              <w:spacing w:before="10" w:after="10"/>
              <w:jc w:val="left"/>
              <w:rPr>
                <w:sz w:val="14"/>
              </w:rPr>
            </w:pPr>
            <w:r>
              <w:rPr>
                <w:sz w:val="14"/>
              </w:rPr>
              <w:t>19</w:t>
            </w:r>
          </w:p>
        </w:tc>
        <w:tc>
          <w:tcPr>
            <w:tcW w:type="dxa" w:w="3444"/>
          </w:tcPr>
          <w:p>
            <w:pPr>
              <w:spacing w:before="10" w:after="10"/>
              <w:jc w:val="left"/>
              <w:rPr>
                <w:sz w:val="14"/>
              </w:rPr>
            </w:pPr>
            <w:r>
              <w:rPr>
                <w:sz w:val="14"/>
              </w:rPr>
              <w:t>1/3/6-h changes of T, Td, T−Td, log VIS; RH, wind, QNH (3/12 h), ceiling</w:t>
            </w:r>
          </w:p>
        </w:tc>
      </w:tr>
      <w:tr>
        <w:tc>
          <w:tcPr>
            <w:tcW w:type="dxa" w:w="1192"/>
          </w:tcPr>
          <w:p>
            <w:pPr>
              <w:spacing w:before="10" w:after="10"/>
              <w:jc w:val="left"/>
              <w:rPr>
                <w:sz w:val="14"/>
              </w:rPr>
            </w:pPr>
            <w:r>
              <w:rPr>
                <w:sz w:val="14"/>
              </w:rPr>
              <w:t>Memory</w:t>
            </w:r>
          </w:p>
        </w:tc>
        <w:tc>
          <w:tcPr>
            <w:tcW w:type="dxa" w:w="331"/>
          </w:tcPr>
          <w:p>
            <w:pPr>
              <w:spacing w:before="10" w:after="10"/>
              <w:jc w:val="left"/>
              <w:rPr>
                <w:sz w:val="14"/>
              </w:rPr>
            </w:pPr>
            <w:r>
              <w:rPr>
                <w:sz w:val="14"/>
              </w:rPr>
              <w:t>13</w:t>
            </w:r>
          </w:p>
        </w:tc>
        <w:tc>
          <w:tcPr>
            <w:tcW w:type="dxa" w:w="3444"/>
          </w:tcPr>
          <w:p>
            <w:pPr>
              <w:spacing w:before="10" w:after="10"/>
              <w:jc w:val="left"/>
              <w:rPr>
                <w:sz w:val="14"/>
              </w:rPr>
            </w:pPr>
            <w:r>
              <w:rPr>
                <w:sz w:val="14"/>
              </w:rPr>
              <w:t>cooling since 12-h max, min T−Td, max RH, fog/mist/precip./snow fractions, hours since fog, SPECI age</w:t>
            </w:r>
          </w:p>
        </w:tc>
      </w:tr>
      <w:tr>
        <w:tc>
          <w:tcPr>
            <w:tcW w:type="dxa" w:w="1192"/>
          </w:tcPr>
          <w:p>
            <w:pPr>
              <w:spacing w:before="10" w:after="10"/>
              <w:jc w:val="left"/>
              <w:rPr>
                <w:sz w:val="14"/>
              </w:rPr>
            </w:pPr>
            <w:r>
              <w:rPr>
                <w:sz w:val="14"/>
              </w:rPr>
              <w:t>Calendar &amp; sun</w:t>
            </w:r>
          </w:p>
        </w:tc>
        <w:tc>
          <w:tcPr>
            <w:tcW w:type="dxa" w:w="331"/>
          </w:tcPr>
          <w:p>
            <w:pPr>
              <w:spacing w:before="10" w:after="10"/>
              <w:jc w:val="left"/>
              <w:rPr>
                <w:sz w:val="14"/>
              </w:rPr>
            </w:pPr>
            <w:r>
              <w:rPr>
                <w:sz w:val="14"/>
              </w:rPr>
              <w:t>13</w:t>
            </w:r>
          </w:p>
        </w:tc>
        <w:tc>
          <w:tcPr>
            <w:tcW w:type="dxa" w:w="3444"/>
          </w:tcPr>
          <w:p>
            <w:pPr>
              <w:spacing w:before="10" w:after="10"/>
              <w:jc w:val="left"/>
              <w:rPr>
                <w:sz w:val="14"/>
              </w:rPr>
            </w:pPr>
            <w:r>
              <w:rPr>
                <w:sz w:val="14"/>
              </w:rPr>
              <w:t>hour and day of year (sin/cos), solar elevation, night, time to sunrise / since sunset, and at valid time</w:t>
            </w:r>
          </w:p>
        </w:tc>
      </w:tr>
    </w:tbl>
    <w:p>
      <w:pPr>
        <w:spacing w:after="80"/>
      </w:pPr>
    </w:p>
    <w:p>
      <w:pPr>
        <w:pStyle w:val="Heading2"/>
        <w:numPr>
          <w:ilvl w:val="0"/>
          <w:numId w:val="0"/>
        </w:numPr>
      </w:pPr>
      <w:r>
        <w:t xml:space="preserve">C. </w:t>
      </w:r>
      <w:r>
        <w:t>Models</w:t>
      </w:r>
    </w:p>
    <w:p>
      <w:pPr>
        <w:pStyle w:val="Text"/>
      </w:pPr>
      <w:r>
        <w:t>Logistic regression (LR) with standardised, median-imputed inputs [37] is the statistical baseline. Random forests (RF) [38] and the gradient-boosting libraries XGBoost [39] and LightGBM [40] represent tree ensembles; both boosting libraries handle missing values natively, and their hyper-parameters were tuned with 30 trials of the tree-structured Parzen estimator in Optuna [41], maximising the validation PR-AUC with early stopping. RF and LR used small validation grids. Temporal patterns are learnt by recurrent networks with long short-term memory (LSTM) [42] and gated recurrent units (GRU) [43]. One multi-task network reads the last 12 h (24 grid steps) of 22 standardised state variables plus a presence mask, concatenates its final hidden state with memory and valid-time features, and predicts all nine tasks (three targets × three lead times) through a two-layer head. The masked, positively re-weighted binary cross-entropy was minimised with AdamW [44] and early stopping on the mean validation PR-AUC, and six architectures were compared on the validation seasons. All models were implemented with scikit-learn [45] and PyTorch [46]; the selected settings are listed in the Appendix.</w:t>
      </w:r>
    </w:p>
    <w:p>
      <w:pPr>
        <w:pStyle w:val="Heading2"/>
        <w:numPr>
          <w:ilvl w:val="0"/>
          <w:numId w:val="0"/>
        </w:numPr>
      </w:pPr>
      <w:r>
        <w:t xml:space="preserve">D. </w:t>
      </w:r>
      <w:r>
        <w:t>Class Imbalance and Calibration</w:t>
      </w:r>
    </w:p>
    <w:p>
      <w:pPr>
        <w:pStyle w:val="Text"/>
      </w:pPr>
      <w:r>
        <w:t xml:space="preserve">Fog occupies only 1.0% of the observations and RVR &lt; 350 m only 0.6%. Four strategies were compared for LR and LightGBM [47]: no correction, class weighting, SMOTE oversampling [48] and random undersampling. Because re-weighting and resampling distort predicted probabilities, every model is recalibrated with either no mapping, Platt scaling [49] or isotonic regression [50]; the method is selected by leave-one-season-out cross-validation of the Brier score within the validation seasons [51] and then refitted on the whole validation set. The warning threshold </w:t>
      </w:r>
      <w:r>
        <w:rPr>
          <w:i/>
        </w:rPr>
        <w:t>τ</w:t>
      </w:r>
      <w:r>
        <w:rPr>
          <w:i/>
          <w:vertAlign w:val="subscript"/>
        </w:rPr>
        <w:t>h</w:t>
      </w:r>
      <w:r>
        <w:t xml:space="preserve"> maximises the critical success index (CSI) on the validation set; since </w:t>
      </w:r>
      <w:r>
        <w:rPr>
          <w:i/>
        </w:rPr>
        <w:t>F</w:t>
      </w:r>
      <w:r>
        <w:rPr>
          <w:i w:val="0"/>
          <w:vertAlign w:val="subscript"/>
        </w:rPr>
        <w:t>1</w:t>
      </w:r>
      <w:r>
        <w:t xml:space="preserve">=2 </w:t>
      </w:r>
      <w:r>
        <w:t>CSI</w:t>
      </w:r>
      <w:r>
        <w:t>/(1+</w:t>
      </w:r>
      <w:r>
        <w:t>CSI</w:t>
      </w:r>
      <w:r>
        <w:t>)</w:t>
      </w:r>
      <w:r>
        <w:t xml:space="preserve">, the same threshold also maximises </w:t>
      </w:r>
      <w:r>
        <w:rPr>
          <w:i/>
        </w:rPr>
        <w:t>F</w:t>
      </w:r>
      <w:r>
        <w:rPr>
          <w:i w:val="0"/>
          <w:vertAlign w:val="subscript"/>
        </w:rPr>
        <w:t>1</w:t>
      </w:r>
      <w:r>
        <w:t>.</w:t>
      </w:r>
    </w:p>
    <w:p>
      <w:pPr>
        <w:pStyle w:val="Heading2"/>
        <w:numPr>
          <w:ilvl w:val="0"/>
          <w:numId w:val="0"/>
        </w:numPr>
      </w:pPr>
      <w:r>
        <w:t xml:space="preserve">E. </w:t>
      </w:r>
      <w:r>
        <w:t>Training Protocol and Leakage Control</w:t>
      </w:r>
    </w:p>
    <w:p>
      <w:pPr>
        <w:pStyle w:val="Text"/>
      </w:pPr>
      <w:r>
        <w:t xml:space="preserve">The data were split chronologically and season-aligned (Table III): training 01/2005–06/2019, validation 07/2019–06/2022 (three fog seasons) and test 07/2022–06/2026 (four fog seasons); the period from July 2026 onwards is reserved for the operational evaluation. A random split would leak information because consecutive half-hourly samples of one fog episode are nearly identical [52]. All tuning, calibration and threshold decisions used the validation seasons only, and the test seasons were evaluated once. Automated tests verify that every feature at time </w:t>
      </w:r>
      <w:r>
        <w:rPr>
          <w:i/>
        </w:rPr>
        <w:t>t</w:t>
      </w:r>
      <w:r>
        <w:t xml:space="preserve"> is unchanged when all reports after </w:t>
      </w:r>
      <w:r>
        <w:rPr>
          <w:i/>
        </w:rPr>
        <w:t>t</w:t>
      </w:r>
      <w:r>
        <w:t xml:space="preserve"> are deleted and that a target never re-uses the observation at </w:t>
      </w:r>
      <w:r>
        <w:rPr>
          <w:i/>
        </w:rPr>
        <w:t>t</w:t>
      </w:r>
      <w:r>
        <w:t>.</w:t>
      </w:r>
    </w:p>
    <w:p>
      <w:pPr>
        <w:keepNext/>
        <w:widowControl w:val="0"/>
        <w:pBdr>
          <w:top w:val="nil"/>
          <w:left w:val="nil"/>
          <w:bottom w:val="nil"/>
          <w:right w:val="nil"/>
          <w:between w:val="nil"/>
        </w:pBdr>
        <w:spacing w:line="252" w:lineRule="auto"/>
        <w:ind w:firstLine="202"/>
        <w:jc w:val="center"/>
      </w:pPr>
      <w:r>
        <w:rPr>
          <w:sz w:val="16"/>
        </w:rPr>
        <w:t>TABLE III</w:t>
      </w:r>
    </w:p>
    <w:p>
      <w:pPr>
        <w:pStyle w:val="TableTitle"/>
        <w:keepNext/>
        <w:spacing w:after="60"/>
      </w:pPr>
      <w:r>
        <w:rPr>
          <w:sz w:val="16"/>
        </w:rPr>
        <w:t>Chronological data partition</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2074"/>
        <w:gridCol w:w="2074"/>
        <w:gridCol w:w="2074"/>
        <w:gridCol w:w="2074"/>
        <w:gridCol w:w="2074"/>
      </w:tblGrid>
      <w:tr>
        <w:tc>
          <w:tcPr>
            <w:tcW w:type="dxa" w:w="1142"/>
            <w:tcBorders>
              <w:bottom w:val="single" w:sz="4" w:color="000000"/>
            </w:tcBorders>
          </w:tcPr>
          <w:p>
            <w:pPr>
              <w:spacing w:before="10" w:after="10"/>
              <w:jc w:val="left"/>
              <w:rPr>
                <w:sz w:val="14"/>
              </w:rPr>
            </w:pPr>
            <w:r>
              <w:rPr>
                <w:b/>
                <w:sz w:val="14"/>
              </w:rPr>
              <w:t>Set</w:t>
            </w:r>
          </w:p>
        </w:tc>
        <w:tc>
          <w:tcPr>
            <w:tcW w:type="dxa" w:w="1542"/>
            <w:tcBorders>
              <w:bottom w:val="single" w:sz="4" w:color="000000"/>
            </w:tcBorders>
          </w:tcPr>
          <w:p>
            <w:pPr>
              <w:spacing w:before="10" w:after="10"/>
              <w:jc w:val="left"/>
              <w:rPr>
                <w:sz w:val="14"/>
              </w:rPr>
            </w:pPr>
            <w:r>
              <w:rPr>
                <w:b/>
                <w:sz w:val="14"/>
              </w:rPr>
              <w:t>Period</w:t>
            </w:r>
          </w:p>
        </w:tc>
        <w:tc>
          <w:tcPr>
            <w:tcW w:type="dxa" w:w="914"/>
            <w:tcBorders>
              <w:bottom w:val="single" w:sz="4" w:color="000000"/>
            </w:tcBorders>
          </w:tcPr>
          <w:p>
            <w:pPr>
              <w:spacing w:before="10" w:after="10"/>
              <w:jc w:val="center"/>
              <w:rPr>
                <w:sz w:val="14"/>
              </w:rPr>
            </w:pPr>
            <w:r>
              <w:rPr>
                <w:b/>
                <w:sz w:val="14"/>
              </w:rPr>
              <w:t>Slots</w:t>
            </w:r>
          </w:p>
        </w:tc>
        <w:tc>
          <w:tcPr>
            <w:tcW w:type="dxa" w:w="685"/>
            <w:tcBorders>
              <w:bottom w:val="single" w:sz="4" w:color="000000"/>
            </w:tcBorders>
          </w:tcPr>
          <w:p>
            <w:pPr>
              <w:spacing w:before="10" w:after="10"/>
              <w:jc w:val="center"/>
              <w:rPr>
                <w:sz w:val="14"/>
              </w:rPr>
            </w:pPr>
            <w:r>
              <w:rPr>
                <w:b/>
                <w:sz w:val="14"/>
              </w:rPr>
              <w:t>Fog</w:t>
            </w:r>
          </w:p>
        </w:tc>
        <w:tc>
          <w:tcPr>
            <w:tcW w:type="dxa" w:w="685"/>
            <w:tcBorders>
              <w:bottom w:val="single" w:sz="4" w:color="000000"/>
            </w:tcBorders>
          </w:tcPr>
          <w:p>
            <w:pPr>
              <w:spacing w:before="10" w:after="10"/>
              <w:jc w:val="center"/>
              <w:rPr>
                <w:sz w:val="14"/>
              </w:rPr>
            </w:pPr>
            <w:r>
              <w:rPr>
                <w:b/>
                <w:sz w:val="14"/>
              </w:rPr>
              <w:t>Rate</w:t>
            </w:r>
          </w:p>
        </w:tc>
      </w:tr>
      <w:tr>
        <w:tc>
          <w:tcPr>
            <w:tcW w:type="dxa" w:w="1142"/>
          </w:tcPr>
          <w:p>
            <w:pPr>
              <w:spacing w:before="10" w:after="10"/>
              <w:jc w:val="left"/>
              <w:rPr>
                <w:sz w:val="14"/>
              </w:rPr>
            </w:pPr>
            <w:r>
              <w:rPr>
                <w:sz w:val="14"/>
              </w:rPr>
              <w:t>Training</w:t>
            </w:r>
          </w:p>
        </w:tc>
        <w:tc>
          <w:tcPr>
            <w:tcW w:type="dxa" w:w="1542"/>
          </w:tcPr>
          <w:p>
            <w:pPr>
              <w:spacing w:before="10" w:after="10"/>
              <w:jc w:val="left"/>
              <w:rPr>
                <w:sz w:val="14"/>
              </w:rPr>
            </w:pPr>
            <w:r>
              <w:rPr>
                <w:sz w:val="14"/>
              </w:rPr>
              <w:t>01/2005–06/2019</w:t>
            </w:r>
          </w:p>
        </w:tc>
        <w:tc>
          <w:tcPr>
            <w:tcW w:type="dxa" w:w="914"/>
          </w:tcPr>
          <w:p>
            <w:pPr>
              <w:spacing w:before="10" w:after="10"/>
              <w:jc w:val="center"/>
              <w:rPr>
                <w:sz w:val="14"/>
              </w:rPr>
            </w:pPr>
            <w:r>
              <w:rPr>
                <w:sz w:val="14"/>
              </w:rPr>
              <w:t>253 017</w:t>
            </w:r>
          </w:p>
        </w:tc>
        <w:tc>
          <w:tcPr>
            <w:tcW w:type="dxa" w:w="685"/>
          </w:tcPr>
          <w:p>
            <w:pPr>
              <w:spacing w:before="10" w:after="10"/>
              <w:jc w:val="center"/>
              <w:rPr>
                <w:sz w:val="14"/>
              </w:rPr>
            </w:pPr>
            <w:r>
              <w:rPr>
                <w:sz w:val="14"/>
              </w:rPr>
              <w:t>3 130</w:t>
            </w:r>
          </w:p>
        </w:tc>
        <w:tc>
          <w:tcPr>
            <w:tcW w:type="dxa" w:w="685"/>
          </w:tcPr>
          <w:p>
            <w:pPr>
              <w:spacing w:before="10" w:after="10"/>
              <w:jc w:val="center"/>
              <w:rPr>
                <w:sz w:val="14"/>
              </w:rPr>
            </w:pPr>
            <w:r>
              <w:rPr>
                <w:sz w:val="14"/>
              </w:rPr>
              <w:t>1.24%</w:t>
            </w:r>
          </w:p>
        </w:tc>
      </w:tr>
      <w:tr>
        <w:tc>
          <w:tcPr>
            <w:tcW w:type="dxa" w:w="1142"/>
          </w:tcPr>
          <w:p>
            <w:pPr>
              <w:spacing w:before="10" w:after="10"/>
              <w:jc w:val="left"/>
              <w:rPr>
                <w:sz w:val="14"/>
              </w:rPr>
            </w:pPr>
            <w:r>
              <w:rPr>
                <w:sz w:val="14"/>
              </w:rPr>
              <w:t>Validation</w:t>
            </w:r>
          </w:p>
        </w:tc>
        <w:tc>
          <w:tcPr>
            <w:tcW w:type="dxa" w:w="1542"/>
          </w:tcPr>
          <w:p>
            <w:pPr>
              <w:spacing w:before="10" w:after="10"/>
              <w:jc w:val="left"/>
              <w:rPr>
                <w:sz w:val="14"/>
              </w:rPr>
            </w:pPr>
            <w:r>
              <w:rPr>
                <w:sz w:val="14"/>
              </w:rPr>
              <w:t>07/2019–06/2022</w:t>
            </w:r>
          </w:p>
        </w:tc>
        <w:tc>
          <w:tcPr>
            <w:tcW w:type="dxa" w:w="914"/>
          </w:tcPr>
          <w:p>
            <w:pPr>
              <w:spacing w:before="10" w:after="10"/>
              <w:jc w:val="center"/>
              <w:rPr>
                <w:sz w:val="14"/>
              </w:rPr>
            </w:pPr>
            <w:r>
              <w:rPr>
                <w:sz w:val="14"/>
              </w:rPr>
              <w:t>52 581</w:t>
            </w:r>
          </w:p>
        </w:tc>
        <w:tc>
          <w:tcPr>
            <w:tcW w:type="dxa" w:w="685"/>
          </w:tcPr>
          <w:p>
            <w:pPr>
              <w:spacing w:before="10" w:after="10"/>
              <w:jc w:val="center"/>
              <w:rPr>
                <w:sz w:val="14"/>
              </w:rPr>
            </w:pPr>
            <w:r>
              <w:rPr>
                <w:sz w:val="14"/>
              </w:rPr>
              <w:t>308</w:t>
            </w:r>
          </w:p>
        </w:tc>
        <w:tc>
          <w:tcPr>
            <w:tcW w:type="dxa" w:w="685"/>
          </w:tcPr>
          <w:p>
            <w:pPr>
              <w:spacing w:before="10" w:after="10"/>
              <w:jc w:val="center"/>
              <w:rPr>
                <w:sz w:val="14"/>
              </w:rPr>
            </w:pPr>
            <w:r>
              <w:rPr>
                <w:sz w:val="14"/>
              </w:rPr>
              <w:t>0.59%</w:t>
            </w:r>
          </w:p>
        </w:tc>
      </w:tr>
      <w:tr>
        <w:tc>
          <w:tcPr>
            <w:tcW w:type="dxa" w:w="1142"/>
          </w:tcPr>
          <w:p>
            <w:pPr>
              <w:spacing w:before="10" w:after="10"/>
              <w:jc w:val="left"/>
              <w:rPr>
                <w:sz w:val="14"/>
              </w:rPr>
            </w:pPr>
            <w:r>
              <w:rPr>
                <w:sz w:val="14"/>
              </w:rPr>
              <w:t>Test</w:t>
            </w:r>
          </w:p>
        </w:tc>
        <w:tc>
          <w:tcPr>
            <w:tcW w:type="dxa" w:w="1542"/>
          </w:tcPr>
          <w:p>
            <w:pPr>
              <w:spacing w:before="10" w:after="10"/>
              <w:jc w:val="left"/>
              <w:rPr>
                <w:sz w:val="14"/>
              </w:rPr>
            </w:pPr>
            <w:r>
              <w:rPr>
                <w:sz w:val="14"/>
              </w:rPr>
              <w:t>07/2022–06/2026</w:t>
            </w:r>
          </w:p>
        </w:tc>
        <w:tc>
          <w:tcPr>
            <w:tcW w:type="dxa" w:w="914"/>
          </w:tcPr>
          <w:p>
            <w:pPr>
              <w:spacing w:before="10" w:after="10"/>
              <w:jc w:val="center"/>
              <w:rPr>
                <w:sz w:val="14"/>
              </w:rPr>
            </w:pPr>
            <w:r>
              <w:rPr>
                <w:sz w:val="14"/>
              </w:rPr>
              <w:t>70 073</w:t>
            </w:r>
          </w:p>
        </w:tc>
        <w:tc>
          <w:tcPr>
            <w:tcW w:type="dxa" w:w="685"/>
          </w:tcPr>
          <w:p>
            <w:pPr>
              <w:spacing w:before="10" w:after="10"/>
              <w:jc w:val="center"/>
              <w:rPr>
                <w:sz w:val="14"/>
              </w:rPr>
            </w:pPr>
            <w:r>
              <w:rPr>
                <w:sz w:val="14"/>
              </w:rPr>
              <w:t>446</w:t>
            </w:r>
          </w:p>
        </w:tc>
        <w:tc>
          <w:tcPr>
            <w:tcW w:type="dxa" w:w="685"/>
          </w:tcPr>
          <w:p>
            <w:pPr>
              <w:spacing w:before="10" w:after="10"/>
              <w:jc w:val="center"/>
              <w:rPr>
                <w:sz w:val="14"/>
              </w:rPr>
            </w:pPr>
            <w:r>
              <w:rPr>
                <w:sz w:val="14"/>
              </w:rPr>
              <w:t>0.64%</w:t>
            </w:r>
          </w:p>
        </w:tc>
      </w:tr>
      <w:tr>
        <w:tc>
          <w:tcPr>
            <w:tcW w:type="dxa" w:w="1142"/>
          </w:tcPr>
          <w:p>
            <w:pPr>
              <w:spacing w:before="10" w:after="10"/>
              <w:jc w:val="left"/>
              <w:rPr>
                <w:sz w:val="14"/>
              </w:rPr>
            </w:pPr>
            <w:r>
              <w:rPr>
                <w:sz w:val="14"/>
              </w:rPr>
              <w:t>Operational</w:t>
            </w:r>
          </w:p>
        </w:tc>
        <w:tc>
          <w:tcPr>
            <w:tcW w:type="dxa" w:w="1542"/>
          </w:tcPr>
          <w:p>
            <w:pPr>
              <w:spacing w:before="10" w:after="10"/>
              <w:jc w:val="left"/>
              <w:rPr>
                <w:sz w:val="14"/>
              </w:rPr>
            </w:pPr>
            <w:r>
              <w:rPr>
                <w:sz w:val="14"/>
              </w:rPr>
              <w:t>07/2026–10/2026</w:t>
            </w:r>
          </w:p>
        </w:tc>
        <w:tc>
          <w:tcPr>
            <w:tcW w:type="dxa" w:w="914"/>
          </w:tcPr>
          <w:p>
            <w:pPr>
              <w:spacing w:before="10" w:after="10"/>
              <w:jc w:val="center"/>
              <w:rPr>
                <w:sz w:val="14"/>
              </w:rPr>
            </w:pPr>
            <w:r>
              <w:rPr>
                <w:sz w:val="14"/>
              </w:rPr>
              <w:t>5 749</w:t>
            </w:r>
          </w:p>
        </w:tc>
        <w:tc>
          <w:tcPr>
            <w:tcW w:type="dxa" w:w="685"/>
          </w:tcPr>
          <w:p>
            <w:pPr>
              <w:spacing w:before="10" w:after="10"/>
              <w:jc w:val="center"/>
              <w:rPr>
                <w:sz w:val="14"/>
              </w:rPr>
            </w:pPr>
            <w:r>
              <w:rPr>
                <w:sz w:val="14"/>
              </w:rPr>
              <w:t>0</w:t>
            </w:r>
          </w:p>
        </w:tc>
        <w:tc>
          <w:tcPr>
            <w:tcW w:type="dxa" w:w="685"/>
          </w:tcPr>
          <w:p>
            <w:pPr>
              <w:spacing w:before="10" w:after="10"/>
              <w:jc w:val="center"/>
              <w:rPr>
                <w:sz w:val="14"/>
              </w:rPr>
            </w:pPr>
            <w:r>
              <w:rPr>
                <w:sz w:val="14"/>
              </w:rPr>
              <w:t>0.00%</w:t>
            </w:r>
          </w:p>
        </w:tc>
      </w:tr>
    </w:tbl>
    <w:p>
      <w:pPr>
        <w:spacing w:after="80"/>
      </w:pPr>
    </w:p>
    <w:p>
      <w:pPr>
        <w:pStyle w:val="Heading2"/>
        <w:numPr>
          <w:ilvl w:val="0"/>
          <w:numId w:val="0"/>
        </w:numPr>
      </w:pPr>
      <w:r>
        <w:t xml:space="preserve">F. </w:t>
      </w:r>
      <w:r>
        <w:t>Reference Forecasts</w:t>
      </w:r>
    </w:p>
    <w:p>
      <w:pPr>
        <w:pStyle w:val="Text"/>
      </w:pPr>
      <w:r>
        <w:t xml:space="preserve">Persistence forecasts the currently observed state for </w:t>
      </w:r>
      <w:r>
        <w:rPr>
          <w:i/>
        </w:rPr>
        <w:t>t</w:t>
      </w:r>
      <w:r>
        <w:t>+</w:t>
      </w:r>
      <w:r>
        <w:rPr>
          <w:i/>
        </w:rPr>
        <w:t>h</w:t>
      </w:r>
      <w:r>
        <w:t xml:space="preserve">. Climatology is the conditional event frequency for the calendar month and UTC hour of the valid time in the training period and is the reference of the Brier skill score. The TREND appended to the METAR issued at </w:t>
      </w:r>
      <w:r>
        <w:rPr>
          <w:i/>
        </w:rPr>
        <w:t>t</w:t>
      </w:r>
      <w:r>
        <w:t xml:space="preserve"> is evaluated for </w:t>
      </w:r>
      <w:r>
        <w:rPr>
          <w:i/>
        </w:rPr>
        <w:t>h</w:t>
      </w:r>
      <w:r>
        <w:t xml:space="preserve"> ≤ 2</w:t>
      </w:r>
      <w:r>
        <w:t xml:space="preserve"> h, and the TAF forecast for </w:t>
      </w:r>
      <w:r>
        <w:rPr>
          <w:i/>
        </w:rPr>
        <w:t>t</w:t>
      </w:r>
      <w:r>
        <w:t>+</w:t>
      </w:r>
      <w:r>
        <w:rPr>
          <w:i/>
        </w:rPr>
        <w:t>h</w:t>
      </w:r>
      <w:r>
        <w:t xml:space="preserve"> is taken from the latest TAF issued at or before </w:t>
      </w:r>
      <w:r>
        <w:rPr>
          <w:i/>
        </w:rPr>
        <w:t>t</w:t>
      </w:r>
      <w:r>
        <w:t>, so that the forecaster's information horizon equals that of the models. TREND and TAF contain change groups and are therefore converted into a visibility range at the valid time [26]: the prevailing reading uses the base forecast, FM groups and completed BECMG changes, and the worst-case reading additionally takes the lower end of BECMG transitions and of TEMPO and PROB30/40 groups. A fog forecast is issued when the reading is below 1000 m.</w:t>
      </w:r>
    </w:p>
    <w:p>
      <w:pPr>
        <w:pStyle w:val="Heading2"/>
        <w:numPr>
          <w:ilvl w:val="0"/>
          <w:numId w:val="0"/>
        </w:numPr>
      </w:pPr>
      <w:r>
        <w:t xml:space="preserve">G. </w:t>
      </w:r>
      <w:r>
        <w:t>Verification</w:t>
      </w:r>
    </w:p>
    <w:p>
      <w:pPr>
        <w:pStyle w:val="Text"/>
      </w:pPr>
      <w:r>
        <w:t xml:space="preserve">With </w:t>
      </w:r>
      <w:r>
        <w:rPr>
          <w:i/>
        </w:rPr>
        <w:t>a</w:t>
      </w:r>
      <w:r>
        <w:t xml:space="preserve"> hits, </w:t>
      </w:r>
      <w:r>
        <w:rPr>
          <w:i/>
        </w:rPr>
        <w:t>b</w:t>
      </w:r>
      <w:r>
        <w:t xml:space="preserve"> false alarms, </w:t>
      </w:r>
      <w:r>
        <w:rPr>
          <w:i/>
        </w:rPr>
        <w:t>c</w:t>
      </w:r>
      <w:r>
        <w:t xml:space="preserve"> misses and </w:t>
      </w:r>
      <w:r>
        <w:rPr>
          <w:i/>
        </w:rPr>
        <w:t>d</w:t>
      </w:r>
      <w:r>
        <w:t xml:space="preserve"> correct negatives, the categorical scores are [24], [25]</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POD</m:t>
        </m:r>
        <m:r>
          <m:t>=</m:t>
        </m:r>
        <m:f>
          <m:fPr>
            <m:type m:val="bar"/>
          </m:fPr>
          <m:num>
            <m:r>
              <m:t>a</m:t>
            </m:r>
          </m:num>
          <m:den>
            <m:r>
              <m:t>a+c</m:t>
            </m:r>
          </m:den>
        </m:f>
        <m:r>
          <m:t>,</m:t>
        </m:r>
        <m:r>
          <m:rPr>
            <m:sty m:val="p"/>
          </m:rPr>
          <m:t>FAR</m:t>
        </m:r>
        <m:r>
          <m:t>=</m:t>
        </m:r>
        <m:f>
          <m:fPr>
            <m:type m:val="bar"/>
          </m:fPr>
          <m:num>
            <m:r>
              <m:t>b</m:t>
            </m:r>
          </m:num>
          <m:den>
            <m:r>
              <m:t>a+b</m:t>
            </m:r>
          </m:den>
        </m:f>
        <m:r>
          <m:t>,</m:t>
        </m:r>
        <m:r>
          <m:rPr>
            <m:sty m:val="p"/>
          </m:rPr>
          <m:t>CSI</m:t>
        </m:r>
        <m:r>
          <m:t>=</m:t>
        </m:r>
        <m:f>
          <m:fPr>
            <m:type m:val="bar"/>
          </m:fPr>
          <m:num>
            <m:r>
              <m:t>a</m:t>
            </m:r>
          </m:num>
          <m:den>
            <m:r>
              <m:t>a+b+c</m:t>
            </m:r>
          </m:den>
        </m:f>
      </m:oMath>
      <w:r>
        <w:tab/>
      </w:r>
      <w:r>
        <w:t>(2)</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HSS</m:t>
        </m:r>
        <m:r>
          <m:t>=</m:t>
        </m:r>
        <m:f>
          <m:fPr>
            <m:type m:val="bar"/>
          </m:fPr>
          <m:num>
            <m:r>
              <m:t>2(ad−bc)</m:t>
            </m:r>
          </m:num>
          <m:den>
            <m:r>
              <m:t>(a+c)(c+d)+(a+b)(b+d)</m:t>
            </m:r>
          </m:den>
        </m:f>
      </m:oMath>
      <w:r>
        <w:tab/>
      </w:r>
      <w:r>
        <w:t>(3)</w:t>
      </w:r>
    </w:p>
    <w:p>
      <w:pPr>
        <w:pStyle w:val="Text"/>
      </w:pPr>
      <w:r>
        <w:t>where the Heidke skill score (HSS) measures accuracy relative to random chance [53], [54]. Probabilistic forecasts are assessed with the area under the precision–recall curve (PR-AUC), which is informative for rare events [55], [56], the area under the ROC curve, and the Brier score and its skill score [57], [58]</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BS</m:t>
        </m:r>
        <m:r>
          <m:t>=</m:t>
        </m:r>
        <m:f>
          <m:fPr>
            <m:type m:val="bar"/>
          </m:fPr>
          <m:num>
            <m:r>
              <m:t>1</m:t>
            </m:r>
          </m:num>
          <m:den>
            <m:r>
              <m:t>N</m:t>
            </m:r>
          </m:den>
        </m:f>
        <m:nary>
          <m:naryPr>
            <m:chr m:val="∑"/>
            <m:limLoc m:val="subSup"/>
            <m:grow m:val="1"/>
            <m:subHide m:val="off"/>
            <m:supHide m:val="off"/>
          </m:naryPr>
          <m:sub>
            <m:r>
              <m:t>i=1</m:t>
            </m:r>
          </m:sub>
          <m:sup>
            <m:r>
              <m:t>N</m:t>
            </m:r>
          </m:sup>
          <m:e>
            <m:r>
              <m:t>(</m:t>
            </m:r>
            <m:sSub>
              <m:e>
                <m:r>
                  <m:t>p</m:t>
                </m:r>
              </m:e>
              <m:sub>
                <m:r>
                  <m:t>i</m:t>
                </m:r>
              </m:sub>
            </m:sSub>
            <m:r>
              <m:t>−</m:t>
            </m:r>
            <m:sSub>
              <m:e>
                <m:r>
                  <m:t>o</m:t>
                </m:r>
              </m:e>
              <m:sub>
                <m:r>
                  <m:t>i</m:t>
                </m:r>
              </m:sub>
            </m:sSub>
            <m:sSup>
              <m:e>
                <m:r>
                  <m:t>)</m:t>
                </m:r>
              </m:e>
              <m:sup>
                <m:r>
                  <m:t>2</m:t>
                </m:r>
              </m:sup>
            </m:sSup>
          </m:e>
        </m:nary>
        <m:r>
          <m:t>,</m:t>
        </m:r>
        <m:r>
          <m:rPr>
            <m:sty m:val="p"/>
          </m:rPr>
          <m:t>BSS</m:t>
        </m:r>
        <m:r>
          <m:t>=1−</m:t>
        </m:r>
        <m:f>
          <m:fPr>
            <m:type m:val="bar"/>
          </m:fPr>
          <m:num>
            <m:r>
              <m:rPr>
                <m:sty m:val="p"/>
              </m:rPr>
              <m:t>BS</m:t>
            </m:r>
          </m:num>
          <m:den>
            <m:sSub>
              <m:e>
                <m:r>
                  <m:rPr>
                    <m:sty m:val="p"/>
                  </m:rPr>
                  <m:t>BS</m:t>
                </m:r>
              </m:e>
              <m:sub>
                <m:r>
                  <m:rPr>
                    <m:sty m:val="p"/>
                  </m:rPr>
                  <m:t>clim</m:t>
                </m:r>
              </m:sub>
            </m:sSub>
          </m:den>
        </m:f>
      </m:oMath>
      <w:r>
        <w:tab/>
      </w:r>
      <w:r>
        <w:t>(4)</w:t>
      </w:r>
    </w:p>
    <w:p>
      <w:pPr>
        <w:pStyle w:val="Text"/>
      </w:pPr>
      <w:r>
        <w:t>For the ILS categories the ranked probability score [59]</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RPS</m:t>
        </m:r>
        <m:r>
          <m:t>=</m:t>
        </m:r>
        <m:f>
          <m:fPr>
            <m:type m:val="bar"/>
          </m:fPr>
          <m:num>
            <m:r>
              <m:t>1</m:t>
            </m:r>
          </m:num>
          <m:den>
            <m:r>
              <m:t>K−1</m:t>
            </m:r>
          </m:den>
        </m:f>
        <m:nary>
          <m:naryPr>
            <m:chr m:val="∑"/>
            <m:limLoc m:val="subSup"/>
            <m:grow m:val="1"/>
            <m:subHide m:val="off"/>
            <m:supHide m:val="off"/>
          </m:naryPr>
          <m:sub>
            <m:r>
              <m:t>k=1</m:t>
            </m:r>
          </m:sub>
          <m:sup>
            <m:r>
              <m:t>K</m:t>
            </m:r>
          </m:sup>
          <m:e>
            <m:sSup>
              <m:e>
                <m:r>
                  <m:t>(</m:t>
                </m:r>
                <m:sSub>
                  <m:e>
                    <m:r>
                      <m:t>F</m:t>
                    </m:r>
                  </m:e>
                  <m:sub>
                    <m:r>
                      <m:t>k</m:t>
                    </m:r>
                  </m:sub>
                </m:sSub>
                <m:r>
                  <m:t>−</m:t>
                </m:r>
                <m:sSub>
                  <m:e>
                    <m:r>
                      <m:t>O</m:t>
                    </m:r>
                  </m:e>
                  <m:sub>
                    <m:r>
                      <m:t>k</m:t>
                    </m:r>
                  </m:sub>
                </m:sSub>
                <m:r>
                  <m:t>)</m:t>
                </m:r>
              </m:e>
              <m:sup>
                <m:r>
                  <m:t>2</m:t>
                </m:r>
              </m:sup>
            </m:sSup>
          </m:e>
        </m:nary>
      </m:oMath>
      <w:r>
        <w:tab/>
      </w:r>
      <w:r>
        <w:t>(5)</w:t>
      </w:r>
    </w:p>
    <w:p>
      <w:pPr>
        <w:pStyle w:val="Text"/>
      </w:pPr>
      <w:r>
        <w:t xml:space="preserve">with cumulative forecast and observed distributions </w:t>
      </w:r>
      <w:r>
        <w:rPr>
          <w:i/>
        </w:rPr>
        <w:t>F</w:t>
      </w:r>
      <w:r>
        <w:rPr>
          <w:i/>
          <w:vertAlign w:val="subscript"/>
        </w:rPr>
        <w:t>k</w:t>
      </w:r>
      <w:r>
        <w:t xml:space="preserve"> and </w:t>
      </w:r>
      <w:r>
        <w:rPr>
          <w:i/>
        </w:rPr>
        <w:t>O</w:t>
      </w:r>
      <w:r>
        <w:rPr>
          <w:i/>
          <w:vertAlign w:val="subscript"/>
        </w:rPr>
        <w:t>k</w:t>
      </w:r>
      <w:r>
        <w:t xml:space="preserve"> (</w:t>
      </w:r>
      <w:r>
        <w:rPr>
          <w:i/>
        </w:rPr>
        <w:t>K</w:t>
      </w:r>
      <w:r>
        <w:t>=3</w:t>
      </w:r>
      <w:r>
        <w:t>) is averaged over the test set and expressed as a skill score (RPSS) against the month–hour class climatology. Because half-hourly samples are strongly autocorrelated, 95% confidence intervals are obtained with a block bootstrap that resamples whole days [60], [61], and differences between forecasts are tested with paired resamples of the same days (2000 resamples for the categorical scores and 300 for PR-AUC and BSS).</w:t>
      </w:r>
    </w:p>
    <w:p>
      <w:pPr>
        <w:pStyle w:val="Heading2"/>
        <w:numPr>
          <w:ilvl w:val="0"/>
          <w:numId w:val="0"/>
        </w:numPr>
      </w:pPr>
      <w:r>
        <w:t xml:space="preserve">H. </w:t>
      </w:r>
      <w:r>
        <w:t>Explainability</w:t>
      </w:r>
    </w:p>
    <w:p>
      <w:pPr>
        <w:pStyle w:val="Text"/>
      </w:pPr>
      <w:r>
        <w:t xml:space="preserve">The LightGBM models are explained with SHAP values [22], computed exactly for trees with TreeSHAP [23]. For a forecast with log-odds </w:t>
      </w:r>
      <w:r>
        <w:rPr>
          <w:i/>
        </w:rPr>
        <w:t>g</w:t>
      </w:r>
      <w:r>
        <w:t>(</w:t>
      </w:r>
      <w:r>
        <w:rPr>
          <w:b/>
        </w:rPr>
        <w:t>x</w:t>
      </w:r>
      <w:r>
        <w:t>)</w:t>
      </w:r>
      <w:r>
        <w:t xml:space="preserve"> the contributions </w:t>
      </w:r>
      <w:r>
        <w:rPr>
          <w:i/>
        </w:rPr>
        <w:t>φ</w:t>
      </w:r>
      <w:r>
        <w:rPr>
          <w:i/>
          <w:vertAlign w:val="subscript"/>
        </w:rPr>
        <w:t>j</w:t>
      </w:r>
      <w:r>
        <w:t xml:space="preserve"> satisfy local accuracy,</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t>g(𝐱)=</m:t>
        </m:r>
        <m:sSub>
          <m:e>
            <m:r>
              <m:t>ϕ</m:t>
            </m:r>
          </m:e>
          <m:sub>
            <m:r>
              <m:t>0</m:t>
            </m:r>
          </m:sub>
        </m:sSub>
        <m:r>
          <m:t>+</m:t>
        </m:r>
        <m:nary>
          <m:naryPr>
            <m:chr m:val="∑"/>
            <m:limLoc m:val="subSup"/>
            <m:grow m:val="1"/>
            <m:subHide m:val="off"/>
            <m:supHide m:val="off"/>
          </m:naryPr>
          <m:sub>
            <m:r>
              <m:t>j=1</m:t>
            </m:r>
          </m:sub>
          <m:sup>
            <m:r>
              <m:t>M</m:t>
            </m:r>
          </m:sup>
          <m:e>
            <m:sSub>
              <m:e>
                <m:r>
                  <m:t>ϕ</m:t>
                </m:r>
              </m:e>
              <m:sub>
                <m:r>
                  <m:t>j</m:t>
                </m:r>
              </m:sub>
            </m:sSub>
          </m:e>
        </m:nary>
      </m:oMath>
      <w:r>
        <w:tab/>
      </w:r>
      <w:r>
        <w:t>(6)</w:t>
      </w:r>
    </w:p>
    <w:p>
      <w:pPr>
        <w:pStyle w:val="Text"/>
      </w:pPr>
      <w:r>
        <w:t xml:space="preserve">where </w:t>
      </w:r>
      <w:r>
        <w:rPr>
          <w:i/>
        </w:rPr>
        <w:t>φ</w:t>
      </w:r>
      <w:r>
        <w:rPr>
          <w:i w:val="0"/>
          <w:vertAlign w:val="subscript"/>
        </w:rPr>
        <w:t>0</w:t>
      </w:r>
      <w:r>
        <w:t xml:space="preserve"> is the expected model output and </w:t>
      </w:r>
      <w:r>
        <w:rPr>
          <w:i/>
        </w:rPr>
        <w:t>φ</w:t>
      </w:r>
      <w:r>
        <w:rPr>
          <w:i/>
          <w:vertAlign w:val="subscript"/>
        </w:rPr>
        <w:t>j</w:t>
      </w:r>
      <w:r>
        <w:t xml:space="preserve"> is the Shapley value of feature </w:t>
      </w:r>
      <w:r>
        <w:rPr>
          <w:i/>
        </w:rPr>
        <w:t>j</w:t>
      </w:r>
      <w:r>
        <w:t xml:space="preserve"> [62]. Global importance is summarised by the mean absolute SHAP value on a test sample containing all fog cases and 6000 random non-fog cases, and dependence plots relate the contributions to the physical drivers of fog [21].</w:t>
      </w:r>
    </w:p>
    <w:p>
      <w:pPr>
        <w:pStyle w:val="Heading2"/>
        <w:numPr>
          <w:ilvl w:val="0"/>
          <w:numId w:val="0"/>
        </w:numPr>
      </w:pPr>
      <w:r>
        <w:t xml:space="preserve">I. </w:t>
      </w:r>
      <w:r>
        <w:t>Early-Warning Application</w:t>
      </w:r>
    </w:p>
    <w:p>
      <w:pPr>
        <w:pStyle w:val="Text"/>
      </w:pPr>
      <w:r>
        <w:t>The operational system is a FastAPI web application (Fig. 14). Every ten minutes it downloads the METARs of the last 120 h from the NOAA Aviation Weather Center (with IEM as fallback), runs exactly the same decoding, quality-control, gridding and feature code as the offline study, and publishes calibrated fog probabilities for 1–6 h, an ILS-category outlook for 1, 3 and 6 h, an alert level and the leading SHAP contributions. The alert is red when fog is observed or the 1–2-h probability exceeds its threshold, orange when only the 3–6-h forecasts exceed their thresholds, and yellow (watch) when any probability exceeds half of its threshold. Every forecast is stored and automatically verified once its valid time has passed, which provides a genuinely real-time verification record. A serverless public instance runs the same cycle every 30 min on GitHub Actions and publishes the dashboard at https://atasakik.github.io/esenboga-fog-nowcasting/.</w:t>
      </w:r>
    </w:p>
    <w:p>
      <w:pPr>
        <w:pStyle w:val="Heading1"/>
      </w:pPr>
      <w:r>
        <w:t xml:space="preserve">V. </w:t>
      </w:r>
      <w:r>
        <w:t>Results</w:t>
      </w:r>
    </w:p>
    <w:p>
      <w:pPr>
        <w:pStyle w:val="Heading2"/>
        <w:numPr>
          <w:ilvl w:val="0"/>
          <w:numId w:val="0"/>
        </w:numPr>
      </w:pPr>
      <w:r>
        <w:t xml:space="preserve">A. </w:t>
      </w:r>
      <w:r>
        <w:t>Overall Skill</w:t>
      </w:r>
    </w:p>
    <w:p>
      <w:pPr>
        <w:pStyle w:val="Text"/>
      </w:pPr>
      <w:r>
        <w:t>Table IV lists the scores of all forecasts on the four test seasons. At 1 h all ML models clearly outperform persistence; LightGBM attains the best CSI (0.729) and HSS (0.842) and a Brier skill score of 0.739, against a CSI of 0.652 for persistence. The margin grows with lead time: at 3 h the best CSI is 0.472 (LSTM) against 0.321 for persistence, and at 6 h 0.340 (LSTM) against 0.129. Persistence even becomes worse than climatology at 3 and 6 h (negative BSS), whereas all ML models keep a BSS between 0.26 and 0.32 at 6 h. The ROC areas exceed 0.98 for every model because of the many easy non-fog cases, so the PR curves in Fig. 3 are the more informative view: at 1 h the six models are nearly indistinguishable, while at 3 and 6 h the recurrent networks dominate a large part of the curve and achieve the highest PR-AUC (GRU: 0.685 and 0.517).</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widowControl w:val="0"/>
        <w:pBdr>
          <w:top w:val="nil"/>
          <w:left w:val="nil"/>
          <w:bottom w:val="nil"/>
          <w:right w:val="nil"/>
          <w:between w:val="nil"/>
        </w:pBdr>
        <w:spacing w:line="252" w:lineRule="auto"/>
        <w:ind w:firstLine="202"/>
        <w:jc w:val="center"/>
      </w:pPr>
      <w:r>
        <w:rPr>
          <w:sz w:val="16"/>
        </w:rPr>
        <w:t>TABLE IV</w:t>
      </w:r>
    </w:p>
    <w:p>
      <w:pPr>
        <w:pStyle w:val="TableTitle"/>
        <w:keepNext/>
        <w:spacing w:after="60"/>
      </w:pPr>
      <w:r>
        <w:rPr>
          <w:sz w:val="16"/>
        </w:rPr>
        <w:t>Verification of the fog (VIS &lt; 1000 m) forecasts on the test seasons 2022/23–2025/26</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037"/>
        <w:gridCol w:w="1037"/>
        <w:gridCol w:w="1037"/>
        <w:gridCol w:w="1037"/>
        <w:gridCol w:w="1037"/>
        <w:gridCol w:w="1037"/>
        <w:gridCol w:w="1037"/>
        <w:gridCol w:w="1037"/>
        <w:gridCol w:w="1037"/>
        <w:gridCol w:w="1037"/>
      </w:tblGrid>
      <w:tr>
        <w:tc>
          <w:tcPr>
            <w:tcW w:type="dxa" w:w="694"/>
            <w:tcBorders>
              <w:bottom w:val="single" w:sz="4" w:color="000000"/>
            </w:tcBorders>
          </w:tcPr>
          <w:p>
            <w:pPr>
              <w:spacing w:before="10" w:after="10"/>
              <w:jc w:val="left"/>
              <w:rPr>
                <w:sz w:val="15"/>
              </w:rPr>
            </w:pPr>
            <w:r>
              <w:rPr>
                <w:b/>
                <w:sz w:val="15"/>
              </w:rPr>
              <w:t>Lead</w:t>
            </w:r>
          </w:p>
        </w:tc>
        <w:tc>
          <w:tcPr>
            <w:tcW w:type="dxa" w:w="2235"/>
            <w:tcBorders>
              <w:bottom w:val="single" w:sz="4" w:color="000000"/>
            </w:tcBorders>
          </w:tcPr>
          <w:p>
            <w:pPr>
              <w:spacing w:before="10" w:after="10"/>
              <w:jc w:val="left"/>
              <w:rPr>
                <w:sz w:val="15"/>
              </w:rPr>
            </w:pPr>
            <w:r>
              <w:rPr>
                <w:b/>
                <w:sz w:val="15"/>
              </w:rPr>
              <w:t>Forecast</w:t>
            </w:r>
          </w:p>
        </w:tc>
        <w:tc>
          <w:tcPr>
            <w:tcW w:type="dxa" w:w="956"/>
            <w:tcBorders>
              <w:bottom w:val="single" w:sz="4" w:color="000000"/>
            </w:tcBorders>
          </w:tcPr>
          <w:p>
            <w:pPr>
              <w:spacing w:before="10" w:after="10"/>
              <w:jc w:val="center"/>
              <w:rPr>
                <w:sz w:val="15"/>
              </w:rPr>
            </w:pPr>
            <w:r>
              <w:rPr>
                <w:b/>
                <w:sz w:val="15"/>
              </w:rPr>
              <w:t>PR-AUC</w:t>
            </w:r>
          </w:p>
        </w:tc>
        <w:tc>
          <w:tcPr>
            <w:tcW w:type="dxa" w:w="956"/>
            <w:tcBorders>
              <w:bottom w:val="single" w:sz="4" w:color="000000"/>
            </w:tcBorders>
          </w:tcPr>
          <w:p>
            <w:pPr>
              <w:spacing w:before="10" w:after="10"/>
              <w:jc w:val="center"/>
              <w:rPr>
                <w:sz w:val="15"/>
              </w:rPr>
            </w:pPr>
            <w:r>
              <w:rPr>
                <w:b/>
                <w:sz w:val="15"/>
              </w:rPr>
              <w:t>ROC-AUC</w:t>
            </w:r>
          </w:p>
        </w:tc>
        <w:tc>
          <w:tcPr>
            <w:tcW w:type="dxa" w:w="956"/>
            <w:tcBorders>
              <w:bottom w:val="single" w:sz="4" w:color="000000"/>
            </w:tcBorders>
          </w:tcPr>
          <w:p>
            <w:pPr>
              <w:spacing w:before="10" w:after="10"/>
              <w:jc w:val="center"/>
              <w:rPr>
                <w:sz w:val="15"/>
              </w:rPr>
            </w:pPr>
            <w:r>
              <w:rPr>
                <w:b/>
                <w:sz w:val="15"/>
              </w:rPr>
              <w:t>BS</w:t>
            </w:r>
          </w:p>
        </w:tc>
        <w:tc>
          <w:tcPr>
            <w:tcW w:type="dxa" w:w="894"/>
            <w:tcBorders>
              <w:bottom w:val="single" w:sz="4" w:color="000000"/>
            </w:tcBorders>
          </w:tcPr>
          <w:p>
            <w:pPr>
              <w:spacing w:before="10" w:after="10"/>
              <w:jc w:val="center"/>
              <w:rPr>
                <w:sz w:val="15"/>
              </w:rPr>
            </w:pPr>
            <w:r>
              <w:rPr>
                <w:b/>
                <w:sz w:val="15"/>
              </w:rPr>
              <w:t>BSS</w:t>
            </w:r>
          </w:p>
        </w:tc>
        <w:tc>
          <w:tcPr>
            <w:tcW w:type="dxa" w:w="848"/>
            <w:tcBorders>
              <w:bottom w:val="single" w:sz="4" w:color="000000"/>
            </w:tcBorders>
          </w:tcPr>
          <w:p>
            <w:pPr>
              <w:spacing w:before="10" w:after="10"/>
              <w:jc w:val="center"/>
              <w:rPr>
                <w:sz w:val="15"/>
              </w:rPr>
            </w:pPr>
            <w:r>
              <w:rPr>
                <w:b/>
                <w:sz w:val="15"/>
              </w:rPr>
              <w:t>POD</w:t>
            </w:r>
          </w:p>
        </w:tc>
        <w:tc>
          <w:tcPr>
            <w:tcW w:type="dxa" w:w="848"/>
            <w:tcBorders>
              <w:bottom w:val="single" w:sz="4" w:color="000000"/>
            </w:tcBorders>
          </w:tcPr>
          <w:p>
            <w:pPr>
              <w:spacing w:before="10" w:after="10"/>
              <w:jc w:val="center"/>
              <w:rPr>
                <w:sz w:val="15"/>
              </w:rPr>
            </w:pPr>
            <w:r>
              <w:rPr>
                <w:b/>
                <w:sz w:val="15"/>
              </w:rPr>
              <w:t>FAR</w:t>
            </w:r>
          </w:p>
        </w:tc>
        <w:tc>
          <w:tcPr>
            <w:tcW w:type="dxa" w:w="848"/>
            <w:tcBorders>
              <w:bottom w:val="single" w:sz="4" w:color="000000"/>
            </w:tcBorders>
          </w:tcPr>
          <w:p>
            <w:pPr>
              <w:spacing w:before="10" w:after="10"/>
              <w:jc w:val="center"/>
              <w:rPr>
                <w:sz w:val="15"/>
              </w:rPr>
            </w:pPr>
            <w:r>
              <w:rPr>
                <w:b/>
                <w:sz w:val="15"/>
              </w:rPr>
              <w:t>CSI</w:t>
            </w:r>
          </w:p>
        </w:tc>
        <w:tc>
          <w:tcPr>
            <w:tcW w:type="dxa" w:w="848"/>
            <w:tcBorders>
              <w:bottom w:val="single" w:sz="4" w:color="000000"/>
            </w:tcBorders>
          </w:tcPr>
          <w:p>
            <w:pPr>
              <w:spacing w:before="10" w:after="10"/>
              <w:jc w:val="center"/>
              <w:rPr>
                <w:sz w:val="15"/>
              </w:rPr>
            </w:pPr>
            <w:r>
              <w:rPr>
                <w:b/>
                <w:sz w:val="15"/>
              </w:rPr>
              <w:t>HSS</w:t>
            </w:r>
          </w:p>
        </w:tc>
      </w:tr>
      <w:tr>
        <w:tc>
          <w:tcPr>
            <w:tcW w:type="dxa" w:w="694"/>
          </w:tcPr>
          <w:p>
            <w:pPr>
              <w:spacing w:before="10" w:after="10"/>
              <w:jc w:val="left"/>
              <w:rPr>
                <w:sz w:val="15"/>
              </w:rPr>
            </w:pPr>
            <w:r>
              <w:rPr>
                <w:sz w:val="15"/>
              </w:rPr>
              <w:t>1 h</w:t>
            </w:r>
          </w:p>
        </w:tc>
        <w:tc>
          <w:tcPr>
            <w:tcW w:type="dxa" w:w="2235"/>
          </w:tcPr>
          <w:p>
            <w:pPr>
              <w:spacing w:before="10" w:after="10"/>
              <w:jc w:val="left"/>
              <w:rPr>
                <w:sz w:val="15"/>
              </w:rPr>
            </w:pPr>
            <w:r>
              <w:rPr>
                <w:sz w:val="15"/>
              </w:rPr>
              <w:t>Logistic regression</w:t>
            </w:r>
          </w:p>
        </w:tc>
        <w:tc>
          <w:tcPr>
            <w:tcW w:type="dxa" w:w="956"/>
          </w:tcPr>
          <w:p>
            <w:pPr>
              <w:spacing w:before="10" w:after="10"/>
              <w:jc w:val="center"/>
              <w:rPr>
                <w:sz w:val="15"/>
              </w:rPr>
            </w:pPr>
            <w:r>
              <w:rPr>
                <w:sz w:val="15"/>
              </w:rPr>
              <w:t>0.885</w:t>
            </w:r>
          </w:p>
        </w:tc>
        <w:tc>
          <w:tcPr>
            <w:tcW w:type="dxa" w:w="956"/>
          </w:tcPr>
          <w:p>
            <w:pPr>
              <w:spacing w:before="10" w:after="10"/>
              <w:jc w:val="center"/>
              <w:rPr>
                <w:sz w:val="15"/>
              </w:rPr>
            </w:pPr>
            <w:r>
              <w:rPr>
                <w:sz w:val="15"/>
              </w:rPr>
              <w:t>0.997</w:t>
            </w:r>
          </w:p>
        </w:tc>
        <w:tc>
          <w:tcPr>
            <w:tcW w:type="dxa" w:w="956"/>
          </w:tcPr>
          <w:p>
            <w:pPr>
              <w:spacing w:before="10" w:after="10"/>
              <w:jc w:val="center"/>
              <w:rPr>
                <w:sz w:val="15"/>
              </w:rPr>
            </w:pPr>
            <w:r>
              <w:rPr>
                <w:sz w:val="15"/>
              </w:rPr>
              <w:t>0.0017</w:t>
            </w:r>
          </w:p>
        </w:tc>
        <w:tc>
          <w:tcPr>
            <w:tcW w:type="dxa" w:w="894"/>
          </w:tcPr>
          <w:p>
            <w:pPr>
              <w:spacing w:before="10" w:after="10"/>
              <w:jc w:val="center"/>
              <w:rPr>
                <w:sz w:val="15"/>
              </w:rPr>
            </w:pPr>
            <w:r>
              <w:rPr>
                <w:sz w:val="15"/>
              </w:rPr>
              <w:t>0.722</w:t>
            </w:r>
          </w:p>
        </w:tc>
        <w:tc>
          <w:tcPr>
            <w:tcW w:type="dxa" w:w="848"/>
          </w:tcPr>
          <w:p>
            <w:pPr>
              <w:spacing w:before="10" w:after="10"/>
              <w:jc w:val="center"/>
              <w:rPr>
                <w:sz w:val="15"/>
              </w:rPr>
            </w:pPr>
            <w:r>
              <w:rPr>
                <w:sz w:val="15"/>
              </w:rPr>
              <w:t>0.767</w:t>
            </w:r>
          </w:p>
        </w:tc>
        <w:tc>
          <w:tcPr>
            <w:tcW w:type="dxa" w:w="848"/>
          </w:tcPr>
          <w:p>
            <w:pPr>
              <w:spacing w:before="10" w:after="10"/>
              <w:jc w:val="center"/>
              <w:rPr>
                <w:sz w:val="15"/>
              </w:rPr>
            </w:pPr>
            <w:r>
              <w:rPr>
                <w:sz w:val="15"/>
              </w:rPr>
              <w:t>0.128</w:t>
            </w:r>
          </w:p>
        </w:tc>
        <w:tc>
          <w:tcPr>
            <w:tcW w:type="dxa" w:w="848"/>
          </w:tcPr>
          <w:p>
            <w:pPr>
              <w:spacing w:before="10" w:after="10"/>
              <w:jc w:val="center"/>
              <w:rPr>
                <w:sz w:val="15"/>
              </w:rPr>
            </w:pPr>
            <w:r>
              <w:rPr>
                <w:sz w:val="15"/>
              </w:rPr>
              <w:t>0.690</w:t>
            </w:r>
          </w:p>
        </w:tc>
        <w:tc>
          <w:tcPr>
            <w:tcW w:type="dxa" w:w="848"/>
          </w:tcPr>
          <w:p>
            <w:pPr>
              <w:spacing w:before="10" w:after="10"/>
              <w:jc w:val="center"/>
              <w:rPr>
                <w:sz w:val="15"/>
              </w:rPr>
            </w:pPr>
            <w:r>
              <w:rPr>
                <w:sz w:val="15"/>
              </w:rPr>
              <w:t>0.815</w:t>
            </w:r>
          </w:p>
        </w:tc>
      </w:tr>
      <w:tr>
        <w:tc>
          <w:tcPr>
            <w:tcW w:type="dxa" w:w="694"/>
          </w:tcPr>
          <w:p>
            <w:pPr>
              <w:spacing w:before="10" w:after="10"/>
              <w:jc w:val="left"/>
              <w:rPr>
                <w:sz w:val="15"/>
              </w:rPr>
            </w:pPr>
          </w:p>
        </w:tc>
        <w:tc>
          <w:tcPr>
            <w:tcW w:type="dxa" w:w="2235"/>
          </w:tcPr>
          <w:p>
            <w:pPr>
              <w:spacing w:before="10" w:after="10"/>
              <w:jc w:val="left"/>
              <w:rPr>
                <w:sz w:val="15"/>
              </w:rPr>
            </w:pPr>
            <w:r>
              <w:rPr>
                <w:sz w:val="15"/>
              </w:rPr>
              <w:t>Random forest</w:t>
            </w:r>
          </w:p>
        </w:tc>
        <w:tc>
          <w:tcPr>
            <w:tcW w:type="dxa" w:w="956"/>
          </w:tcPr>
          <w:p>
            <w:pPr>
              <w:spacing w:before="10" w:after="10"/>
              <w:jc w:val="center"/>
              <w:rPr>
                <w:sz w:val="15"/>
              </w:rPr>
            </w:pPr>
            <w:r>
              <w:rPr>
                <w:sz w:val="15"/>
              </w:rPr>
              <w:t>0.889</w:t>
            </w:r>
          </w:p>
        </w:tc>
        <w:tc>
          <w:tcPr>
            <w:tcW w:type="dxa" w:w="956"/>
          </w:tcPr>
          <w:p>
            <w:pPr>
              <w:spacing w:before="10" w:after="10"/>
              <w:jc w:val="center"/>
              <w:rPr>
                <w:sz w:val="15"/>
              </w:rPr>
            </w:pPr>
            <w:r>
              <w:rPr>
                <w:sz w:val="15"/>
              </w:rPr>
              <w:t>0.997</w:t>
            </w:r>
          </w:p>
        </w:tc>
        <w:tc>
          <w:tcPr>
            <w:tcW w:type="dxa" w:w="956"/>
          </w:tcPr>
          <w:p>
            <w:pPr>
              <w:spacing w:before="10" w:after="10"/>
              <w:jc w:val="center"/>
              <w:rPr>
                <w:sz w:val="15"/>
              </w:rPr>
            </w:pPr>
            <w:r>
              <w:rPr>
                <w:b/>
                <w:sz w:val="15"/>
              </w:rPr>
              <w:t>0.0016</w:t>
            </w:r>
          </w:p>
        </w:tc>
        <w:tc>
          <w:tcPr>
            <w:tcW w:type="dxa" w:w="894"/>
          </w:tcPr>
          <w:p>
            <w:pPr>
              <w:spacing w:before="10" w:after="10"/>
              <w:jc w:val="center"/>
              <w:rPr>
                <w:sz w:val="15"/>
              </w:rPr>
            </w:pPr>
            <w:r>
              <w:rPr>
                <w:sz w:val="15"/>
              </w:rPr>
              <w:t>0.733</w:t>
            </w:r>
          </w:p>
        </w:tc>
        <w:tc>
          <w:tcPr>
            <w:tcW w:type="dxa" w:w="848"/>
          </w:tcPr>
          <w:p>
            <w:pPr>
              <w:spacing w:before="10" w:after="10"/>
              <w:jc w:val="center"/>
              <w:rPr>
                <w:sz w:val="15"/>
              </w:rPr>
            </w:pPr>
            <w:r>
              <w:rPr>
                <w:sz w:val="15"/>
              </w:rPr>
              <w:t>0.794</w:t>
            </w:r>
          </w:p>
        </w:tc>
        <w:tc>
          <w:tcPr>
            <w:tcW w:type="dxa" w:w="848"/>
          </w:tcPr>
          <w:p>
            <w:pPr>
              <w:spacing w:before="10" w:after="10"/>
              <w:jc w:val="center"/>
              <w:rPr>
                <w:sz w:val="15"/>
              </w:rPr>
            </w:pPr>
            <w:r>
              <w:rPr>
                <w:sz w:val="15"/>
              </w:rPr>
              <w:t>0.122</w:t>
            </w:r>
          </w:p>
        </w:tc>
        <w:tc>
          <w:tcPr>
            <w:tcW w:type="dxa" w:w="848"/>
          </w:tcPr>
          <w:p>
            <w:pPr>
              <w:spacing w:before="10" w:after="10"/>
              <w:jc w:val="center"/>
              <w:rPr>
                <w:sz w:val="15"/>
              </w:rPr>
            </w:pPr>
            <w:r>
              <w:rPr>
                <w:sz w:val="15"/>
              </w:rPr>
              <w:t>0.715</w:t>
            </w:r>
          </w:p>
        </w:tc>
        <w:tc>
          <w:tcPr>
            <w:tcW w:type="dxa" w:w="848"/>
          </w:tcPr>
          <w:p>
            <w:pPr>
              <w:spacing w:before="10" w:after="10"/>
              <w:jc w:val="center"/>
              <w:rPr>
                <w:sz w:val="15"/>
              </w:rPr>
            </w:pPr>
            <w:r>
              <w:rPr>
                <w:sz w:val="15"/>
              </w:rPr>
              <w:t>0.833</w:t>
            </w:r>
          </w:p>
        </w:tc>
      </w:tr>
      <w:tr>
        <w:tc>
          <w:tcPr>
            <w:tcW w:type="dxa" w:w="694"/>
          </w:tcPr>
          <w:p>
            <w:pPr>
              <w:spacing w:before="10" w:after="10"/>
              <w:jc w:val="left"/>
              <w:rPr>
                <w:sz w:val="15"/>
              </w:rPr>
            </w:pPr>
          </w:p>
        </w:tc>
        <w:tc>
          <w:tcPr>
            <w:tcW w:type="dxa" w:w="2235"/>
          </w:tcPr>
          <w:p>
            <w:pPr>
              <w:spacing w:before="10" w:after="10"/>
              <w:jc w:val="left"/>
              <w:rPr>
                <w:sz w:val="15"/>
              </w:rPr>
            </w:pPr>
            <w:r>
              <w:rPr>
                <w:sz w:val="15"/>
              </w:rPr>
              <w:t>XGBoost</w:t>
            </w:r>
          </w:p>
        </w:tc>
        <w:tc>
          <w:tcPr>
            <w:tcW w:type="dxa" w:w="956"/>
          </w:tcPr>
          <w:p>
            <w:pPr>
              <w:spacing w:before="10" w:after="10"/>
              <w:jc w:val="center"/>
              <w:rPr>
                <w:sz w:val="15"/>
              </w:rPr>
            </w:pPr>
            <w:r>
              <w:rPr>
                <w:b/>
                <w:sz w:val="15"/>
              </w:rPr>
              <w:t>0.892</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b/>
                <w:sz w:val="15"/>
              </w:rPr>
              <w:t>0.0016</w:t>
            </w:r>
          </w:p>
        </w:tc>
        <w:tc>
          <w:tcPr>
            <w:tcW w:type="dxa" w:w="894"/>
          </w:tcPr>
          <w:p>
            <w:pPr>
              <w:spacing w:before="10" w:after="10"/>
              <w:jc w:val="center"/>
              <w:rPr>
                <w:sz w:val="15"/>
              </w:rPr>
            </w:pPr>
            <w:r>
              <w:rPr>
                <w:sz w:val="15"/>
              </w:rPr>
              <w:t>0.737</w:t>
            </w:r>
          </w:p>
        </w:tc>
        <w:tc>
          <w:tcPr>
            <w:tcW w:type="dxa" w:w="848"/>
          </w:tcPr>
          <w:p>
            <w:pPr>
              <w:spacing w:before="10" w:after="10"/>
              <w:jc w:val="center"/>
              <w:rPr>
                <w:sz w:val="15"/>
              </w:rPr>
            </w:pPr>
            <w:r>
              <w:rPr>
                <w:sz w:val="15"/>
              </w:rPr>
              <w:t>0.789</w:t>
            </w:r>
          </w:p>
        </w:tc>
        <w:tc>
          <w:tcPr>
            <w:tcW w:type="dxa" w:w="848"/>
          </w:tcPr>
          <w:p>
            <w:pPr>
              <w:spacing w:before="10" w:after="10"/>
              <w:jc w:val="center"/>
              <w:rPr>
                <w:sz w:val="15"/>
              </w:rPr>
            </w:pPr>
            <w:r>
              <w:rPr>
                <w:b/>
                <w:sz w:val="15"/>
              </w:rPr>
              <w:t>0.120</w:t>
            </w:r>
          </w:p>
        </w:tc>
        <w:tc>
          <w:tcPr>
            <w:tcW w:type="dxa" w:w="848"/>
          </w:tcPr>
          <w:p>
            <w:pPr>
              <w:spacing w:before="10" w:after="10"/>
              <w:jc w:val="center"/>
              <w:rPr>
                <w:sz w:val="15"/>
              </w:rPr>
            </w:pPr>
            <w:r>
              <w:rPr>
                <w:sz w:val="15"/>
              </w:rPr>
              <w:t>0.713</w:t>
            </w:r>
          </w:p>
        </w:tc>
        <w:tc>
          <w:tcPr>
            <w:tcW w:type="dxa" w:w="848"/>
          </w:tcPr>
          <w:p>
            <w:pPr>
              <w:spacing w:before="10" w:after="10"/>
              <w:jc w:val="center"/>
              <w:rPr>
                <w:sz w:val="15"/>
              </w:rPr>
            </w:pPr>
            <w:r>
              <w:rPr>
                <w:sz w:val="15"/>
              </w:rPr>
              <w:t>0.831</w:t>
            </w:r>
          </w:p>
        </w:tc>
      </w:tr>
      <w:tr>
        <w:tc>
          <w:tcPr>
            <w:tcW w:type="dxa" w:w="694"/>
          </w:tcPr>
          <w:p>
            <w:pPr>
              <w:spacing w:before="10" w:after="10"/>
              <w:jc w:val="left"/>
              <w:rPr>
                <w:sz w:val="15"/>
              </w:rPr>
            </w:pPr>
          </w:p>
        </w:tc>
        <w:tc>
          <w:tcPr>
            <w:tcW w:type="dxa" w:w="2235"/>
          </w:tcPr>
          <w:p>
            <w:pPr>
              <w:spacing w:before="10" w:after="10"/>
              <w:jc w:val="left"/>
              <w:rPr>
                <w:sz w:val="15"/>
              </w:rPr>
            </w:pPr>
            <w:r>
              <w:rPr>
                <w:sz w:val="15"/>
              </w:rPr>
              <w:t>LightGBM</w:t>
            </w:r>
          </w:p>
        </w:tc>
        <w:tc>
          <w:tcPr>
            <w:tcW w:type="dxa" w:w="956"/>
          </w:tcPr>
          <w:p>
            <w:pPr>
              <w:spacing w:before="10" w:after="10"/>
              <w:jc w:val="center"/>
              <w:rPr>
                <w:sz w:val="15"/>
              </w:rPr>
            </w:pPr>
            <w:r>
              <w:rPr>
                <w:sz w:val="15"/>
              </w:rPr>
              <w:t>0.891</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b/>
                <w:sz w:val="15"/>
              </w:rPr>
              <w:t>0.0016</w:t>
            </w:r>
          </w:p>
        </w:tc>
        <w:tc>
          <w:tcPr>
            <w:tcW w:type="dxa" w:w="894"/>
          </w:tcPr>
          <w:p>
            <w:pPr>
              <w:spacing w:before="10" w:after="10"/>
              <w:jc w:val="center"/>
              <w:rPr>
                <w:sz w:val="15"/>
              </w:rPr>
            </w:pPr>
            <w:r>
              <w:rPr>
                <w:b/>
                <w:sz w:val="15"/>
              </w:rPr>
              <w:t>0.739</w:t>
            </w:r>
          </w:p>
        </w:tc>
        <w:tc>
          <w:tcPr>
            <w:tcW w:type="dxa" w:w="848"/>
          </w:tcPr>
          <w:p>
            <w:pPr>
              <w:spacing w:before="10" w:after="10"/>
              <w:jc w:val="center"/>
              <w:rPr>
                <w:sz w:val="15"/>
              </w:rPr>
            </w:pPr>
            <w:r>
              <w:rPr>
                <w:b/>
                <w:sz w:val="15"/>
              </w:rPr>
              <w:t>0.825</w:t>
            </w:r>
          </w:p>
        </w:tc>
        <w:tc>
          <w:tcPr>
            <w:tcW w:type="dxa" w:w="848"/>
          </w:tcPr>
          <w:p>
            <w:pPr>
              <w:spacing w:before="10" w:after="10"/>
              <w:jc w:val="center"/>
              <w:rPr>
                <w:sz w:val="15"/>
              </w:rPr>
            </w:pPr>
            <w:r>
              <w:rPr>
                <w:sz w:val="15"/>
              </w:rPr>
              <w:t>0.138</w:t>
            </w:r>
          </w:p>
        </w:tc>
        <w:tc>
          <w:tcPr>
            <w:tcW w:type="dxa" w:w="848"/>
          </w:tcPr>
          <w:p>
            <w:pPr>
              <w:spacing w:before="10" w:after="10"/>
              <w:jc w:val="center"/>
              <w:rPr>
                <w:sz w:val="15"/>
              </w:rPr>
            </w:pPr>
            <w:r>
              <w:rPr>
                <w:b/>
                <w:sz w:val="15"/>
              </w:rPr>
              <w:t>0.729</w:t>
            </w:r>
          </w:p>
        </w:tc>
        <w:tc>
          <w:tcPr>
            <w:tcW w:type="dxa" w:w="848"/>
          </w:tcPr>
          <w:p>
            <w:pPr>
              <w:spacing w:before="10" w:after="10"/>
              <w:jc w:val="center"/>
              <w:rPr>
                <w:sz w:val="15"/>
              </w:rPr>
            </w:pPr>
            <w:r>
              <w:rPr>
                <w:b/>
                <w:sz w:val="15"/>
              </w:rPr>
              <w:t>0.842</w:t>
            </w:r>
          </w:p>
        </w:tc>
      </w:tr>
      <w:tr>
        <w:tc>
          <w:tcPr>
            <w:tcW w:type="dxa" w:w="694"/>
          </w:tcPr>
          <w:p>
            <w:pPr>
              <w:spacing w:before="10" w:after="10"/>
              <w:jc w:val="left"/>
              <w:rPr>
                <w:sz w:val="15"/>
              </w:rPr>
            </w:pPr>
          </w:p>
        </w:tc>
        <w:tc>
          <w:tcPr>
            <w:tcW w:type="dxa" w:w="2235"/>
          </w:tcPr>
          <w:p>
            <w:pPr>
              <w:spacing w:before="10" w:after="10"/>
              <w:jc w:val="left"/>
              <w:rPr>
                <w:sz w:val="15"/>
              </w:rPr>
            </w:pPr>
            <w:r>
              <w:rPr>
                <w:sz w:val="15"/>
              </w:rPr>
              <w:t>GRU</w:t>
            </w:r>
          </w:p>
        </w:tc>
        <w:tc>
          <w:tcPr>
            <w:tcW w:type="dxa" w:w="956"/>
          </w:tcPr>
          <w:p>
            <w:pPr>
              <w:spacing w:before="10" w:after="10"/>
              <w:jc w:val="center"/>
              <w:rPr>
                <w:sz w:val="15"/>
              </w:rPr>
            </w:pPr>
            <w:r>
              <w:rPr>
                <w:sz w:val="15"/>
              </w:rPr>
              <w:t>0.882</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sz w:val="15"/>
              </w:rPr>
              <w:t>0.0017</w:t>
            </w:r>
          </w:p>
        </w:tc>
        <w:tc>
          <w:tcPr>
            <w:tcW w:type="dxa" w:w="894"/>
          </w:tcPr>
          <w:p>
            <w:pPr>
              <w:spacing w:before="10" w:after="10"/>
              <w:jc w:val="center"/>
              <w:rPr>
                <w:sz w:val="15"/>
              </w:rPr>
            </w:pPr>
            <w:r>
              <w:rPr>
                <w:sz w:val="15"/>
              </w:rPr>
              <w:t>0.722</w:t>
            </w:r>
          </w:p>
        </w:tc>
        <w:tc>
          <w:tcPr>
            <w:tcW w:type="dxa" w:w="848"/>
          </w:tcPr>
          <w:p>
            <w:pPr>
              <w:spacing w:before="10" w:after="10"/>
              <w:jc w:val="center"/>
              <w:rPr>
                <w:sz w:val="15"/>
              </w:rPr>
            </w:pPr>
            <w:r>
              <w:rPr>
                <w:sz w:val="15"/>
              </w:rPr>
              <w:t>0.809</w:t>
            </w:r>
          </w:p>
        </w:tc>
        <w:tc>
          <w:tcPr>
            <w:tcW w:type="dxa" w:w="848"/>
          </w:tcPr>
          <w:p>
            <w:pPr>
              <w:spacing w:before="10" w:after="10"/>
              <w:jc w:val="center"/>
              <w:rPr>
                <w:sz w:val="15"/>
              </w:rPr>
            </w:pPr>
            <w:r>
              <w:rPr>
                <w:sz w:val="15"/>
              </w:rPr>
              <w:t>0.138</w:t>
            </w:r>
          </w:p>
        </w:tc>
        <w:tc>
          <w:tcPr>
            <w:tcW w:type="dxa" w:w="848"/>
          </w:tcPr>
          <w:p>
            <w:pPr>
              <w:spacing w:before="10" w:after="10"/>
              <w:jc w:val="center"/>
              <w:rPr>
                <w:sz w:val="15"/>
              </w:rPr>
            </w:pPr>
            <w:r>
              <w:rPr>
                <w:sz w:val="15"/>
              </w:rPr>
              <w:t>0.716</w:t>
            </w:r>
          </w:p>
        </w:tc>
        <w:tc>
          <w:tcPr>
            <w:tcW w:type="dxa" w:w="848"/>
          </w:tcPr>
          <w:p>
            <w:pPr>
              <w:spacing w:before="10" w:after="10"/>
              <w:jc w:val="center"/>
              <w:rPr>
                <w:sz w:val="15"/>
              </w:rPr>
            </w:pPr>
            <w:r>
              <w:rPr>
                <w:sz w:val="15"/>
              </w:rPr>
              <w:t>0.834</w:t>
            </w:r>
          </w:p>
        </w:tc>
      </w:tr>
      <w:tr>
        <w:tc>
          <w:tcPr>
            <w:tcW w:type="dxa" w:w="694"/>
          </w:tcPr>
          <w:p>
            <w:pPr>
              <w:spacing w:before="10" w:after="10"/>
              <w:jc w:val="left"/>
              <w:rPr>
                <w:sz w:val="15"/>
              </w:rPr>
            </w:pPr>
          </w:p>
        </w:tc>
        <w:tc>
          <w:tcPr>
            <w:tcW w:type="dxa" w:w="2235"/>
          </w:tcPr>
          <w:p>
            <w:pPr>
              <w:spacing w:before="10" w:after="10"/>
              <w:jc w:val="left"/>
              <w:rPr>
                <w:sz w:val="15"/>
              </w:rPr>
            </w:pPr>
            <w:r>
              <w:rPr>
                <w:sz w:val="15"/>
              </w:rPr>
              <w:t>LSTM</w:t>
            </w:r>
          </w:p>
        </w:tc>
        <w:tc>
          <w:tcPr>
            <w:tcW w:type="dxa" w:w="956"/>
          </w:tcPr>
          <w:p>
            <w:pPr>
              <w:spacing w:before="10" w:after="10"/>
              <w:jc w:val="center"/>
              <w:rPr>
                <w:sz w:val="15"/>
              </w:rPr>
            </w:pPr>
            <w:r>
              <w:rPr>
                <w:sz w:val="15"/>
              </w:rPr>
              <w:t>0.885</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sz w:val="15"/>
              </w:rPr>
              <w:t>0.0017</w:t>
            </w:r>
          </w:p>
        </w:tc>
        <w:tc>
          <w:tcPr>
            <w:tcW w:type="dxa" w:w="894"/>
          </w:tcPr>
          <w:p>
            <w:pPr>
              <w:spacing w:before="10" w:after="10"/>
              <w:jc w:val="center"/>
              <w:rPr>
                <w:sz w:val="15"/>
              </w:rPr>
            </w:pPr>
            <w:r>
              <w:rPr>
                <w:sz w:val="15"/>
              </w:rPr>
              <w:t>0.725</w:t>
            </w:r>
          </w:p>
        </w:tc>
        <w:tc>
          <w:tcPr>
            <w:tcW w:type="dxa" w:w="848"/>
          </w:tcPr>
          <w:p>
            <w:pPr>
              <w:spacing w:before="10" w:after="10"/>
              <w:jc w:val="center"/>
              <w:rPr>
                <w:sz w:val="15"/>
              </w:rPr>
            </w:pPr>
            <w:r>
              <w:rPr>
                <w:sz w:val="15"/>
              </w:rPr>
              <w:t>0.789</w:t>
            </w:r>
          </w:p>
        </w:tc>
        <w:tc>
          <w:tcPr>
            <w:tcW w:type="dxa" w:w="848"/>
          </w:tcPr>
          <w:p>
            <w:pPr>
              <w:spacing w:before="10" w:after="10"/>
              <w:jc w:val="center"/>
              <w:rPr>
                <w:sz w:val="15"/>
              </w:rPr>
            </w:pPr>
            <w:r>
              <w:rPr>
                <w:sz w:val="15"/>
              </w:rPr>
              <w:t>0.135</w:t>
            </w:r>
          </w:p>
        </w:tc>
        <w:tc>
          <w:tcPr>
            <w:tcW w:type="dxa" w:w="848"/>
          </w:tcPr>
          <w:p>
            <w:pPr>
              <w:spacing w:before="10" w:after="10"/>
              <w:jc w:val="center"/>
              <w:rPr>
                <w:sz w:val="15"/>
              </w:rPr>
            </w:pPr>
            <w:r>
              <w:rPr>
                <w:sz w:val="15"/>
              </w:rPr>
              <w:t>0.703</w:t>
            </w:r>
          </w:p>
        </w:tc>
        <w:tc>
          <w:tcPr>
            <w:tcW w:type="dxa" w:w="848"/>
          </w:tcPr>
          <w:p>
            <w:pPr>
              <w:spacing w:before="10" w:after="10"/>
              <w:jc w:val="center"/>
              <w:rPr>
                <w:sz w:val="15"/>
              </w:rPr>
            </w:pPr>
            <w:r>
              <w:rPr>
                <w:sz w:val="15"/>
              </w:rPr>
              <w:t>0.824</w:t>
            </w:r>
          </w:p>
        </w:tc>
      </w:tr>
      <w:tr>
        <w:tc>
          <w:tcPr>
            <w:tcW w:type="dxa" w:w="694"/>
          </w:tcPr>
          <w:p>
            <w:pPr>
              <w:spacing w:before="10" w:after="10"/>
              <w:jc w:val="left"/>
              <w:rPr>
                <w:sz w:val="15"/>
              </w:rPr>
            </w:pPr>
          </w:p>
        </w:tc>
        <w:tc>
          <w:tcPr>
            <w:tcW w:type="dxa" w:w="2235"/>
          </w:tcPr>
          <w:p>
            <w:pPr>
              <w:spacing w:before="10" w:after="10"/>
              <w:jc w:val="left"/>
              <w:rPr>
                <w:sz w:val="15"/>
              </w:rPr>
            </w:pPr>
            <w:r>
              <w:rPr>
                <w:sz w:val="15"/>
              </w:rPr>
              <w:t>Persistence</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0.0027</w:t>
            </w:r>
          </w:p>
        </w:tc>
        <w:tc>
          <w:tcPr>
            <w:tcW w:type="dxa" w:w="894"/>
          </w:tcPr>
          <w:p>
            <w:pPr>
              <w:spacing w:before="10" w:after="10"/>
              <w:jc w:val="center"/>
              <w:rPr>
                <w:sz w:val="15"/>
              </w:rPr>
            </w:pPr>
            <w:r>
              <w:rPr>
                <w:sz w:val="15"/>
              </w:rPr>
              <w:t>0.563</w:t>
            </w:r>
          </w:p>
        </w:tc>
        <w:tc>
          <w:tcPr>
            <w:tcW w:type="dxa" w:w="848"/>
          </w:tcPr>
          <w:p>
            <w:pPr>
              <w:spacing w:before="10" w:after="10"/>
              <w:jc w:val="center"/>
              <w:rPr>
                <w:sz w:val="15"/>
              </w:rPr>
            </w:pPr>
            <w:r>
              <w:rPr>
                <w:sz w:val="15"/>
              </w:rPr>
              <w:t>0.789</w:t>
            </w:r>
          </w:p>
        </w:tc>
        <w:tc>
          <w:tcPr>
            <w:tcW w:type="dxa" w:w="848"/>
          </w:tcPr>
          <w:p>
            <w:pPr>
              <w:spacing w:before="10" w:after="10"/>
              <w:jc w:val="center"/>
              <w:rPr>
                <w:sz w:val="15"/>
              </w:rPr>
            </w:pPr>
            <w:r>
              <w:rPr>
                <w:sz w:val="15"/>
              </w:rPr>
              <w:t>0.211</w:t>
            </w:r>
          </w:p>
        </w:tc>
        <w:tc>
          <w:tcPr>
            <w:tcW w:type="dxa" w:w="848"/>
          </w:tcPr>
          <w:p>
            <w:pPr>
              <w:spacing w:before="10" w:after="10"/>
              <w:jc w:val="center"/>
              <w:rPr>
                <w:sz w:val="15"/>
              </w:rPr>
            </w:pPr>
            <w:r>
              <w:rPr>
                <w:sz w:val="15"/>
              </w:rPr>
              <w:t>0.652</w:t>
            </w:r>
          </w:p>
        </w:tc>
        <w:tc>
          <w:tcPr>
            <w:tcW w:type="dxa" w:w="848"/>
          </w:tcPr>
          <w:p>
            <w:pPr>
              <w:spacing w:before="10" w:after="10"/>
              <w:jc w:val="center"/>
              <w:rPr>
                <w:sz w:val="15"/>
              </w:rPr>
            </w:pPr>
            <w:r>
              <w:rPr>
                <w:sz w:val="15"/>
              </w:rPr>
              <w:t>0.788</w:t>
            </w:r>
          </w:p>
        </w:tc>
      </w:tr>
      <w:tr>
        <w:tc>
          <w:tcPr>
            <w:tcW w:type="dxa" w:w="694"/>
          </w:tcPr>
          <w:p>
            <w:pPr>
              <w:spacing w:before="10" w:after="10"/>
              <w:jc w:val="left"/>
              <w:rPr>
                <w:sz w:val="15"/>
              </w:rPr>
            </w:pPr>
          </w:p>
        </w:tc>
        <w:tc>
          <w:tcPr>
            <w:tcW w:type="dxa" w:w="2235"/>
          </w:tcPr>
          <w:p>
            <w:pPr>
              <w:spacing w:before="10" w:after="10"/>
              <w:jc w:val="left"/>
              <w:rPr>
                <w:sz w:val="15"/>
              </w:rPr>
            </w:pPr>
            <w:r>
              <w:rPr>
                <w:sz w:val="15"/>
              </w:rPr>
              <w:t>TREND (prevailing)</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0.0029</w:t>
            </w:r>
          </w:p>
        </w:tc>
        <w:tc>
          <w:tcPr>
            <w:tcW w:type="dxa" w:w="894"/>
          </w:tcPr>
          <w:p>
            <w:pPr>
              <w:spacing w:before="10" w:after="10"/>
              <w:jc w:val="center"/>
              <w:rPr>
                <w:sz w:val="15"/>
              </w:rPr>
            </w:pPr>
            <w:r>
              <w:rPr>
                <w:sz w:val="15"/>
              </w:rPr>
              <w:t>0.529</w:t>
            </w:r>
          </w:p>
        </w:tc>
        <w:tc>
          <w:tcPr>
            <w:tcW w:type="dxa" w:w="848"/>
          </w:tcPr>
          <w:p>
            <w:pPr>
              <w:spacing w:before="10" w:after="10"/>
              <w:jc w:val="center"/>
              <w:rPr>
                <w:sz w:val="15"/>
              </w:rPr>
            </w:pPr>
            <w:r>
              <w:rPr>
                <w:sz w:val="15"/>
              </w:rPr>
              <w:t>0.753</w:t>
            </w:r>
          </w:p>
        </w:tc>
        <w:tc>
          <w:tcPr>
            <w:tcW w:type="dxa" w:w="848"/>
          </w:tcPr>
          <w:p>
            <w:pPr>
              <w:spacing w:before="10" w:after="10"/>
              <w:jc w:val="center"/>
              <w:rPr>
                <w:sz w:val="15"/>
              </w:rPr>
            </w:pPr>
            <w:r>
              <w:rPr>
                <w:sz w:val="15"/>
              </w:rPr>
              <w:t>0.217</w:t>
            </w:r>
          </w:p>
        </w:tc>
        <w:tc>
          <w:tcPr>
            <w:tcW w:type="dxa" w:w="848"/>
          </w:tcPr>
          <w:p>
            <w:pPr>
              <w:spacing w:before="10" w:after="10"/>
              <w:jc w:val="center"/>
              <w:rPr>
                <w:sz w:val="15"/>
              </w:rPr>
            </w:pPr>
            <w:r>
              <w:rPr>
                <w:sz w:val="15"/>
              </w:rPr>
              <w:t>0.623</w:t>
            </w:r>
          </w:p>
        </w:tc>
        <w:tc>
          <w:tcPr>
            <w:tcW w:type="dxa" w:w="848"/>
          </w:tcPr>
          <w:p>
            <w:pPr>
              <w:spacing w:before="10" w:after="10"/>
              <w:jc w:val="center"/>
              <w:rPr>
                <w:sz w:val="15"/>
              </w:rPr>
            </w:pPr>
            <w:r>
              <w:rPr>
                <w:sz w:val="15"/>
              </w:rPr>
              <w:t>0.767</w:t>
            </w:r>
          </w:p>
        </w:tc>
      </w:tr>
      <w:tr>
        <w:tc>
          <w:tcPr>
            <w:tcW w:type="dxa" w:w="694"/>
            <w:tcBorders>
              <w:bottom w:val="single" w:sz="4" w:color="000000"/>
            </w:tcBorders>
          </w:tcPr>
          <w:p>
            <w:pPr>
              <w:spacing w:before="10" w:after="10"/>
              <w:jc w:val="left"/>
              <w:rPr>
                <w:sz w:val="15"/>
              </w:rPr>
            </w:pPr>
          </w:p>
        </w:tc>
        <w:tc>
          <w:tcPr>
            <w:tcW w:type="dxa" w:w="2235"/>
            <w:tcBorders>
              <w:bottom w:val="single" w:sz="4" w:color="000000"/>
            </w:tcBorders>
          </w:tcPr>
          <w:p>
            <w:pPr>
              <w:spacing w:before="10" w:after="10"/>
              <w:jc w:val="left"/>
              <w:rPr>
                <w:sz w:val="15"/>
              </w:rPr>
            </w:pPr>
            <w:r>
              <w:rPr>
                <w:sz w:val="15"/>
              </w:rPr>
              <w:t>TREND (worst case)</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0.0030</w:t>
            </w:r>
          </w:p>
        </w:tc>
        <w:tc>
          <w:tcPr>
            <w:tcW w:type="dxa" w:w="894"/>
            <w:tcBorders>
              <w:bottom w:val="single" w:sz="4" w:color="000000"/>
            </w:tcBorders>
          </w:tcPr>
          <w:p>
            <w:pPr>
              <w:spacing w:before="10" w:after="10"/>
              <w:jc w:val="center"/>
              <w:rPr>
                <w:sz w:val="15"/>
              </w:rPr>
            </w:pPr>
            <w:r>
              <w:rPr>
                <w:sz w:val="15"/>
              </w:rPr>
              <w:t>0.512</w:t>
            </w:r>
          </w:p>
        </w:tc>
        <w:tc>
          <w:tcPr>
            <w:tcW w:type="dxa" w:w="848"/>
            <w:tcBorders>
              <w:bottom w:val="single" w:sz="4" w:color="000000"/>
            </w:tcBorders>
          </w:tcPr>
          <w:p>
            <w:pPr>
              <w:spacing w:before="10" w:after="10"/>
              <w:jc w:val="center"/>
              <w:rPr>
                <w:sz w:val="15"/>
              </w:rPr>
            </w:pPr>
            <w:r>
              <w:rPr>
                <w:sz w:val="15"/>
              </w:rPr>
              <w:t>0.774</w:t>
            </w:r>
          </w:p>
        </w:tc>
        <w:tc>
          <w:tcPr>
            <w:tcW w:type="dxa" w:w="848"/>
            <w:tcBorders>
              <w:bottom w:val="single" w:sz="4" w:color="000000"/>
            </w:tcBorders>
          </w:tcPr>
          <w:p>
            <w:pPr>
              <w:spacing w:before="10" w:after="10"/>
              <w:jc w:val="center"/>
              <w:rPr>
                <w:sz w:val="15"/>
              </w:rPr>
            </w:pPr>
            <w:r>
              <w:rPr>
                <w:sz w:val="15"/>
              </w:rPr>
              <w:t>0.240</w:t>
            </w:r>
          </w:p>
        </w:tc>
        <w:tc>
          <w:tcPr>
            <w:tcW w:type="dxa" w:w="848"/>
            <w:tcBorders>
              <w:bottom w:val="single" w:sz="4" w:color="000000"/>
            </w:tcBorders>
          </w:tcPr>
          <w:p>
            <w:pPr>
              <w:spacing w:before="10" w:after="10"/>
              <w:jc w:val="center"/>
              <w:rPr>
                <w:sz w:val="15"/>
              </w:rPr>
            </w:pPr>
            <w:r>
              <w:rPr>
                <w:sz w:val="15"/>
              </w:rPr>
              <w:t>0.622</w:t>
            </w:r>
          </w:p>
        </w:tc>
        <w:tc>
          <w:tcPr>
            <w:tcW w:type="dxa" w:w="848"/>
            <w:tcBorders>
              <w:bottom w:val="single" w:sz="4" w:color="000000"/>
            </w:tcBorders>
          </w:tcPr>
          <w:p>
            <w:pPr>
              <w:spacing w:before="10" w:after="10"/>
              <w:jc w:val="center"/>
              <w:rPr>
                <w:sz w:val="15"/>
              </w:rPr>
            </w:pPr>
            <w:r>
              <w:rPr>
                <w:sz w:val="15"/>
              </w:rPr>
              <w:t>0.765</w:t>
            </w:r>
          </w:p>
        </w:tc>
      </w:tr>
      <w:tr>
        <w:tc>
          <w:tcPr>
            <w:tcW w:type="dxa" w:w="694"/>
          </w:tcPr>
          <w:p>
            <w:pPr>
              <w:spacing w:before="10" w:after="10"/>
              <w:jc w:val="left"/>
              <w:rPr>
                <w:sz w:val="15"/>
              </w:rPr>
            </w:pPr>
            <w:r>
              <w:rPr>
                <w:sz w:val="15"/>
              </w:rPr>
              <w:t>3 h</w:t>
            </w:r>
          </w:p>
        </w:tc>
        <w:tc>
          <w:tcPr>
            <w:tcW w:type="dxa" w:w="2235"/>
          </w:tcPr>
          <w:p>
            <w:pPr>
              <w:spacing w:before="10" w:after="10"/>
              <w:jc w:val="left"/>
              <w:rPr>
                <w:sz w:val="15"/>
              </w:rPr>
            </w:pPr>
            <w:r>
              <w:rPr>
                <w:sz w:val="15"/>
              </w:rPr>
              <w:t>Logistic regression</w:t>
            </w:r>
          </w:p>
        </w:tc>
        <w:tc>
          <w:tcPr>
            <w:tcW w:type="dxa" w:w="956"/>
          </w:tcPr>
          <w:p>
            <w:pPr>
              <w:spacing w:before="10" w:after="10"/>
              <w:jc w:val="center"/>
              <w:rPr>
                <w:sz w:val="15"/>
              </w:rPr>
            </w:pPr>
            <w:r>
              <w:rPr>
                <w:sz w:val="15"/>
              </w:rPr>
              <w:t>0.637</w:t>
            </w:r>
          </w:p>
        </w:tc>
        <w:tc>
          <w:tcPr>
            <w:tcW w:type="dxa" w:w="956"/>
          </w:tcPr>
          <w:p>
            <w:pPr>
              <w:spacing w:before="10" w:after="10"/>
              <w:jc w:val="center"/>
              <w:rPr>
                <w:sz w:val="15"/>
              </w:rPr>
            </w:pPr>
            <w:r>
              <w:rPr>
                <w:sz w:val="15"/>
              </w:rPr>
              <w:t>0.993</w:t>
            </w:r>
          </w:p>
        </w:tc>
        <w:tc>
          <w:tcPr>
            <w:tcW w:type="dxa" w:w="956"/>
          </w:tcPr>
          <w:p>
            <w:pPr>
              <w:spacing w:before="10" w:after="10"/>
              <w:jc w:val="center"/>
              <w:rPr>
                <w:sz w:val="15"/>
              </w:rPr>
            </w:pPr>
            <w:r>
              <w:rPr>
                <w:sz w:val="15"/>
              </w:rPr>
              <w:t>0.0035</w:t>
            </w:r>
          </w:p>
        </w:tc>
        <w:tc>
          <w:tcPr>
            <w:tcW w:type="dxa" w:w="894"/>
          </w:tcPr>
          <w:p>
            <w:pPr>
              <w:spacing w:before="10" w:after="10"/>
              <w:jc w:val="center"/>
              <w:rPr>
                <w:sz w:val="15"/>
              </w:rPr>
            </w:pPr>
            <w:r>
              <w:rPr>
                <w:sz w:val="15"/>
              </w:rPr>
              <w:t>0.425</w:t>
            </w:r>
          </w:p>
        </w:tc>
        <w:tc>
          <w:tcPr>
            <w:tcW w:type="dxa" w:w="848"/>
          </w:tcPr>
          <w:p>
            <w:pPr>
              <w:spacing w:before="10" w:after="10"/>
              <w:jc w:val="center"/>
              <w:rPr>
                <w:sz w:val="15"/>
              </w:rPr>
            </w:pPr>
            <w:r>
              <w:rPr>
                <w:sz w:val="15"/>
              </w:rPr>
              <w:t>0.529</w:t>
            </w:r>
          </w:p>
        </w:tc>
        <w:tc>
          <w:tcPr>
            <w:tcW w:type="dxa" w:w="848"/>
          </w:tcPr>
          <w:p>
            <w:pPr>
              <w:spacing w:before="10" w:after="10"/>
              <w:jc w:val="center"/>
              <w:rPr>
                <w:sz w:val="15"/>
              </w:rPr>
            </w:pPr>
            <w:r>
              <w:rPr>
                <w:sz w:val="15"/>
              </w:rPr>
              <w:t>0.328</w:t>
            </w:r>
          </w:p>
        </w:tc>
        <w:tc>
          <w:tcPr>
            <w:tcW w:type="dxa" w:w="848"/>
          </w:tcPr>
          <w:p>
            <w:pPr>
              <w:spacing w:before="10" w:after="10"/>
              <w:jc w:val="center"/>
              <w:rPr>
                <w:sz w:val="15"/>
              </w:rPr>
            </w:pPr>
            <w:r>
              <w:rPr>
                <w:sz w:val="15"/>
              </w:rPr>
              <w:t>0.421</w:t>
            </w:r>
          </w:p>
        </w:tc>
        <w:tc>
          <w:tcPr>
            <w:tcW w:type="dxa" w:w="848"/>
          </w:tcPr>
          <w:p>
            <w:pPr>
              <w:spacing w:before="10" w:after="10"/>
              <w:jc w:val="center"/>
              <w:rPr>
                <w:sz w:val="15"/>
              </w:rPr>
            </w:pPr>
            <w:r>
              <w:rPr>
                <w:sz w:val="15"/>
              </w:rPr>
              <w:t>0.590</w:t>
            </w:r>
          </w:p>
        </w:tc>
      </w:tr>
      <w:tr>
        <w:tc>
          <w:tcPr>
            <w:tcW w:type="dxa" w:w="694"/>
          </w:tcPr>
          <w:p>
            <w:pPr>
              <w:spacing w:before="10" w:after="10"/>
              <w:jc w:val="left"/>
              <w:rPr>
                <w:sz w:val="15"/>
              </w:rPr>
            </w:pPr>
          </w:p>
        </w:tc>
        <w:tc>
          <w:tcPr>
            <w:tcW w:type="dxa" w:w="2235"/>
          </w:tcPr>
          <w:p>
            <w:pPr>
              <w:spacing w:before="10" w:after="10"/>
              <w:jc w:val="left"/>
              <w:rPr>
                <w:sz w:val="15"/>
              </w:rPr>
            </w:pPr>
            <w:r>
              <w:rPr>
                <w:sz w:val="15"/>
              </w:rPr>
              <w:t>Random forest</w:t>
            </w:r>
          </w:p>
        </w:tc>
        <w:tc>
          <w:tcPr>
            <w:tcW w:type="dxa" w:w="956"/>
          </w:tcPr>
          <w:p>
            <w:pPr>
              <w:spacing w:before="10" w:after="10"/>
              <w:jc w:val="center"/>
              <w:rPr>
                <w:sz w:val="15"/>
              </w:rPr>
            </w:pPr>
            <w:r>
              <w:rPr>
                <w:sz w:val="15"/>
              </w:rPr>
              <w:t>0.665</w:t>
            </w:r>
          </w:p>
        </w:tc>
        <w:tc>
          <w:tcPr>
            <w:tcW w:type="dxa" w:w="956"/>
          </w:tcPr>
          <w:p>
            <w:pPr>
              <w:spacing w:before="10" w:after="10"/>
              <w:jc w:val="center"/>
              <w:rPr>
                <w:sz w:val="15"/>
              </w:rPr>
            </w:pPr>
            <w:r>
              <w:rPr>
                <w:sz w:val="15"/>
              </w:rPr>
              <w:t>0.993</w:t>
            </w:r>
          </w:p>
        </w:tc>
        <w:tc>
          <w:tcPr>
            <w:tcW w:type="dxa" w:w="956"/>
          </w:tcPr>
          <w:p>
            <w:pPr>
              <w:spacing w:before="10" w:after="10"/>
              <w:jc w:val="center"/>
              <w:rPr>
                <w:sz w:val="15"/>
              </w:rPr>
            </w:pPr>
            <w:r>
              <w:rPr>
                <w:sz w:val="15"/>
              </w:rPr>
              <w:t>0.0034</w:t>
            </w:r>
          </w:p>
        </w:tc>
        <w:tc>
          <w:tcPr>
            <w:tcW w:type="dxa" w:w="894"/>
          </w:tcPr>
          <w:p>
            <w:pPr>
              <w:spacing w:before="10" w:after="10"/>
              <w:jc w:val="center"/>
              <w:rPr>
                <w:sz w:val="15"/>
              </w:rPr>
            </w:pPr>
            <w:r>
              <w:rPr>
                <w:sz w:val="15"/>
              </w:rPr>
              <w:t>0.455</w:t>
            </w:r>
          </w:p>
        </w:tc>
        <w:tc>
          <w:tcPr>
            <w:tcW w:type="dxa" w:w="848"/>
          </w:tcPr>
          <w:p>
            <w:pPr>
              <w:spacing w:before="10" w:after="10"/>
              <w:jc w:val="center"/>
              <w:rPr>
                <w:sz w:val="15"/>
              </w:rPr>
            </w:pPr>
            <w:r>
              <w:rPr>
                <w:sz w:val="15"/>
              </w:rPr>
              <w:t>0.574</w:t>
            </w:r>
          </w:p>
        </w:tc>
        <w:tc>
          <w:tcPr>
            <w:tcW w:type="dxa" w:w="848"/>
          </w:tcPr>
          <w:p>
            <w:pPr>
              <w:spacing w:before="10" w:after="10"/>
              <w:jc w:val="center"/>
              <w:rPr>
                <w:sz w:val="15"/>
              </w:rPr>
            </w:pPr>
            <w:r>
              <w:rPr>
                <w:sz w:val="15"/>
              </w:rPr>
              <w:t>0.279</w:t>
            </w:r>
          </w:p>
        </w:tc>
        <w:tc>
          <w:tcPr>
            <w:tcW w:type="dxa" w:w="848"/>
          </w:tcPr>
          <w:p>
            <w:pPr>
              <w:spacing w:before="10" w:after="10"/>
              <w:jc w:val="center"/>
              <w:rPr>
                <w:sz w:val="15"/>
              </w:rPr>
            </w:pPr>
            <w:r>
              <w:rPr>
                <w:sz w:val="15"/>
              </w:rPr>
              <w:t>0.470</w:t>
            </w:r>
          </w:p>
        </w:tc>
        <w:tc>
          <w:tcPr>
            <w:tcW w:type="dxa" w:w="848"/>
          </w:tcPr>
          <w:p>
            <w:pPr>
              <w:spacing w:before="10" w:after="10"/>
              <w:jc w:val="center"/>
              <w:rPr>
                <w:sz w:val="15"/>
              </w:rPr>
            </w:pPr>
            <w:r>
              <w:rPr>
                <w:sz w:val="15"/>
              </w:rPr>
              <w:t>0.637</w:t>
            </w:r>
          </w:p>
        </w:tc>
      </w:tr>
      <w:tr>
        <w:tc>
          <w:tcPr>
            <w:tcW w:type="dxa" w:w="694"/>
          </w:tcPr>
          <w:p>
            <w:pPr>
              <w:spacing w:before="10" w:after="10"/>
              <w:jc w:val="left"/>
              <w:rPr>
                <w:sz w:val="15"/>
              </w:rPr>
            </w:pPr>
          </w:p>
        </w:tc>
        <w:tc>
          <w:tcPr>
            <w:tcW w:type="dxa" w:w="2235"/>
          </w:tcPr>
          <w:p>
            <w:pPr>
              <w:spacing w:before="10" w:after="10"/>
              <w:jc w:val="left"/>
              <w:rPr>
                <w:sz w:val="15"/>
              </w:rPr>
            </w:pPr>
            <w:r>
              <w:rPr>
                <w:sz w:val="15"/>
              </w:rPr>
              <w:t>XGBoost</w:t>
            </w:r>
          </w:p>
        </w:tc>
        <w:tc>
          <w:tcPr>
            <w:tcW w:type="dxa" w:w="956"/>
          </w:tcPr>
          <w:p>
            <w:pPr>
              <w:spacing w:before="10" w:after="10"/>
              <w:jc w:val="center"/>
              <w:rPr>
                <w:sz w:val="15"/>
              </w:rPr>
            </w:pPr>
            <w:r>
              <w:rPr>
                <w:sz w:val="15"/>
              </w:rPr>
              <w:t>0.657</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sz w:val="15"/>
              </w:rPr>
              <w:t>0.0034</w:t>
            </w:r>
          </w:p>
        </w:tc>
        <w:tc>
          <w:tcPr>
            <w:tcW w:type="dxa" w:w="894"/>
          </w:tcPr>
          <w:p>
            <w:pPr>
              <w:spacing w:before="10" w:after="10"/>
              <w:jc w:val="center"/>
              <w:rPr>
                <w:sz w:val="15"/>
              </w:rPr>
            </w:pPr>
            <w:r>
              <w:rPr>
                <w:sz w:val="15"/>
              </w:rPr>
              <w:t>0.455</w:t>
            </w:r>
          </w:p>
        </w:tc>
        <w:tc>
          <w:tcPr>
            <w:tcW w:type="dxa" w:w="848"/>
          </w:tcPr>
          <w:p>
            <w:pPr>
              <w:spacing w:before="10" w:after="10"/>
              <w:jc w:val="center"/>
              <w:rPr>
                <w:sz w:val="15"/>
              </w:rPr>
            </w:pPr>
            <w:r>
              <w:rPr>
                <w:sz w:val="15"/>
              </w:rPr>
              <w:t>0.531</w:t>
            </w:r>
          </w:p>
        </w:tc>
        <w:tc>
          <w:tcPr>
            <w:tcW w:type="dxa" w:w="848"/>
          </w:tcPr>
          <w:p>
            <w:pPr>
              <w:spacing w:before="10" w:after="10"/>
              <w:jc w:val="center"/>
              <w:rPr>
                <w:sz w:val="15"/>
              </w:rPr>
            </w:pPr>
            <w:r>
              <w:rPr>
                <w:b/>
                <w:sz w:val="15"/>
              </w:rPr>
              <w:t>0.245</w:t>
            </w:r>
          </w:p>
        </w:tc>
        <w:tc>
          <w:tcPr>
            <w:tcW w:type="dxa" w:w="848"/>
          </w:tcPr>
          <w:p>
            <w:pPr>
              <w:spacing w:before="10" w:after="10"/>
              <w:jc w:val="center"/>
              <w:rPr>
                <w:sz w:val="15"/>
              </w:rPr>
            </w:pPr>
            <w:r>
              <w:rPr>
                <w:sz w:val="15"/>
              </w:rPr>
              <w:t>0.453</w:t>
            </w:r>
          </w:p>
        </w:tc>
        <w:tc>
          <w:tcPr>
            <w:tcW w:type="dxa" w:w="848"/>
          </w:tcPr>
          <w:p>
            <w:pPr>
              <w:spacing w:before="10" w:after="10"/>
              <w:jc w:val="center"/>
              <w:rPr>
                <w:sz w:val="15"/>
              </w:rPr>
            </w:pPr>
            <w:r>
              <w:rPr>
                <w:sz w:val="15"/>
              </w:rPr>
              <w:t>0.622</w:t>
            </w:r>
          </w:p>
        </w:tc>
      </w:tr>
      <w:tr>
        <w:tc>
          <w:tcPr>
            <w:tcW w:type="dxa" w:w="694"/>
          </w:tcPr>
          <w:p>
            <w:pPr>
              <w:spacing w:before="10" w:after="10"/>
              <w:jc w:val="left"/>
              <w:rPr>
                <w:sz w:val="15"/>
              </w:rPr>
            </w:pPr>
          </w:p>
        </w:tc>
        <w:tc>
          <w:tcPr>
            <w:tcW w:type="dxa" w:w="2235"/>
          </w:tcPr>
          <w:p>
            <w:pPr>
              <w:spacing w:before="10" w:after="10"/>
              <w:jc w:val="left"/>
              <w:rPr>
                <w:sz w:val="15"/>
              </w:rPr>
            </w:pPr>
            <w:r>
              <w:rPr>
                <w:sz w:val="15"/>
              </w:rPr>
              <w:t>LightGBM</w:t>
            </w:r>
          </w:p>
        </w:tc>
        <w:tc>
          <w:tcPr>
            <w:tcW w:type="dxa" w:w="956"/>
          </w:tcPr>
          <w:p>
            <w:pPr>
              <w:spacing w:before="10" w:after="10"/>
              <w:jc w:val="center"/>
              <w:rPr>
                <w:sz w:val="15"/>
              </w:rPr>
            </w:pPr>
            <w:r>
              <w:rPr>
                <w:sz w:val="15"/>
              </w:rPr>
              <w:t>0.657</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sz w:val="15"/>
              </w:rPr>
              <w:t>0.0034</w:t>
            </w:r>
          </w:p>
        </w:tc>
        <w:tc>
          <w:tcPr>
            <w:tcW w:type="dxa" w:w="894"/>
          </w:tcPr>
          <w:p>
            <w:pPr>
              <w:spacing w:before="10" w:after="10"/>
              <w:jc w:val="center"/>
              <w:rPr>
                <w:sz w:val="15"/>
              </w:rPr>
            </w:pPr>
            <w:r>
              <w:rPr>
                <w:sz w:val="15"/>
              </w:rPr>
              <w:t>0.455</w:t>
            </w:r>
          </w:p>
        </w:tc>
        <w:tc>
          <w:tcPr>
            <w:tcW w:type="dxa" w:w="848"/>
          </w:tcPr>
          <w:p>
            <w:pPr>
              <w:spacing w:before="10" w:after="10"/>
              <w:jc w:val="center"/>
              <w:rPr>
                <w:sz w:val="15"/>
              </w:rPr>
            </w:pPr>
            <w:r>
              <w:rPr>
                <w:sz w:val="15"/>
              </w:rPr>
              <w:t>0.585</w:t>
            </w:r>
          </w:p>
        </w:tc>
        <w:tc>
          <w:tcPr>
            <w:tcW w:type="dxa" w:w="848"/>
          </w:tcPr>
          <w:p>
            <w:pPr>
              <w:spacing w:before="10" w:after="10"/>
              <w:jc w:val="center"/>
              <w:rPr>
                <w:sz w:val="15"/>
              </w:rPr>
            </w:pPr>
            <w:r>
              <w:rPr>
                <w:sz w:val="15"/>
              </w:rPr>
              <w:t>0.302</w:t>
            </w:r>
          </w:p>
        </w:tc>
        <w:tc>
          <w:tcPr>
            <w:tcW w:type="dxa" w:w="848"/>
          </w:tcPr>
          <w:p>
            <w:pPr>
              <w:spacing w:before="10" w:after="10"/>
              <w:jc w:val="center"/>
              <w:rPr>
                <w:sz w:val="15"/>
              </w:rPr>
            </w:pPr>
            <w:r>
              <w:rPr>
                <w:sz w:val="15"/>
              </w:rPr>
              <w:t>0.467</w:t>
            </w:r>
          </w:p>
        </w:tc>
        <w:tc>
          <w:tcPr>
            <w:tcW w:type="dxa" w:w="848"/>
          </w:tcPr>
          <w:p>
            <w:pPr>
              <w:spacing w:before="10" w:after="10"/>
              <w:jc w:val="center"/>
              <w:rPr>
                <w:sz w:val="15"/>
              </w:rPr>
            </w:pPr>
            <w:r>
              <w:rPr>
                <w:sz w:val="15"/>
              </w:rPr>
              <w:t>0.634</w:t>
            </w:r>
          </w:p>
        </w:tc>
      </w:tr>
      <w:tr>
        <w:tc>
          <w:tcPr>
            <w:tcW w:type="dxa" w:w="694"/>
          </w:tcPr>
          <w:p>
            <w:pPr>
              <w:spacing w:before="10" w:after="10"/>
              <w:jc w:val="left"/>
              <w:rPr>
                <w:sz w:val="15"/>
              </w:rPr>
            </w:pPr>
          </w:p>
        </w:tc>
        <w:tc>
          <w:tcPr>
            <w:tcW w:type="dxa" w:w="2235"/>
          </w:tcPr>
          <w:p>
            <w:pPr>
              <w:spacing w:before="10" w:after="10"/>
              <w:jc w:val="left"/>
              <w:rPr>
                <w:sz w:val="15"/>
              </w:rPr>
            </w:pPr>
            <w:r>
              <w:rPr>
                <w:sz w:val="15"/>
              </w:rPr>
              <w:t>GRU</w:t>
            </w:r>
          </w:p>
        </w:tc>
        <w:tc>
          <w:tcPr>
            <w:tcW w:type="dxa" w:w="956"/>
          </w:tcPr>
          <w:p>
            <w:pPr>
              <w:spacing w:before="10" w:after="10"/>
              <w:jc w:val="center"/>
              <w:rPr>
                <w:sz w:val="15"/>
              </w:rPr>
            </w:pPr>
            <w:r>
              <w:rPr>
                <w:b/>
                <w:sz w:val="15"/>
              </w:rPr>
              <w:t>0.685</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b/>
                <w:sz w:val="15"/>
              </w:rPr>
              <w:t>0.0033</w:t>
            </w:r>
          </w:p>
        </w:tc>
        <w:tc>
          <w:tcPr>
            <w:tcW w:type="dxa" w:w="894"/>
          </w:tcPr>
          <w:p>
            <w:pPr>
              <w:spacing w:before="10" w:after="10"/>
              <w:jc w:val="center"/>
              <w:rPr>
                <w:sz w:val="15"/>
              </w:rPr>
            </w:pPr>
            <w:r>
              <w:rPr>
                <w:sz w:val="15"/>
              </w:rPr>
              <w:t>0.462</w:t>
            </w:r>
          </w:p>
        </w:tc>
        <w:tc>
          <w:tcPr>
            <w:tcW w:type="dxa" w:w="848"/>
          </w:tcPr>
          <w:p>
            <w:pPr>
              <w:spacing w:before="10" w:after="10"/>
              <w:jc w:val="center"/>
              <w:rPr>
                <w:sz w:val="15"/>
              </w:rPr>
            </w:pPr>
            <w:r>
              <w:rPr>
                <w:sz w:val="15"/>
              </w:rPr>
              <w:t>0.543</w:t>
            </w:r>
          </w:p>
        </w:tc>
        <w:tc>
          <w:tcPr>
            <w:tcW w:type="dxa" w:w="848"/>
          </w:tcPr>
          <w:p>
            <w:pPr>
              <w:spacing w:before="10" w:after="10"/>
              <w:jc w:val="center"/>
              <w:rPr>
                <w:sz w:val="15"/>
              </w:rPr>
            </w:pPr>
            <w:r>
              <w:rPr>
                <w:sz w:val="15"/>
              </w:rPr>
              <w:t>0.255</w:t>
            </w:r>
          </w:p>
        </w:tc>
        <w:tc>
          <w:tcPr>
            <w:tcW w:type="dxa" w:w="848"/>
          </w:tcPr>
          <w:p>
            <w:pPr>
              <w:spacing w:before="10" w:after="10"/>
              <w:jc w:val="center"/>
              <w:rPr>
                <w:sz w:val="15"/>
              </w:rPr>
            </w:pPr>
            <w:r>
              <w:rPr>
                <w:sz w:val="15"/>
              </w:rPr>
              <w:t>0.457</w:t>
            </w:r>
          </w:p>
        </w:tc>
        <w:tc>
          <w:tcPr>
            <w:tcW w:type="dxa" w:w="848"/>
          </w:tcPr>
          <w:p>
            <w:pPr>
              <w:spacing w:before="10" w:after="10"/>
              <w:jc w:val="center"/>
              <w:rPr>
                <w:sz w:val="15"/>
              </w:rPr>
            </w:pPr>
            <w:r>
              <w:rPr>
                <w:sz w:val="15"/>
              </w:rPr>
              <w:t>0.626</w:t>
            </w:r>
          </w:p>
        </w:tc>
      </w:tr>
      <w:tr>
        <w:tc>
          <w:tcPr>
            <w:tcW w:type="dxa" w:w="694"/>
          </w:tcPr>
          <w:p>
            <w:pPr>
              <w:spacing w:before="10" w:after="10"/>
              <w:jc w:val="left"/>
              <w:rPr>
                <w:sz w:val="15"/>
              </w:rPr>
            </w:pPr>
          </w:p>
        </w:tc>
        <w:tc>
          <w:tcPr>
            <w:tcW w:type="dxa" w:w="2235"/>
          </w:tcPr>
          <w:p>
            <w:pPr>
              <w:spacing w:before="10" w:after="10"/>
              <w:jc w:val="left"/>
              <w:rPr>
                <w:sz w:val="15"/>
              </w:rPr>
            </w:pPr>
            <w:r>
              <w:rPr>
                <w:sz w:val="15"/>
              </w:rPr>
              <w:t>LSTM</w:t>
            </w:r>
          </w:p>
        </w:tc>
        <w:tc>
          <w:tcPr>
            <w:tcW w:type="dxa" w:w="956"/>
          </w:tcPr>
          <w:p>
            <w:pPr>
              <w:spacing w:before="10" w:after="10"/>
              <w:jc w:val="center"/>
              <w:rPr>
                <w:sz w:val="15"/>
              </w:rPr>
            </w:pPr>
            <w:r>
              <w:rPr>
                <w:sz w:val="15"/>
              </w:rPr>
              <w:t>0.673</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b/>
                <w:sz w:val="15"/>
              </w:rPr>
              <w:t>0.0033</w:t>
            </w:r>
          </w:p>
        </w:tc>
        <w:tc>
          <w:tcPr>
            <w:tcW w:type="dxa" w:w="894"/>
          </w:tcPr>
          <w:p>
            <w:pPr>
              <w:spacing w:before="10" w:after="10"/>
              <w:jc w:val="center"/>
              <w:rPr>
                <w:sz w:val="15"/>
              </w:rPr>
            </w:pPr>
            <w:r>
              <w:rPr>
                <w:b/>
                <w:sz w:val="15"/>
              </w:rPr>
              <w:t>0.463</w:t>
            </w:r>
          </w:p>
        </w:tc>
        <w:tc>
          <w:tcPr>
            <w:tcW w:type="dxa" w:w="848"/>
          </w:tcPr>
          <w:p>
            <w:pPr>
              <w:spacing w:before="10" w:after="10"/>
              <w:jc w:val="center"/>
              <w:rPr>
                <w:sz w:val="15"/>
              </w:rPr>
            </w:pPr>
            <w:r>
              <w:rPr>
                <w:b/>
                <w:sz w:val="15"/>
              </w:rPr>
              <w:t>0.612</w:t>
            </w:r>
          </w:p>
        </w:tc>
        <w:tc>
          <w:tcPr>
            <w:tcW w:type="dxa" w:w="848"/>
          </w:tcPr>
          <w:p>
            <w:pPr>
              <w:spacing w:before="10" w:after="10"/>
              <w:jc w:val="center"/>
              <w:rPr>
                <w:sz w:val="15"/>
              </w:rPr>
            </w:pPr>
            <w:r>
              <w:rPr>
                <w:sz w:val="15"/>
              </w:rPr>
              <w:t>0.328</w:t>
            </w:r>
          </w:p>
        </w:tc>
        <w:tc>
          <w:tcPr>
            <w:tcW w:type="dxa" w:w="848"/>
          </w:tcPr>
          <w:p>
            <w:pPr>
              <w:spacing w:before="10" w:after="10"/>
              <w:jc w:val="center"/>
              <w:rPr>
                <w:sz w:val="15"/>
              </w:rPr>
            </w:pPr>
            <w:r>
              <w:rPr>
                <w:b/>
                <w:sz w:val="15"/>
              </w:rPr>
              <w:t>0.472</w:t>
            </w:r>
          </w:p>
        </w:tc>
        <w:tc>
          <w:tcPr>
            <w:tcW w:type="dxa" w:w="848"/>
          </w:tcPr>
          <w:p>
            <w:pPr>
              <w:spacing w:before="10" w:after="10"/>
              <w:jc w:val="center"/>
              <w:rPr>
                <w:sz w:val="15"/>
              </w:rPr>
            </w:pPr>
            <w:r>
              <w:rPr>
                <w:b/>
                <w:sz w:val="15"/>
              </w:rPr>
              <w:t>0.639</w:t>
            </w:r>
          </w:p>
        </w:tc>
      </w:tr>
      <w:tr>
        <w:tc>
          <w:tcPr>
            <w:tcW w:type="dxa" w:w="694"/>
            <w:tcBorders>
              <w:bottom w:val="single" w:sz="4" w:color="000000"/>
            </w:tcBorders>
          </w:tcPr>
          <w:p>
            <w:pPr>
              <w:spacing w:before="10" w:after="10"/>
              <w:jc w:val="left"/>
              <w:rPr>
                <w:sz w:val="15"/>
              </w:rPr>
            </w:pPr>
          </w:p>
        </w:tc>
        <w:tc>
          <w:tcPr>
            <w:tcW w:type="dxa" w:w="2235"/>
            <w:tcBorders>
              <w:bottom w:val="single" w:sz="4" w:color="000000"/>
            </w:tcBorders>
          </w:tcPr>
          <w:p>
            <w:pPr>
              <w:spacing w:before="10" w:after="10"/>
              <w:jc w:val="left"/>
              <w:rPr>
                <w:sz w:val="15"/>
              </w:rPr>
            </w:pPr>
            <w:r>
              <w:rPr>
                <w:sz w:val="15"/>
              </w:rPr>
              <w:t>Persistence</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0.0065</w:t>
            </w:r>
          </w:p>
        </w:tc>
        <w:tc>
          <w:tcPr>
            <w:tcW w:type="dxa" w:w="894"/>
            <w:tcBorders>
              <w:bottom w:val="single" w:sz="4" w:color="000000"/>
            </w:tcBorders>
          </w:tcPr>
          <w:p>
            <w:pPr>
              <w:spacing w:before="10" w:after="10"/>
              <w:jc w:val="center"/>
              <w:rPr>
                <w:sz w:val="15"/>
              </w:rPr>
            </w:pPr>
            <w:r>
              <w:rPr>
                <w:sz w:val="15"/>
              </w:rPr>
              <w:t>-0.063</w:t>
            </w:r>
          </w:p>
        </w:tc>
        <w:tc>
          <w:tcPr>
            <w:tcW w:type="dxa" w:w="848"/>
            <w:tcBorders>
              <w:bottom w:val="single" w:sz="4" w:color="000000"/>
            </w:tcBorders>
          </w:tcPr>
          <w:p>
            <w:pPr>
              <w:spacing w:before="10" w:after="10"/>
              <w:jc w:val="center"/>
              <w:rPr>
                <w:sz w:val="15"/>
              </w:rPr>
            </w:pPr>
            <w:r>
              <w:rPr>
                <w:sz w:val="15"/>
              </w:rPr>
              <w:t>0.487</w:t>
            </w:r>
          </w:p>
        </w:tc>
        <w:tc>
          <w:tcPr>
            <w:tcW w:type="dxa" w:w="848"/>
            <w:tcBorders>
              <w:bottom w:val="single" w:sz="4" w:color="000000"/>
            </w:tcBorders>
          </w:tcPr>
          <w:p>
            <w:pPr>
              <w:spacing w:before="10" w:after="10"/>
              <w:jc w:val="center"/>
              <w:rPr>
                <w:sz w:val="15"/>
              </w:rPr>
            </w:pPr>
            <w:r>
              <w:rPr>
                <w:sz w:val="15"/>
              </w:rPr>
              <w:t>0.513</w:t>
            </w:r>
          </w:p>
        </w:tc>
        <w:tc>
          <w:tcPr>
            <w:tcW w:type="dxa" w:w="848"/>
            <w:tcBorders>
              <w:bottom w:val="single" w:sz="4" w:color="000000"/>
            </w:tcBorders>
          </w:tcPr>
          <w:p>
            <w:pPr>
              <w:spacing w:before="10" w:after="10"/>
              <w:jc w:val="center"/>
              <w:rPr>
                <w:sz w:val="15"/>
              </w:rPr>
            </w:pPr>
            <w:r>
              <w:rPr>
                <w:sz w:val="15"/>
              </w:rPr>
              <w:t>0.321</w:t>
            </w:r>
          </w:p>
        </w:tc>
        <w:tc>
          <w:tcPr>
            <w:tcW w:type="dxa" w:w="848"/>
            <w:tcBorders>
              <w:bottom w:val="single" w:sz="4" w:color="000000"/>
            </w:tcBorders>
          </w:tcPr>
          <w:p>
            <w:pPr>
              <w:spacing w:before="10" w:after="10"/>
              <w:jc w:val="center"/>
              <w:rPr>
                <w:sz w:val="15"/>
              </w:rPr>
            </w:pPr>
            <w:r>
              <w:rPr>
                <w:sz w:val="15"/>
              </w:rPr>
              <w:t>0.483</w:t>
            </w:r>
          </w:p>
        </w:tc>
      </w:tr>
      <w:tr>
        <w:tc>
          <w:tcPr>
            <w:tcW w:type="dxa" w:w="694"/>
          </w:tcPr>
          <w:p>
            <w:pPr>
              <w:spacing w:before="10" w:after="10"/>
              <w:jc w:val="left"/>
              <w:rPr>
                <w:sz w:val="15"/>
              </w:rPr>
            </w:pPr>
            <w:r>
              <w:rPr>
                <w:sz w:val="15"/>
              </w:rPr>
              <w:t>6 h</w:t>
            </w:r>
          </w:p>
        </w:tc>
        <w:tc>
          <w:tcPr>
            <w:tcW w:type="dxa" w:w="2235"/>
          </w:tcPr>
          <w:p>
            <w:pPr>
              <w:spacing w:before="10" w:after="10"/>
              <w:jc w:val="left"/>
              <w:rPr>
                <w:sz w:val="15"/>
              </w:rPr>
            </w:pPr>
            <w:r>
              <w:rPr>
                <w:sz w:val="15"/>
              </w:rPr>
              <w:t>Logistic regression</w:t>
            </w:r>
          </w:p>
        </w:tc>
        <w:tc>
          <w:tcPr>
            <w:tcW w:type="dxa" w:w="956"/>
          </w:tcPr>
          <w:p>
            <w:pPr>
              <w:spacing w:before="10" w:after="10"/>
              <w:jc w:val="center"/>
              <w:rPr>
                <w:sz w:val="15"/>
              </w:rPr>
            </w:pPr>
            <w:r>
              <w:rPr>
                <w:sz w:val="15"/>
              </w:rPr>
              <w:t>0.453</w:t>
            </w:r>
          </w:p>
        </w:tc>
        <w:tc>
          <w:tcPr>
            <w:tcW w:type="dxa" w:w="956"/>
          </w:tcPr>
          <w:p>
            <w:pPr>
              <w:spacing w:before="10" w:after="10"/>
              <w:jc w:val="center"/>
              <w:rPr>
                <w:sz w:val="15"/>
              </w:rPr>
            </w:pPr>
            <w:r>
              <w:rPr>
                <w:sz w:val="15"/>
              </w:rPr>
              <w:t>0.987</w:t>
            </w:r>
          </w:p>
        </w:tc>
        <w:tc>
          <w:tcPr>
            <w:tcW w:type="dxa" w:w="956"/>
          </w:tcPr>
          <w:p>
            <w:pPr>
              <w:spacing w:before="10" w:after="10"/>
              <w:jc w:val="center"/>
              <w:rPr>
                <w:sz w:val="15"/>
              </w:rPr>
            </w:pPr>
            <w:r>
              <w:rPr>
                <w:sz w:val="15"/>
              </w:rPr>
              <w:t>0.0045</w:t>
            </w:r>
          </w:p>
        </w:tc>
        <w:tc>
          <w:tcPr>
            <w:tcW w:type="dxa" w:w="894"/>
          </w:tcPr>
          <w:p>
            <w:pPr>
              <w:spacing w:before="10" w:after="10"/>
              <w:jc w:val="center"/>
              <w:rPr>
                <w:sz w:val="15"/>
              </w:rPr>
            </w:pPr>
            <w:r>
              <w:rPr>
                <w:sz w:val="15"/>
              </w:rPr>
              <w:t>0.264</w:t>
            </w:r>
          </w:p>
        </w:tc>
        <w:tc>
          <w:tcPr>
            <w:tcW w:type="dxa" w:w="848"/>
          </w:tcPr>
          <w:p>
            <w:pPr>
              <w:spacing w:before="10" w:after="10"/>
              <w:jc w:val="center"/>
              <w:rPr>
                <w:sz w:val="15"/>
              </w:rPr>
            </w:pPr>
            <w:r>
              <w:rPr>
                <w:sz w:val="15"/>
              </w:rPr>
              <w:t>0.496</w:t>
            </w:r>
          </w:p>
        </w:tc>
        <w:tc>
          <w:tcPr>
            <w:tcW w:type="dxa" w:w="848"/>
          </w:tcPr>
          <w:p>
            <w:pPr>
              <w:spacing w:before="10" w:after="10"/>
              <w:jc w:val="center"/>
              <w:rPr>
                <w:sz w:val="15"/>
              </w:rPr>
            </w:pPr>
            <w:r>
              <w:rPr>
                <w:sz w:val="15"/>
              </w:rPr>
              <w:t>0.584</w:t>
            </w:r>
          </w:p>
        </w:tc>
        <w:tc>
          <w:tcPr>
            <w:tcW w:type="dxa" w:w="848"/>
          </w:tcPr>
          <w:p>
            <w:pPr>
              <w:spacing w:before="10" w:after="10"/>
              <w:jc w:val="center"/>
              <w:rPr>
                <w:sz w:val="15"/>
              </w:rPr>
            </w:pPr>
            <w:r>
              <w:rPr>
                <w:sz w:val="15"/>
              </w:rPr>
              <w:t>0.292</w:t>
            </w:r>
          </w:p>
        </w:tc>
        <w:tc>
          <w:tcPr>
            <w:tcW w:type="dxa" w:w="848"/>
          </w:tcPr>
          <w:p>
            <w:pPr>
              <w:spacing w:before="10" w:after="10"/>
              <w:jc w:val="center"/>
              <w:rPr>
                <w:sz w:val="15"/>
              </w:rPr>
            </w:pPr>
            <w:r>
              <w:rPr>
                <w:sz w:val="15"/>
              </w:rPr>
              <w:t>0.449</w:t>
            </w:r>
          </w:p>
        </w:tc>
      </w:tr>
      <w:tr>
        <w:tc>
          <w:tcPr>
            <w:tcW w:type="dxa" w:w="694"/>
          </w:tcPr>
          <w:p>
            <w:pPr>
              <w:spacing w:before="10" w:after="10"/>
              <w:jc w:val="left"/>
              <w:rPr>
                <w:sz w:val="15"/>
              </w:rPr>
            </w:pPr>
          </w:p>
        </w:tc>
        <w:tc>
          <w:tcPr>
            <w:tcW w:type="dxa" w:w="2235"/>
          </w:tcPr>
          <w:p>
            <w:pPr>
              <w:spacing w:before="10" w:after="10"/>
              <w:jc w:val="left"/>
              <w:rPr>
                <w:sz w:val="15"/>
              </w:rPr>
            </w:pPr>
            <w:r>
              <w:rPr>
                <w:sz w:val="15"/>
              </w:rPr>
              <w:t>Random forest</w:t>
            </w:r>
          </w:p>
        </w:tc>
        <w:tc>
          <w:tcPr>
            <w:tcW w:type="dxa" w:w="956"/>
          </w:tcPr>
          <w:p>
            <w:pPr>
              <w:spacing w:before="10" w:after="10"/>
              <w:jc w:val="center"/>
              <w:rPr>
                <w:sz w:val="15"/>
              </w:rPr>
            </w:pPr>
            <w:r>
              <w:rPr>
                <w:sz w:val="15"/>
              </w:rPr>
              <w:t>0.470</w:t>
            </w:r>
          </w:p>
        </w:tc>
        <w:tc>
          <w:tcPr>
            <w:tcW w:type="dxa" w:w="956"/>
          </w:tcPr>
          <w:p>
            <w:pPr>
              <w:spacing w:before="10" w:after="10"/>
              <w:jc w:val="center"/>
              <w:rPr>
                <w:sz w:val="15"/>
              </w:rPr>
            </w:pPr>
            <w:r>
              <w:rPr>
                <w:sz w:val="15"/>
              </w:rPr>
              <w:t>0.987</w:t>
            </w:r>
          </w:p>
        </w:tc>
        <w:tc>
          <w:tcPr>
            <w:tcW w:type="dxa" w:w="956"/>
          </w:tcPr>
          <w:p>
            <w:pPr>
              <w:spacing w:before="10" w:after="10"/>
              <w:jc w:val="center"/>
              <w:rPr>
                <w:sz w:val="15"/>
              </w:rPr>
            </w:pPr>
            <w:r>
              <w:rPr>
                <w:sz w:val="15"/>
              </w:rPr>
              <w:t>0.0044</w:t>
            </w:r>
          </w:p>
        </w:tc>
        <w:tc>
          <w:tcPr>
            <w:tcW w:type="dxa" w:w="894"/>
          </w:tcPr>
          <w:p>
            <w:pPr>
              <w:spacing w:before="10" w:after="10"/>
              <w:jc w:val="center"/>
              <w:rPr>
                <w:sz w:val="15"/>
              </w:rPr>
            </w:pPr>
            <w:r>
              <w:rPr>
                <w:sz w:val="15"/>
              </w:rPr>
              <w:t>0.277</w:t>
            </w:r>
          </w:p>
        </w:tc>
        <w:tc>
          <w:tcPr>
            <w:tcW w:type="dxa" w:w="848"/>
          </w:tcPr>
          <w:p>
            <w:pPr>
              <w:spacing w:before="10" w:after="10"/>
              <w:jc w:val="center"/>
              <w:rPr>
                <w:sz w:val="15"/>
              </w:rPr>
            </w:pPr>
            <w:r>
              <w:rPr>
                <w:sz w:val="15"/>
              </w:rPr>
              <w:t>0.480</w:t>
            </w:r>
          </w:p>
        </w:tc>
        <w:tc>
          <w:tcPr>
            <w:tcW w:type="dxa" w:w="848"/>
          </w:tcPr>
          <w:p>
            <w:pPr>
              <w:spacing w:before="10" w:after="10"/>
              <w:jc w:val="center"/>
              <w:rPr>
                <w:sz w:val="15"/>
              </w:rPr>
            </w:pPr>
            <w:r>
              <w:rPr>
                <w:sz w:val="15"/>
              </w:rPr>
              <w:t>0.536</w:t>
            </w:r>
          </w:p>
        </w:tc>
        <w:tc>
          <w:tcPr>
            <w:tcW w:type="dxa" w:w="848"/>
          </w:tcPr>
          <w:p>
            <w:pPr>
              <w:spacing w:before="10" w:after="10"/>
              <w:jc w:val="center"/>
              <w:rPr>
                <w:sz w:val="15"/>
              </w:rPr>
            </w:pPr>
            <w:r>
              <w:rPr>
                <w:sz w:val="15"/>
              </w:rPr>
              <w:t>0.309</w:t>
            </w:r>
          </w:p>
        </w:tc>
        <w:tc>
          <w:tcPr>
            <w:tcW w:type="dxa" w:w="848"/>
          </w:tcPr>
          <w:p>
            <w:pPr>
              <w:spacing w:before="10" w:after="10"/>
              <w:jc w:val="center"/>
              <w:rPr>
                <w:sz w:val="15"/>
              </w:rPr>
            </w:pPr>
            <w:r>
              <w:rPr>
                <w:sz w:val="15"/>
              </w:rPr>
              <w:t>0.468</w:t>
            </w:r>
          </w:p>
        </w:tc>
      </w:tr>
      <w:tr>
        <w:tc>
          <w:tcPr>
            <w:tcW w:type="dxa" w:w="694"/>
          </w:tcPr>
          <w:p>
            <w:pPr>
              <w:spacing w:before="10" w:after="10"/>
              <w:jc w:val="left"/>
              <w:rPr>
                <w:sz w:val="15"/>
              </w:rPr>
            </w:pPr>
          </w:p>
        </w:tc>
        <w:tc>
          <w:tcPr>
            <w:tcW w:type="dxa" w:w="2235"/>
          </w:tcPr>
          <w:p>
            <w:pPr>
              <w:spacing w:before="10" w:after="10"/>
              <w:jc w:val="left"/>
              <w:rPr>
                <w:sz w:val="15"/>
              </w:rPr>
            </w:pPr>
            <w:r>
              <w:rPr>
                <w:sz w:val="15"/>
              </w:rPr>
              <w:t>XGBoost</w:t>
            </w:r>
          </w:p>
        </w:tc>
        <w:tc>
          <w:tcPr>
            <w:tcW w:type="dxa" w:w="956"/>
          </w:tcPr>
          <w:p>
            <w:pPr>
              <w:spacing w:before="10" w:after="10"/>
              <w:jc w:val="center"/>
              <w:rPr>
                <w:sz w:val="15"/>
              </w:rPr>
            </w:pPr>
            <w:r>
              <w:rPr>
                <w:sz w:val="15"/>
              </w:rPr>
              <w:t>0.471</w:t>
            </w:r>
          </w:p>
        </w:tc>
        <w:tc>
          <w:tcPr>
            <w:tcW w:type="dxa" w:w="956"/>
          </w:tcPr>
          <w:p>
            <w:pPr>
              <w:spacing w:before="10" w:after="10"/>
              <w:jc w:val="center"/>
              <w:rPr>
                <w:sz w:val="15"/>
              </w:rPr>
            </w:pPr>
            <w:r>
              <w:rPr>
                <w:b/>
                <w:sz w:val="15"/>
              </w:rPr>
              <w:t>0.989</w:t>
            </w:r>
          </w:p>
        </w:tc>
        <w:tc>
          <w:tcPr>
            <w:tcW w:type="dxa" w:w="956"/>
          </w:tcPr>
          <w:p>
            <w:pPr>
              <w:spacing w:before="10" w:after="10"/>
              <w:jc w:val="center"/>
              <w:rPr>
                <w:sz w:val="15"/>
              </w:rPr>
            </w:pPr>
            <w:r>
              <w:rPr>
                <w:sz w:val="15"/>
              </w:rPr>
              <w:t>0.0044</w:t>
            </w:r>
          </w:p>
        </w:tc>
        <w:tc>
          <w:tcPr>
            <w:tcW w:type="dxa" w:w="894"/>
          </w:tcPr>
          <w:p>
            <w:pPr>
              <w:spacing w:before="10" w:after="10"/>
              <w:jc w:val="center"/>
              <w:rPr>
                <w:sz w:val="15"/>
              </w:rPr>
            </w:pPr>
            <w:r>
              <w:rPr>
                <w:sz w:val="15"/>
              </w:rPr>
              <w:t>0.281</w:t>
            </w:r>
          </w:p>
        </w:tc>
        <w:tc>
          <w:tcPr>
            <w:tcW w:type="dxa" w:w="848"/>
          </w:tcPr>
          <w:p>
            <w:pPr>
              <w:spacing w:before="10" w:after="10"/>
              <w:jc w:val="center"/>
              <w:rPr>
                <w:sz w:val="15"/>
              </w:rPr>
            </w:pPr>
            <w:r>
              <w:rPr>
                <w:sz w:val="15"/>
              </w:rPr>
              <w:t>0.473</w:t>
            </w:r>
          </w:p>
        </w:tc>
        <w:tc>
          <w:tcPr>
            <w:tcW w:type="dxa" w:w="848"/>
          </w:tcPr>
          <w:p>
            <w:pPr>
              <w:spacing w:before="10" w:after="10"/>
              <w:jc w:val="center"/>
              <w:rPr>
                <w:sz w:val="15"/>
              </w:rPr>
            </w:pPr>
            <w:r>
              <w:rPr>
                <w:sz w:val="15"/>
              </w:rPr>
              <w:t>0.530</w:t>
            </w:r>
          </w:p>
        </w:tc>
        <w:tc>
          <w:tcPr>
            <w:tcW w:type="dxa" w:w="848"/>
          </w:tcPr>
          <w:p>
            <w:pPr>
              <w:spacing w:before="10" w:after="10"/>
              <w:jc w:val="center"/>
              <w:rPr>
                <w:sz w:val="15"/>
              </w:rPr>
            </w:pPr>
            <w:r>
              <w:rPr>
                <w:sz w:val="15"/>
              </w:rPr>
              <w:t>0.308</w:t>
            </w:r>
          </w:p>
        </w:tc>
        <w:tc>
          <w:tcPr>
            <w:tcW w:type="dxa" w:w="848"/>
          </w:tcPr>
          <w:p>
            <w:pPr>
              <w:spacing w:before="10" w:after="10"/>
              <w:jc w:val="center"/>
              <w:rPr>
                <w:sz w:val="15"/>
              </w:rPr>
            </w:pPr>
            <w:r>
              <w:rPr>
                <w:sz w:val="15"/>
              </w:rPr>
              <w:t>0.468</w:t>
            </w:r>
          </w:p>
        </w:tc>
      </w:tr>
      <w:tr>
        <w:tc>
          <w:tcPr>
            <w:tcW w:type="dxa" w:w="694"/>
          </w:tcPr>
          <w:p>
            <w:pPr>
              <w:spacing w:before="10" w:after="10"/>
              <w:jc w:val="left"/>
              <w:rPr>
                <w:sz w:val="15"/>
              </w:rPr>
            </w:pPr>
          </w:p>
        </w:tc>
        <w:tc>
          <w:tcPr>
            <w:tcW w:type="dxa" w:w="2235"/>
          </w:tcPr>
          <w:p>
            <w:pPr>
              <w:spacing w:before="10" w:after="10"/>
              <w:jc w:val="left"/>
              <w:rPr>
                <w:sz w:val="15"/>
              </w:rPr>
            </w:pPr>
            <w:r>
              <w:rPr>
                <w:sz w:val="15"/>
              </w:rPr>
              <w:t>LightGBM</w:t>
            </w:r>
          </w:p>
        </w:tc>
        <w:tc>
          <w:tcPr>
            <w:tcW w:type="dxa" w:w="956"/>
          </w:tcPr>
          <w:p>
            <w:pPr>
              <w:spacing w:before="10" w:after="10"/>
              <w:jc w:val="center"/>
              <w:rPr>
                <w:sz w:val="15"/>
              </w:rPr>
            </w:pPr>
            <w:r>
              <w:rPr>
                <w:sz w:val="15"/>
              </w:rPr>
              <w:t>0.457</w:t>
            </w:r>
          </w:p>
        </w:tc>
        <w:tc>
          <w:tcPr>
            <w:tcW w:type="dxa" w:w="956"/>
          </w:tcPr>
          <w:p>
            <w:pPr>
              <w:spacing w:before="10" w:after="10"/>
              <w:jc w:val="center"/>
              <w:rPr>
                <w:sz w:val="15"/>
              </w:rPr>
            </w:pPr>
            <w:r>
              <w:rPr>
                <w:sz w:val="15"/>
              </w:rPr>
              <w:t>0.988</w:t>
            </w:r>
          </w:p>
        </w:tc>
        <w:tc>
          <w:tcPr>
            <w:tcW w:type="dxa" w:w="956"/>
          </w:tcPr>
          <w:p>
            <w:pPr>
              <w:spacing w:before="10" w:after="10"/>
              <w:jc w:val="center"/>
              <w:rPr>
                <w:sz w:val="15"/>
              </w:rPr>
            </w:pPr>
            <w:r>
              <w:rPr>
                <w:sz w:val="15"/>
              </w:rPr>
              <w:t>0.0045</w:t>
            </w:r>
          </w:p>
        </w:tc>
        <w:tc>
          <w:tcPr>
            <w:tcW w:type="dxa" w:w="894"/>
          </w:tcPr>
          <w:p>
            <w:pPr>
              <w:spacing w:before="10" w:after="10"/>
              <w:jc w:val="center"/>
              <w:rPr>
                <w:sz w:val="15"/>
              </w:rPr>
            </w:pPr>
            <w:r>
              <w:rPr>
                <w:sz w:val="15"/>
              </w:rPr>
              <w:t>0.270</w:t>
            </w:r>
          </w:p>
        </w:tc>
        <w:tc>
          <w:tcPr>
            <w:tcW w:type="dxa" w:w="848"/>
          </w:tcPr>
          <w:p>
            <w:pPr>
              <w:spacing w:before="10" w:after="10"/>
              <w:jc w:val="center"/>
              <w:rPr>
                <w:sz w:val="15"/>
              </w:rPr>
            </w:pPr>
            <w:r>
              <w:rPr>
                <w:b/>
                <w:sz w:val="15"/>
              </w:rPr>
              <w:t>0.522</w:t>
            </w:r>
          </w:p>
        </w:tc>
        <w:tc>
          <w:tcPr>
            <w:tcW w:type="dxa" w:w="848"/>
          </w:tcPr>
          <w:p>
            <w:pPr>
              <w:spacing w:before="10" w:after="10"/>
              <w:jc w:val="center"/>
              <w:rPr>
                <w:sz w:val="15"/>
              </w:rPr>
            </w:pPr>
            <w:r>
              <w:rPr>
                <w:sz w:val="15"/>
              </w:rPr>
              <w:t>0.592</w:t>
            </w:r>
          </w:p>
        </w:tc>
        <w:tc>
          <w:tcPr>
            <w:tcW w:type="dxa" w:w="848"/>
          </w:tcPr>
          <w:p>
            <w:pPr>
              <w:spacing w:before="10" w:after="10"/>
              <w:jc w:val="center"/>
              <w:rPr>
                <w:sz w:val="15"/>
              </w:rPr>
            </w:pPr>
            <w:r>
              <w:rPr>
                <w:sz w:val="15"/>
              </w:rPr>
              <w:t>0.297</w:t>
            </w:r>
          </w:p>
        </w:tc>
        <w:tc>
          <w:tcPr>
            <w:tcW w:type="dxa" w:w="848"/>
          </w:tcPr>
          <w:p>
            <w:pPr>
              <w:spacing w:before="10" w:after="10"/>
              <w:jc w:val="center"/>
              <w:rPr>
                <w:sz w:val="15"/>
              </w:rPr>
            </w:pPr>
            <w:r>
              <w:rPr>
                <w:sz w:val="15"/>
              </w:rPr>
              <w:t>0.454</w:t>
            </w:r>
          </w:p>
        </w:tc>
      </w:tr>
      <w:tr>
        <w:tc>
          <w:tcPr>
            <w:tcW w:type="dxa" w:w="694"/>
          </w:tcPr>
          <w:p>
            <w:pPr>
              <w:spacing w:before="10" w:after="10"/>
              <w:jc w:val="left"/>
              <w:rPr>
                <w:sz w:val="15"/>
              </w:rPr>
            </w:pPr>
          </w:p>
        </w:tc>
        <w:tc>
          <w:tcPr>
            <w:tcW w:type="dxa" w:w="2235"/>
          </w:tcPr>
          <w:p>
            <w:pPr>
              <w:spacing w:before="10" w:after="10"/>
              <w:jc w:val="left"/>
              <w:rPr>
                <w:sz w:val="15"/>
              </w:rPr>
            </w:pPr>
            <w:r>
              <w:rPr>
                <w:sz w:val="15"/>
              </w:rPr>
              <w:t>GRU</w:t>
            </w:r>
          </w:p>
        </w:tc>
        <w:tc>
          <w:tcPr>
            <w:tcW w:type="dxa" w:w="956"/>
          </w:tcPr>
          <w:p>
            <w:pPr>
              <w:spacing w:before="10" w:after="10"/>
              <w:jc w:val="center"/>
              <w:rPr>
                <w:sz w:val="15"/>
              </w:rPr>
            </w:pPr>
            <w:r>
              <w:rPr>
                <w:b/>
                <w:sz w:val="15"/>
              </w:rPr>
              <w:t>0.517</w:t>
            </w:r>
          </w:p>
        </w:tc>
        <w:tc>
          <w:tcPr>
            <w:tcW w:type="dxa" w:w="956"/>
          </w:tcPr>
          <w:p>
            <w:pPr>
              <w:spacing w:before="10" w:after="10"/>
              <w:jc w:val="center"/>
              <w:rPr>
                <w:sz w:val="15"/>
              </w:rPr>
            </w:pPr>
            <w:r>
              <w:rPr>
                <w:sz w:val="15"/>
              </w:rPr>
              <w:t>0.988</w:t>
            </w:r>
          </w:p>
        </w:tc>
        <w:tc>
          <w:tcPr>
            <w:tcW w:type="dxa" w:w="956"/>
          </w:tcPr>
          <w:p>
            <w:pPr>
              <w:spacing w:before="10" w:after="10"/>
              <w:jc w:val="center"/>
              <w:rPr>
                <w:sz w:val="15"/>
              </w:rPr>
            </w:pPr>
            <w:r>
              <w:rPr>
                <w:b/>
                <w:sz w:val="15"/>
              </w:rPr>
              <w:t>0.0042</w:t>
            </w:r>
          </w:p>
        </w:tc>
        <w:tc>
          <w:tcPr>
            <w:tcW w:type="dxa" w:w="894"/>
          </w:tcPr>
          <w:p>
            <w:pPr>
              <w:spacing w:before="10" w:after="10"/>
              <w:jc w:val="center"/>
              <w:rPr>
                <w:sz w:val="15"/>
              </w:rPr>
            </w:pPr>
            <w:r>
              <w:rPr>
                <w:b/>
                <w:sz w:val="15"/>
              </w:rPr>
              <w:t>0.317</w:t>
            </w:r>
          </w:p>
        </w:tc>
        <w:tc>
          <w:tcPr>
            <w:tcW w:type="dxa" w:w="848"/>
          </w:tcPr>
          <w:p>
            <w:pPr>
              <w:spacing w:before="10" w:after="10"/>
              <w:jc w:val="center"/>
              <w:rPr>
                <w:sz w:val="15"/>
              </w:rPr>
            </w:pPr>
            <w:r>
              <w:rPr>
                <w:sz w:val="15"/>
              </w:rPr>
              <w:t>0.352</w:t>
            </w:r>
          </w:p>
        </w:tc>
        <w:tc>
          <w:tcPr>
            <w:tcW w:type="dxa" w:w="848"/>
          </w:tcPr>
          <w:p>
            <w:pPr>
              <w:spacing w:before="10" w:after="10"/>
              <w:jc w:val="center"/>
              <w:rPr>
                <w:sz w:val="15"/>
              </w:rPr>
            </w:pPr>
            <w:r>
              <w:rPr>
                <w:b/>
                <w:sz w:val="15"/>
              </w:rPr>
              <w:t>0.377</w:t>
            </w:r>
          </w:p>
        </w:tc>
        <w:tc>
          <w:tcPr>
            <w:tcW w:type="dxa" w:w="848"/>
          </w:tcPr>
          <w:p>
            <w:pPr>
              <w:spacing w:before="10" w:after="10"/>
              <w:jc w:val="center"/>
              <w:rPr>
                <w:sz w:val="15"/>
              </w:rPr>
            </w:pPr>
            <w:r>
              <w:rPr>
                <w:sz w:val="15"/>
              </w:rPr>
              <w:t>0.290</w:t>
            </w:r>
          </w:p>
        </w:tc>
        <w:tc>
          <w:tcPr>
            <w:tcW w:type="dxa" w:w="848"/>
          </w:tcPr>
          <w:p>
            <w:pPr>
              <w:spacing w:before="10" w:after="10"/>
              <w:jc w:val="center"/>
              <w:rPr>
                <w:sz w:val="15"/>
              </w:rPr>
            </w:pPr>
            <w:r>
              <w:rPr>
                <w:sz w:val="15"/>
              </w:rPr>
              <w:t>0.447</w:t>
            </w:r>
          </w:p>
        </w:tc>
      </w:tr>
      <w:tr>
        <w:tc>
          <w:tcPr>
            <w:tcW w:type="dxa" w:w="694"/>
          </w:tcPr>
          <w:p>
            <w:pPr>
              <w:spacing w:before="10" w:after="10"/>
              <w:jc w:val="left"/>
              <w:rPr>
                <w:sz w:val="15"/>
              </w:rPr>
            </w:pPr>
          </w:p>
        </w:tc>
        <w:tc>
          <w:tcPr>
            <w:tcW w:type="dxa" w:w="2235"/>
          </w:tcPr>
          <w:p>
            <w:pPr>
              <w:spacing w:before="10" w:after="10"/>
              <w:jc w:val="left"/>
              <w:rPr>
                <w:sz w:val="15"/>
              </w:rPr>
            </w:pPr>
            <w:r>
              <w:rPr>
                <w:sz w:val="15"/>
              </w:rPr>
              <w:t>LSTM</w:t>
            </w:r>
          </w:p>
        </w:tc>
        <w:tc>
          <w:tcPr>
            <w:tcW w:type="dxa" w:w="956"/>
          </w:tcPr>
          <w:p>
            <w:pPr>
              <w:spacing w:before="10" w:after="10"/>
              <w:jc w:val="center"/>
              <w:rPr>
                <w:sz w:val="15"/>
              </w:rPr>
            </w:pPr>
            <w:r>
              <w:rPr>
                <w:sz w:val="15"/>
              </w:rPr>
              <w:t>0.509</w:t>
            </w:r>
          </w:p>
        </w:tc>
        <w:tc>
          <w:tcPr>
            <w:tcW w:type="dxa" w:w="956"/>
          </w:tcPr>
          <w:p>
            <w:pPr>
              <w:spacing w:before="10" w:after="10"/>
              <w:jc w:val="center"/>
              <w:rPr>
                <w:sz w:val="15"/>
              </w:rPr>
            </w:pPr>
            <w:r>
              <w:rPr>
                <w:sz w:val="15"/>
              </w:rPr>
              <w:t>0.988</w:t>
            </w:r>
          </w:p>
        </w:tc>
        <w:tc>
          <w:tcPr>
            <w:tcW w:type="dxa" w:w="956"/>
          </w:tcPr>
          <w:p>
            <w:pPr>
              <w:spacing w:before="10" w:after="10"/>
              <w:jc w:val="center"/>
              <w:rPr>
                <w:sz w:val="15"/>
              </w:rPr>
            </w:pPr>
            <w:r>
              <w:rPr>
                <w:b/>
                <w:sz w:val="15"/>
              </w:rPr>
              <w:t>0.0042</w:t>
            </w:r>
          </w:p>
        </w:tc>
        <w:tc>
          <w:tcPr>
            <w:tcW w:type="dxa" w:w="894"/>
          </w:tcPr>
          <w:p>
            <w:pPr>
              <w:spacing w:before="10" w:after="10"/>
              <w:jc w:val="center"/>
              <w:rPr>
                <w:sz w:val="15"/>
              </w:rPr>
            </w:pPr>
            <w:r>
              <w:rPr>
                <w:sz w:val="15"/>
              </w:rPr>
              <w:t>0.314</w:t>
            </w:r>
          </w:p>
        </w:tc>
        <w:tc>
          <w:tcPr>
            <w:tcW w:type="dxa" w:w="848"/>
          </w:tcPr>
          <w:p>
            <w:pPr>
              <w:spacing w:before="10" w:after="10"/>
              <w:jc w:val="center"/>
              <w:rPr>
                <w:sz w:val="15"/>
              </w:rPr>
            </w:pPr>
            <w:r>
              <w:rPr>
                <w:sz w:val="15"/>
              </w:rPr>
              <w:t>0.475</w:t>
            </w:r>
          </w:p>
        </w:tc>
        <w:tc>
          <w:tcPr>
            <w:tcW w:type="dxa" w:w="848"/>
          </w:tcPr>
          <w:p>
            <w:pPr>
              <w:spacing w:before="10" w:after="10"/>
              <w:jc w:val="center"/>
              <w:rPr>
                <w:sz w:val="15"/>
              </w:rPr>
            </w:pPr>
            <w:r>
              <w:rPr>
                <w:sz w:val="15"/>
              </w:rPr>
              <w:t>0.456</w:t>
            </w:r>
          </w:p>
        </w:tc>
        <w:tc>
          <w:tcPr>
            <w:tcW w:type="dxa" w:w="848"/>
          </w:tcPr>
          <w:p>
            <w:pPr>
              <w:spacing w:before="10" w:after="10"/>
              <w:jc w:val="center"/>
              <w:rPr>
                <w:sz w:val="15"/>
              </w:rPr>
            </w:pPr>
            <w:r>
              <w:rPr>
                <w:b/>
                <w:sz w:val="15"/>
              </w:rPr>
              <w:t>0.340</w:t>
            </w:r>
          </w:p>
        </w:tc>
        <w:tc>
          <w:tcPr>
            <w:tcW w:type="dxa" w:w="848"/>
          </w:tcPr>
          <w:p>
            <w:pPr>
              <w:spacing w:before="10" w:after="10"/>
              <w:jc w:val="center"/>
              <w:rPr>
                <w:sz w:val="15"/>
              </w:rPr>
            </w:pPr>
            <w:r>
              <w:rPr>
                <w:b/>
                <w:sz w:val="15"/>
              </w:rPr>
              <w:t>0.504</w:t>
            </w:r>
          </w:p>
        </w:tc>
      </w:tr>
      <w:tr>
        <w:tc>
          <w:tcPr>
            <w:tcW w:type="dxa" w:w="694"/>
          </w:tcPr>
          <w:p>
            <w:pPr>
              <w:spacing w:before="10" w:after="10"/>
              <w:jc w:val="left"/>
              <w:rPr>
                <w:sz w:val="15"/>
              </w:rPr>
            </w:pPr>
          </w:p>
        </w:tc>
        <w:tc>
          <w:tcPr>
            <w:tcW w:type="dxa" w:w="2235"/>
          </w:tcPr>
          <w:p>
            <w:pPr>
              <w:spacing w:before="10" w:after="10"/>
              <w:jc w:val="left"/>
              <w:rPr>
                <w:sz w:val="15"/>
              </w:rPr>
            </w:pPr>
            <w:r>
              <w:rPr>
                <w:sz w:val="15"/>
              </w:rPr>
              <w:t>Persistence</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0.0098</w:t>
            </w:r>
          </w:p>
        </w:tc>
        <w:tc>
          <w:tcPr>
            <w:tcW w:type="dxa" w:w="894"/>
          </w:tcPr>
          <w:p>
            <w:pPr>
              <w:spacing w:before="10" w:after="10"/>
              <w:jc w:val="center"/>
              <w:rPr>
                <w:sz w:val="15"/>
              </w:rPr>
            </w:pPr>
            <w:r>
              <w:rPr>
                <w:sz w:val="15"/>
              </w:rPr>
              <w:t>-0.598</w:t>
            </w:r>
          </w:p>
        </w:tc>
        <w:tc>
          <w:tcPr>
            <w:tcW w:type="dxa" w:w="848"/>
          </w:tcPr>
          <w:p>
            <w:pPr>
              <w:spacing w:before="10" w:after="10"/>
              <w:jc w:val="center"/>
              <w:rPr>
                <w:sz w:val="15"/>
              </w:rPr>
            </w:pPr>
            <w:r>
              <w:rPr>
                <w:sz w:val="15"/>
              </w:rPr>
              <w:t>0.229</w:t>
            </w:r>
          </w:p>
        </w:tc>
        <w:tc>
          <w:tcPr>
            <w:tcW w:type="dxa" w:w="848"/>
          </w:tcPr>
          <w:p>
            <w:pPr>
              <w:spacing w:before="10" w:after="10"/>
              <w:jc w:val="center"/>
              <w:rPr>
                <w:sz w:val="15"/>
              </w:rPr>
            </w:pPr>
            <w:r>
              <w:rPr>
                <w:sz w:val="15"/>
              </w:rPr>
              <w:t>0.771</w:t>
            </w:r>
          </w:p>
        </w:tc>
        <w:tc>
          <w:tcPr>
            <w:tcW w:type="dxa" w:w="848"/>
          </w:tcPr>
          <w:p>
            <w:pPr>
              <w:spacing w:before="10" w:after="10"/>
              <w:jc w:val="center"/>
              <w:rPr>
                <w:sz w:val="15"/>
              </w:rPr>
            </w:pPr>
            <w:r>
              <w:rPr>
                <w:sz w:val="15"/>
              </w:rPr>
              <w:t>0.129</w:t>
            </w:r>
          </w:p>
        </w:tc>
        <w:tc>
          <w:tcPr>
            <w:tcW w:type="dxa" w:w="848"/>
          </w:tcPr>
          <w:p>
            <w:pPr>
              <w:spacing w:before="10" w:after="10"/>
              <w:jc w:val="center"/>
              <w:rPr>
                <w:sz w:val="15"/>
              </w:rPr>
            </w:pPr>
            <w:r>
              <w:rPr>
                <w:sz w:val="15"/>
              </w:rPr>
              <w:t>0.224</w:t>
            </w:r>
          </w:p>
        </w:tc>
      </w:tr>
    </w:tbl>
    <w:p>
      <w:pPr>
        <w:pStyle w:val="FigureCaption"/>
        <w:spacing w:before="40"/>
      </w:pPr>
      <w:r>
        <w:rPr>
          <w:sz w:val="14"/>
        </w:rPr>
        <w:t>BS: Brier score; BSS relative to the month–hour climatology of the training period. Categorical scores use the validation-optimal (maximum-CSI) threshold. Best value per lead time in bold. TREND is only defined up to 2 h.</w:t>
      </w:r>
    </w:p>
    <w:p>
      <w:pPr>
        <w:spacing w:after="80"/>
      </w:pP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355080" cy="1952243"/>
            <wp:docPr id="3" name="Picture 3"/>
            <wp:cNvGraphicFramePr>
              <a:graphicFrameLocks noChangeAspect="1"/>
            </wp:cNvGraphicFramePr>
            <a:graphic>
              <a:graphicData uri="http://schemas.openxmlformats.org/drawingml/2006/picture">
                <pic:pic>
                  <pic:nvPicPr>
                    <pic:cNvPr id="0" name="pr_curves.png"/>
                    <pic:cNvPicPr/>
                  </pic:nvPicPr>
                  <pic:blipFill>
                    <a:blip r:embed="rId34"/>
                    <a:stretch>
                      <a:fillRect/>
                    </a:stretch>
                  </pic:blipFill>
                  <pic:spPr>
                    <a:xfrm>
                      <a:off x="0" y="0"/>
                      <a:ext cx="6355080" cy="1952243"/>
                    </a:xfrm>
                    <a:prstGeom prst="rect"/>
                  </pic:spPr>
                </pic:pic>
              </a:graphicData>
            </a:graphic>
          </wp:inline>
        </w:drawing>
      </w:r>
    </w:p>
    <w:p>
      <w:pPr>
        <w:pStyle w:val="FigureCaption"/>
        <w:spacing w:after="160"/>
      </w:pPr>
      <w:r>
        <w:rPr>
          <w:sz w:val="16"/>
        </w:rPr>
        <w:t xml:space="preserve">Fig. 3. </w:t>
      </w:r>
      <w:r>
        <w:rPr>
          <w:sz w:val="16"/>
        </w:rPr>
        <w:t>Precision–recall curves of the fog forecasts on the test seasons (PR-AUC in brackets). Markers show the deterministic reference forecasts.</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Text"/>
      </w:pPr>
      <w:r>
        <w:t>The day-block bootstrap (Table V) confirms that the improvements are robust: the paired CSI and HSS differences between each of the six models and persistence are significantly positive at all three lead times—for LightGBM, for example, ΔCSI = 0.077 [0.052, 0.104] at 1 h, 0.146 [0.105, 0.188] at 3 h and 0.168 [0.099, 0.234] at 6 h. The skill decays smoothly with lead time (Fig. 4), and the relative CSI gain of LightGBM over persistence increases from 12% at 1 h to 45% at 3 h and 130% at 6 h. The improvement is not limited to a favourable year: every model beats persistence in each of the four test seasons and at every lead time (Table VI).</w:t>
      </w:r>
    </w:p>
    <w:p>
      <w:pPr>
        <w:keepNext/>
        <w:widowControl w:val="0"/>
        <w:pBdr>
          <w:top w:val="nil"/>
          <w:left w:val="nil"/>
          <w:bottom w:val="nil"/>
          <w:right w:val="nil"/>
          <w:between w:val="nil"/>
        </w:pBdr>
        <w:spacing w:line="252" w:lineRule="auto"/>
        <w:ind w:firstLine="202"/>
        <w:jc w:val="center"/>
      </w:pPr>
      <w:r>
        <w:rPr>
          <w:sz w:val="16"/>
        </w:rPr>
        <w:t>TABLE V</w:t>
      </w:r>
    </w:p>
    <w:p>
      <w:pPr>
        <w:pStyle w:val="TableTitle"/>
        <w:keepNext/>
        <w:spacing w:after="60"/>
      </w:pPr>
      <w:r>
        <w:rPr>
          <w:sz w:val="16"/>
        </w:rPr>
        <w:t>95% day-block bootstrap confidence intervals (test seasons)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2074"/>
        <w:gridCol w:w="2074"/>
        <w:gridCol w:w="2074"/>
        <w:gridCol w:w="2074"/>
        <w:gridCol w:w="2074"/>
      </w:tblGrid>
      <w:tr>
        <w:tc>
          <w:tcPr>
            <w:tcW w:type="dxa" w:w="488"/>
            <w:tcBorders>
              <w:bottom w:val="single" w:sz="4" w:color="000000"/>
            </w:tcBorders>
          </w:tcPr>
          <w:p>
            <w:pPr>
              <w:spacing w:before="10" w:after="10"/>
              <w:jc w:val="left"/>
              <w:rPr>
                <w:sz w:val="14"/>
              </w:rPr>
            </w:pPr>
            <w:r>
              <w:rPr>
                <w:b/>
                <w:sz w:val="14"/>
              </w:rPr>
              <w:t>Lead</w:t>
            </w:r>
          </w:p>
        </w:tc>
        <w:tc>
          <w:tcPr>
            <w:tcW w:type="dxa" w:w="1149"/>
            <w:tcBorders>
              <w:bottom w:val="single" w:sz="4" w:color="000000"/>
            </w:tcBorders>
          </w:tcPr>
          <w:p>
            <w:pPr>
              <w:spacing w:before="10" w:after="10"/>
              <w:jc w:val="left"/>
              <w:rPr>
                <w:sz w:val="14"/>
              </w:rPr>
            </w:pPr>
            <w:r>
              <w:rPr>
                <w:b/>
                <w:sz w:val="14"/>
              </w:rPr>
              <w:t>Forecast</w:t>
            </w:r>
          </w:p>
        </w:tc>
        <w:tc>
          <w:tcPr>
            <w:tcW w:type="dxa" w:w="1177"/>
            <w:tcBorders>
              <w:bottom w:val="single" w:sz="4" w:color="000000"/>
            </w:tcBorders>
          </w:tcPr>
          <w:p>
            <w:pPr>
              <w:spacing w:before="10" w:after="10"/>
              <w:jc w:val="center"/>
              <w:rPr>
                <w:sz w:val="14"/>
              </w:rPr>
            </w:pPr>
            <w:r>
              <w:rPr>
                <w:b/>
                <w:sz w:val="14"/>
              </w:rPr>
              <w:t>CSI</w:t>
            </w:r>
          </w:p>
        </w:tc>
        <w:tc>
          <w:tcPr>
            <w:tcW w:type="dxa" w:w="1077"/>
            <w:tcBorders>
              <w:bottom w:val="single" w:sz="4" w:color="000000"/>
            </w:tcBorders>
          </w:tcPr>
          <w:p>
            <w:pPr>
              <w:spacing w:before="10" w:after="10"/>
              <w:jc w:val="center"/>
              <w:rPr>
                <w:sz w:val="14"/>
              </w:rPr>
            </w:pPr>
            <w:r>
              <w:rPr>
                <w:b/>
                <w:sz w:val="14"/>
              </w:rPr>
              <w:t>HSS</w:t>
            </w:r>
          </w:p>
        </w:tc>
        <w:tc>
          <w:tcPr>
            <w:tcW w:type="dxa" w:w="1077"/>
            <w:tcBorders>
              <w:bottom w:val="single" w:sz="4" w:color="000000"/>
            </w:tcBorders>
          </w:tcPr>
          <w:p>
            <w:pPr>
              <w:spacing w:before="10" w:after="10"/>
              <w:jc w:val="center"/>
              <w:rPr>
                <w:sz w:val="14"/>
              </w:rPr>
            </w:pPr>
            <w:r>
              <w:rPr>
                <w:b/>
                <w:sz w:val="14"/>
              </w:rPr>
              <w:t>PR-AUC</w:t>
            </w:r>
          </w:p>
        </w:tc>
      </w:tr>
      <w:tr>
        <w:tc>
          <w:tcPr>
            <w:tcW w:type="dxa" w:w="488"/>
          </w:tcPr>
          <w:p>
            <w:pPr>
              <w:spacing w:before="10" w:after="10"/>
              <w:jc w:val="left"/>
              <w:rPr>
                <w:sz w:val="14"/>
              </w:rPr>
            </w:pPr>
            <w:r>
              <w:rPr>
                <w:sz w:val="14"/>
              </w:rPr>
              <w:t>1 h</w:t>
            </w:r>
          </w:p>
        </w:tc>
        <w:tc>
          <w:tcPr>
            <w:tcW w:type="dxa" w:w="1149"/>
          </w:tcPr>
          <w:p>
            <w:pPr>
              <w:spacing w:before="10" w:after="10"/>
              <w:jc w:val="left"/>
              <w:rPr>
                <w:sz w:val="14"/>
              </w:rPr>
            </w:pPr>
            <w:r>
              <w:rPr>
                <w:sz w:val="14"/>
              </w:rPr>
              <w:t>LightGBM</w:t>
            </w:r>
          </w:p>
        </w:tc>
        <w:tc>
          <w:tcPr>
            <w:tcW w:type="dxa" w:w="1177"/>
          </w:tcPr>
          <w:p>
            <w:pPr>
              <w:spacing w:before="10" w:after="10"/>
              <w:jc w:val="center"/>
              <w:rPr>
                <w:sz w:val="14"/>
              </w:rPr>
            </w:pPr>
            <w:r>
              <w:rPr>
                <w:sz w:val="14"/>
              </w:rPr>
              <w:t>0.73* [0.66, 0.78]</w:t>
            </w:r>
          </w:p>
        </w:tc>
        <w:tc>
          <w:tcPr>
            <w:tcW w:type="dxa" w:w="1077"/>
          </w:tcPr>
          <w:p>
            <w:pPr>
              <w:spacing w:before="10" w:after="10"/>
              <w:jc w:val="center"/>
              <w:rPr>
                <w:sz w:val="14"/>
              </w:rPr>
            </w:pPr>
            <w:r>
              <w:rPr>
                <w:sz w:val="14"/>
              </w:rPr>
              <w:t>0.84 [0.80, 0.88]</w:t>
            </w:r>
          </w:p>
        </w:tc>
        <w:tc>
          <w:tcPr>
            <w:tcW w:type="dxa" w:w="1077"/>
          </w:tcPr>
          <w:p>
            <w:pPr>
              <w:spacing w:before="10" w:after="10"/>
              <w:jc w:val="center"/>
              <w:rPr>
                <w:sz w:val="14"/>
              </w:rPr>
            </w:pPr>
            <w:r>
              <w:rPr>
                <w:sz w:val="14"/>
              </w:rPr>
              <w:t>0.89 [0.84, 0.93]</w:t>
            </w:r>
          </w:p>
        </w:tc>
      </w:tr>
      <w:tr>
        <w:tc>
          <w:tcPr>
            <w:tcW w:type="dxa" w:w="488"/>
          </w:tcPr>
          <w:p>
            <w:pPr>
              <w:spacing w:before="10" w:after="10"/>
              <w:jc w:val="left"/>
              <w:rPr>
                <w:sz w:val="14"/>
              </w:rPr>
            </w:pPr>
          </w:p>
        </w:tc>
        <w:tc>
          <w:tcPr>
            <w:tcW w:type="dxa" w:w="1149"/>
          </w:tcPr>
          <w:p>
            <w:pPr>
              <w:spacing w:before="10" w:after="10"/>
              <w:jc w:val="left"/>
              <w:rPr>
                <w:sz w:val="14"/>
              </w:rPr>
            </w:pPr>
            <w:r>
              <w:rPr>
                <w:sz w:val="14"/>
              </w:rPr>
              <w:t>GRU</w:t>
            </w:r>
          </w:p>
        </w:tc>
        <w:tc>
          <w:tcPr>
            <w:tcW w:type="dxa" w:w="1177"/>
          </w:tcPr>
          <w:p>
            <w:pPr>
              <w:spacing w:before="10" w:after="10"/>
              <w:jc w:val="center"/>
              <w:rPr>
                <w:sz w:val="14"/>
              </w:rPr>
            </w:pPr>
            <w:r>
              <w:rPr>
                <w:sz w:val="14"/>
              </w:rPr>
              <w:t>0.72* [0.65, 0.76]</w:t>
            </w:r>
          </w:p>
        </w:tc>
        <w:tc>
          <w:tcPr>
            <w:tcW w:type="dxa" w:w="1077"/>
          </w:tcPr>
          <w:p>
            <w:pPr>
              <w:spacing w:before="10" w:after="10"/>
              <w:jc w:val="center"/>
              <w:rPr>
                <w:sz w:val="14"/>
              </w:rPr>
            </w:pPr>
            <w:r>
              <w:rPr>
                <w:sz w:val="14"/>
              </w:rPr>
              <w:t>0.83 [0.79, 0.87]</w:t>
            </w:r>
          </w:p>
        </w:tc>
        <w:tc>
          <w:tcPr>
            <w:tcW w:type="dxa" w:w="1077"/>
          </w:tcPr>
          <w:p>
            <w:pPr>
              <w:spacing w:before="10" w:after="10"/>
              <w:jc w:val="center"/>
              <w:rPr>
                <w:sz w:val="14"/>
              </w:rPr>
            </w:pPr>
            <w:r>
              <w:rPr>
                <w:sz w:val="14"/>
              </w:rPr>
              <w:t>0.88 [0.83, 0.92]</w:t>
            </w:r>
          </w:p>
        </w:tc>
      </w:tr>
      <w:tr>
        <w:tc>
          <w:tcPr>
            <w:tcW w:type="dxa" w:w="488"/>
          </w:tcPr>
          <w:p>
            <w:pPr>
              <w:spacing w:before="10" w:after="10"/>
              <w:jc w:val="left"/>
              <w:rPr>
                <w:sz w:val="14"/>
              </w:rPr>
            </w:pPr>
          </w:p>
        </w:tc>
        <w:tc>
          <w:tcPr>
            <w:tcW w:type="dxa" w:w="1149"/>
          </w:tcPr>
          <w:p>
            <w:pPr>
              <w:spacing w:before="10" w:after="10"/>
              <w:jc w:val="left"/>
              <w:rPr>
                <w:sz w:val="14"/>
              </w:rPr>
            </w:pPr>
            <w:r>
              <w:rPr>
                <w:sz w:val="14"/>
              </w:rPr>
              <w:t>Persistence</w:t>
            </w:r>
          </w:p>
        </w:tc>
        <w:tc>
          <w:tcPr>
            <w:tcW w:type="dxa" w:w="1177"/>
          </w:tcPr>
          <w:p>
            <w:pPr>
              <w:spacing w:before="10" w:after="10"/>
              <w:jc w:val="center"/>
              <w:rPr>
                <w:sz w:val="14"/>
              </w:rPr>
            </w:pPr>
            <w:r>
              <w:rPr>
                <w:sz w:val="14"/>
              </w:rPr>
              <w:t>0.65 [0.59, 0.71]</w:t>
            </w:r>
          </w:p>
        </w:tc>
        <w:tc>
          <w:tcPr>
            <w:tcW w:type="dxa" w:w="1077"/>
          </w:tcPr>
          <w:p>
            <w:pPr>
              <w:spacing w:before="10" w:after="10"/>
              <w:jc w:val="center"/>
              <w:rPr>
                <w:sz w:val="14"/>
              </w:rPr>
            </w:pPr>
            <w:r>
              <w:rPr>
                <w:sz w:val="14"/>
              </w:rPr>
              <w:t>0.79 [0.74, 0.83]</w:t>
            </w:r>
          </w:p>
        </w:tc>
        <w:tc>
          <w:tcPr>
            <w:tcW w:type="dxa" w:w="1077"/>
          </w:tcPr>
          <w:p>
            <w:pPr>
              <w:spacing w:before="10" w:after="10"/>
              <w:jc w:val="center"/>
              <w:rPr>
                <w:sz w:val="14"/>
              </w:rPr>
            </w:pPr>
            <w:r>
              <w:rPr>
                <w:sz w:val="14"/>
              </w:rPr>
              <w:t>–</w:t>
            </w:r>
          </w:p>
        </w:tc>
      </w:tr>
      <w:tr>
        <w:tc>
          <w:tcPr>
            <w:tcW w:type="dxa" w:w="488"/>
          </w:tcPr>
          <w:p>
            <w:pPr>
              <w:spacing w:before="10" w:after="10"/>
              <w:jc w:val="left"/>
              <w:rPr>
                <w:sz w:val="14"/>
              </w:rPr>
            </w:pPr>
            <w:r>
              <w:rPr>
                <w:sz w:val="14"/>
              </w:rPr>
              <w:t>3 h</w:t>
            </w:r>
          </w:p>
        </w:tc>
        <w:tc>
          <w:tcPr>
            <w:tcW w:type="dxa" w:w="1149"/>
          </w:tcPr>
          <w:p>
            <w:pPr>
              <w:spacing w:before="10" w:after="10"/>
              <w:jc w:val="left"/>
              <w:rPr>
                <w:sz w:val="14"/>
              </w:rPr>
            </w:pPr>
            <w:r>
              <w:rPr>
                <w:sz w:val="14"/>
              </w:rPr>
              <w:t>LightGBM</w:t>
            </w:r>
          </w:p>
        </w:tc>
        <w:tc>
          <w:tcPr>
            <w:tcW w:type="dxa" w:w="1177"/>
          </w:tcPr>
          <w:p>
            <w:pPr>
              <w:spacing w:before="10" w:after="10"/>
              <w:jc w:val="center"/>
              <w:rPr>
                <w:sz w:val="14"/>
              </w:rPr>
            </w:pPr>
            <w:r>
              <w:rPr>
                <w:sz w:val="14"/>
              </w:rPr>
              <w:t>0.47* [0.38, 0.54]</w:t>
            </w:r>
          </w:p>
        </w:tc>
        <w:tc>
          <w:tcPr>
            <w:tcW w:type="dxa" w:w="1077"/>
          </w:tcPr>
          <w:p>
            <w:pPr>
              <w:spacing w:before="10" w:after="10"/>
              <w:jc w:val="center"/>
              <w:rPr>
                <w:sz w:val="14"/>
              </w:rPr>
            </w:pPr>
            <w:r>
              <w:rPr>
                <w:sz w:val="14"/>
              </w:rPr>
              <w:t>0.63 [0.54, 0.70]</w:t>
            </w:r>
          </w:p>
        </w:tc>
        <w:tc>
          <w:tcPr>
            <w:tcW w:type="dxa" w:w="1077"/>
          </w:tcPr>
          <w:p>
            <w:pPr>
              <w:spacing w:before="10" w:after="10"/>
              <w:jc w:val="center"/>
              <w:rPr>
                <w:sz w:val="14"/>
              </w:rPr>
            </w:pPr>
            <w:r>
              <w:rPr>
                <w:sz w:val="14"/>
              </w:rPr>
              <w:t>0.66 [0.55, 0.74]</w:t>
            </w:r>
          </w:p>
        </w:tc>
      </w:tr>
      <w:tr>
        <w:tc>
          <w:tcPr>
            <w:tcW w:type="dxa" w:w="488"/>
          </w:tcPr>
          <w:p>
            <w:pPr>
              <w:spacing w:before="10" w:after="10"/>
              <w:jc w:val="left"/>
              <w:rPr>
                <w:sz w:val="14"/>
              </w:rPr>
            </w:pPr>
          </w:p>
        </w:tc>
        <w:tc>
          <w:tcPr>
            <w:tcW w:type="dxa" w:w="1149"/>
          </w:tcPr>
          <w:p>
            <w:pPr>
              <w:spacing w:before="10" w:after="10"/>
              <w:jc w:val="left"/>
              <w:rPr>
                <w:sz w:val="14"/>
              </w:rPr>
            </w:pPr>
            <w:r>
              <w:rPr>
                <w:sz w:val="14"/>
              </w:rPr>
              <w:t>GRU</w:t>
            </w:r>
          </w:p>
        </w:tc>
        <w:tc>
          <w:tcPr>
            <w:tcW w:type="dxa" w:w="1177"/>
          </w:tcPr>
          <w:p>
            <w:pPr>
              <w:spacing w:before="10" w:after="10"/>
              <w:jc w:val="center"/>
              <w:rPr>
                <w:sz w:val="14"/>
              </w:rPr>
            </w:pPr>
            <w:r>
              <w:rPr>
                <w:sz w:val="14"/>
              </w:rPr>
              <w:t>0.46* [0.35, 0.54]</w:t>
            </w:r>
          </w:p>
        </w:tc>
        <w:tc>
          <w:tcPr>
            <w:tcW w:type="dxa" w:w="1077"/>
          </w:tcPr>
          <w:p>
            <w:pPr>
              <w:spacing w:before="10" w:after="10"/>
              <w:jc w:val="center"/>
              <w:rPr>
                <w:sz w:val="14"/>
              </w:rPr>
            </w:pPr>
            <w:r>
              <w:rPr>
                <w:sz w:val="14"/>
              </w:rPr>
              <w:t>0.63 [0.52, 0.70]</w:t>
            </w:r>
          </w:p>
        </w:tc>
        <w:tc>
          <w:tcPr>
            <w:tcW w:type="dxa" w:w="1077"/>
          </w:tcPr>
          <w:p>
            <w:pPr>
              <w:spacing w:before="10" w:after="10"/>
              <w:jc w:val="center"/>
              <w:rPr>
                <w:sz w:val="14"/>
              </w:rPr>
            </w:pPr>
            <w:r>
              <w:rPr>
                <w:sz w:val="14"/>
              </w:rPr>
              <w:t>0.68 [0.59, 0.76]</w:t>
            </w:r>
          </w:p>
        </w:tc>
      </w:tr>
      <w:tr>
        <w:tc>
          <w:tcPr>
            <w:tcW w:type="dxa" w:w="488"/>
          </w:tcPr>
          <w:p>
            <w:pPr>
              <w:spacing w:before="10" w:after="10"/>
              <w:jc w:val="left"/>
              <w:rPr>
                <w:sz w:val="14"/>
              </w:rPr>
            </w:pPr>
          </w:p>
        </w:tc>
        <w:tc>
          <w:tcPr>
            <w:tcW w:type="dxa" w:w="1149"/>
          </w:tcPr>
          <w:p>
            <w:pPr>
              <w:spacing w:before="10" w:after="10"/>
              <w:jc w:val="left"/>
              <w:rPr>
                <w:sz w:val="14"/>
              </w:rPr>
            </w:pPr>
            <w:r>
              <w:rPr>
                <w:sz w:val="14"/>
              </w:rPr>
              <w:t>Persistence</w:t>
            </w:r>
          </w:p>
        </w:tc>
        <w:tc>
          <w:tcPr>
            <w:tcW w:type="dxa" w:w="1177"/>
          </w:tcPr>
          <w:p>
            <w:pPr>
              <w:spacing w:before="10" w:after="10"/>
              <w:jc w:val="center"/>
              <w:rPr>
                <w:sz w:val="14"/>
              </w:rPr>
            </w:pPr>
            <w:r>
              <w:rPr>
                <w:sz w:val="14"/>
              </w:rPr>
              <w:t>0.32 [0.24, 0.39]</w:t>
            </w:r>
          </w:p>
        </w:tc>
        <w:tc>
          <w:tcPr>
            <w:tcW w:type="dxa" w:w="1077"/>
          </w:tcPr>
          <w:p>
            <w:pPr>
              <w:spacing w:before="10" w:after="10"/>
              <w:jc w:val="center"/>
              <w:rPr>
                <w:sz w:val="14"/>
              </w:rPr>
            </w:pPr>
            <w:r>
              <w:rPr>
                <w:sz w:val="14"/>
              </w:rPr>
              <w:t>0.48 [0.38, 0.56]</w:t>
            </w:r>
          </w:p>
        </w:tc>
        <w:tc>
          <w:tcPr>
            <w:tcW w:type="dxa" w:w="1077"/>
          </w:tcPr>
          <w:p>
            <w:pPr>
              <w:spacing w:before="10" w:after="10"/>
              <w:jc w:val="center"/>
              <w:rPr>
                <w:sz w:val="14"/>
              </w:rPr>
            </w:pPr>
            <w:r>
              <w:rPr>
                <w:sz w:val="14"/>
              </w:rPr>
              <w:t>–</w:t>
            </w:r>
          </w:p>
        </w:tc>
      </w:tr>
      <w:tr>
        <w:tc>
          <w:tcPr>
            <w:tcW w:type="dxa" w:w="488"/>
          </w:tcPr>
          <w:p>
            <w:pPr>
              <w:spacing w:before="10" w:after="10"/>
              <w:jc w:val="left"/>
              <w:rPr>
                <w:sz w:val="14"/>
              </w:rPr>
            </w:pPr>
            <w:r>
              <w:rPr>
                <w:sz w:val="14"/>
              </w:rPr>
              <w:t>6 h</w:t>
            </w:r>
          </w:p>
        </w:tc>
        <w:tc>
          <w:tcPr>
            <w:tcW w:type="dxa" w:w="1149"/>
          </w:tcPr>
          <w:p>
            <w:pPr>
              <w:spacing w:before="10" w:after="10"/>
              <w:jc w:val="left"/>
              <w:rPr>
                <w:sz w:val="14"/>
              </w:rPr>
            </w:pPr>
            <w:r>
              <w:rPr>
                <w:sz w:val="14"/>
              </w:rPr>
              <w:t>LightGBM</w:t>
            </w:r>
          </w:p>
        </w:tc>
        <w:tc>
          <w:tcPr>
            <w:tcW w:type="dxa" w:w="1177"/>
          </w:tcPr>
          <w:p>
            <w:pPr>
              <w:spacing w:before="10" w:after="10"/>
              <w:jc w:val="center"/>
              <w:rPr>
                <w:sz w:val="14"/>
              </w:rPr>
            </w:pPr>
            <w:r>
              <w:rPr>
                <w:sz w:val="14"/>
              </w:rPr>
              <w:t>0.30* [0.22, 0.37]</w:t>
            </w:r>
          </w:p>
        </w:tc>
        <w:tc>
          <w:tcPr>
            <w:tcW w:type="dxa" w:w="1077"/>
          </w:tcPr>
          <w:p>
            <w:pPr>
              <w:spacing w:before="10" w:after="10"/>
              <w:jc w:val="center"/>
              <w:rPr>
                <w:sz w:val="14"/>
              </w:rPr>
            </w:pPr>
            <w:r>
              <w:rPr>
                <w:sz w:val="14"/>
              </w:rPr>
              <w:t>0.45 [0.36, 0.54]</w:t>
            </w:r>
          </w:p>
        </w:tc>
        <w:tc>
          <w:tcPr>
            <w:tcW w:type="dxa" w:w="1077"/>
          </w:tcPr>
          <w:p>
            <w:pPr>
              <w:spacing w:before="10" w:after="10"/>
              <w:jc w:val="center"/>
              <w:rPr>
                <w:sz w:val="14"/>
              </w:rPr>
            </w:pPr>
            <w:r>
              <w:rPr>
                <w:sz w:val="14"/>
              </w:rPr>
              <w:t>0.46 [0.34, 0.55]</w:t>
            </w:r>
          </w:p>
        </w:tc>
      </w:tr>
      <w:tr>
        <w:tc>
          <w:tcPr>
            <w:tcW w:type="dxa" w:w="488"/>
          </w:tcPr>
          <w:p>
            <w:pPr>
              <w:spacing w:before="10" w:after="10"/>
              <w:jc w:val="left"/>
              <w:rPr>
                <w:sz w:val="14"/>
              </w:rPr>
            </w:pPr>
          </w:p>
        </w:tc>
        <w:tc>
          <w:tcPr>
            <w:tcW w:type="dxa" w:w="1149"/>
          </w:tcPr>
          <w:p>
            <w:pPr>
              <w:spacing w:before="10" w:after="10"/>
              <w:jc w:val="left"/>
              <w:rPr>
                <w:sz w:val="14"/>
              </w:rPr>
            </w:pPr>
            <w:r>
              <w:rPr>
                <w:sz w:val="14"/>
              </w:rPr>
              <w:t>GRU</w:t>
            </w:r>
          </w:p>
        </w:tc>
        <w:tc>
          <w:tcPr>
            <w:tcW w:type="dxa" w:w="1177"/>
          </w:tcPr>
          <w:p>
            <w:pPr>
              <w:spacing w:before="10" w:after="10"/>
              <w:jc w:val="center"/>
              <w:rPr>
                <w:sz w:val="14"/>
              </w:rPr>
            </w:pPr>
            <w:r>
              <w:rPr>
                <w:sz w:val="14"/>
              </w:rPr>
              <w:t>0.29* [0.19, 0.39]</w:t>
            </w:r>
          </w:p>
        </w:tc>
        <w:tc>
          <w:tcPr>
            <w:tcW w:type="dxa" w:w="1077"/>
          </w:tcPr>
          <w:p>
            <w:pPr>
              <w:spacing w:before="10" w:after="10"/>
              <w:jc w:val="center"/>
              <w:rPr>
                <w:sz w:val="14"/>
              </w:rPr>
            </w:pPr>
            <w:r>
              <w:rPr>
                <w:sz w:val="14"/>
              </w:rPr>
              <w:t>0.45 [0.32, 0.55]</w:t>
            </w:r>
          </w:p>
        </w:tc>
        <w:tc>
          <w:tcPr>
            <w:tcW w:type="dxa" w:w="1077"/>
          </w:tcPr>
          <w:p>
            <w:pPr>
              <w:spacing w:before="10" w:after="10"/>
              <w:jc w:val="center"/>
              <w:rPr>
                <w:sz w:val="14"/>
              </w:rPr>
            </w:pPr>
            <w:r>
              <w:rPr>
                <w:sz w:val="14"/>
              </w:rPr>
              <w:t>0.52 [0.40, 0.64]</w:t>
            </w:r>
          </w:p>
        </w:tc>
      </w:tr>
      <w:tr>
        <w:tc>
          <w:tcPr>
            <w:tcW w:type="dxa" w:w="488"/>
          </w:tcPr>
          <w:p>
            <w:pPr>
              <w:spacing w:before="10" w:after="10"/>
              <w:jc w:val="left"/>
              <w:rPr>
                <w:sz w:val="14"/>
              </w:rPr>
            </w:pPr>
          </w:p>
        </w:tc>
        <w:tc>
          <w:tcPr>
            <w:tcW w:type="dxa" w:w="1149"/>
          </w:tcPr>
          <w:p>
            <w:pPr>
              <w:spacing w:before="10" w:after="10"/>
              <w:jc w:val="left"/>
              <w:rPr>
                <w:sz w:val="14"/>
              </w:rPr>
            </w:pPr>
            <w:r>
              <w:rPr>
                <w:sz w:val="14"/>
              </w:rPr>
              <w:t>Persistence</w:t>
            </w:r>
          </w:p>
        </w:tc>
        <w:tc>
          <w:tcPr>
            <w:tcW w:type="dxa" w:w="1177"/>
          </w:tcPr>
          <w:p>
            <w:pPr>
              <w:spacing w:before="10" w:after="10"/>
              <w:jc w:val="center"/>
              <w:rPr>
                <w:sz w:val="14"/>
              </w:rPr>
            </w:pPr>
            <w:r>
              <w:rPr>
                <w:sz w:val="14"/>
              </w:rPr>
              <w:t>0.13 [0.07, 0.19]</w:t>
            </w:r>
          </w:p>
        </w:tc>
        <w:tc>
          <w:tcPr>
            <w:tcW w:type="dxa" w:w="1077"/>
          </w:tcPr>
          <w:p>
            <w:pPr>
              <w:spacing w:before="10" w:after="10"/>
              <w:jc w:val="center"/>
              <w:rPr>
                <w:sz w:val="14"/>
              </w:rPr>
            </w:pPr>
            <w:r>
              <w:rPr>
                <w:sz w:val="14"/>
              </w:rPr>
              <w:t>0.22 [0.12, 0.31]</w:t>
            </w:r>
          </w:p>
        </w:tc>
        <w:tc>
          <w:tcPr>
            <w:tcW w:type="dxa" w:w="1077"/>
          </w:tcPr>
          <w:p>
            <w:pPr>
              <w:spacing w:before="10" w:after="10"/>
              <w:jc w:val="center"/>
              <w:rPr>
                <w:sz w:val="14"/>
              </w:rPr>
            </w:pPr>
            <w:r>
              <w:rPr>
                <w:sz w:val="14"/>
              </w:rPr>
              <w:t>–</w:t>
            </w:r>
          </w:p>
        </w:tc>
      </w:tr>
    </w:tbl>
    <w:p>
      <w:pPr>
        <w:pStyle w:val="FigureCaption"/>
        <w:spacing w:before="40"/>
      </w:pPr>
      <w:r>
        <w:rPr>
          <w:i/>
          <w:sz w:val="14"/>
        </w:rPr>
        <w:t xml:space="preserve"> CSI significantly higher than persistence (paired bootstrap, 2000 resamples of days)</w:t>
      </w:r>
    </w:p>
    <w:p>
      <w:pPr>
        <w:spacing w:after="80"/>
      </w:pPr>
    </w:p>
    <w:p>
      <w:pPr>
        <w:keepNext/>
        <w:widowControl w:val="0"/>
        <w:pBdr>
          <w:top w:val="nil"/>
          <w:left w:val="nil"/>
          <w:bottom w:val="nil"/>
          <w:right w:val="nil"/>
          <w:between w:val="nil"/>
        </w:pBdr>
        <w:spacing w:line="252" w:lineRule="auto"/>
        <w:ind w:firstLine="202"/>
        <w:jc w:val="center"/>
      </w:pPr>
      <w:r>
        <w:rPr>
          <w:sz w:val="16"/>
        </w:rPr>
        <w:t>TABLE VI</w:t>
      </w:r>
    </w:p>
    <w:p>
      <w:pPr>
        <w:pStyle w:val="TableTitle"/>
        <w:keepNext/>
        <w:spacing w:after="60"/>
      </w:pPr>
      <w:r>
        <w:rPr>
          <w:sz w:val="16"/>
        </w:rPr>
        <w:t>Season-by-season skill at 3 h (test)</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728"/>
        <w:gridCol w:w="1728"/>
        <w:gridCol w:w="1728"/>
        <w:gridCol w:w="1728"/>
        <w:gridCol w:w="1728"/>
        <w:gridCol w:w="1728"/>
      </w:tblGrid>
      <w:tr>
        <w:tc>
          <w:tcPr>
            <w:tcW w:type="dxa" w:w="797"/>
            <w:tcBorders>
              <w:bottom w:val="single" w:sz="4" w:color="000000"/>
            </w:tcBorders>
          </w:tcPr>
          <w:p>
            <w:pPr>
              <w:spacing w:before="10" w:after="10"/>
              <w:jc w:val="left"/>
              <w:rPr>
                <w:sz w:val="14"/>
              </w:rPr>
            </w:pPr>
            <w:r>
              <w:rPr>
                <w:b/>
                <w:sz w:val="14"/>
              </w:rPr>
              <w:t>Season</w:t>
            </w:r>
          </w:p>
        </w:tc>
        <w:tc>
          <w:tcPr>
            <w:tcW w:type="dxa" w:w="736"/>
            <w:tcBorders>
              <w:bottom w:val="single" w:sz="4" w:color="000000"/>
            </w:tcBorders>
          </w:tcPr>
          <w:p>
            <w:pPr>
              <w:spacing w:before="10" w:after="10"/>
              <w:jc w:val="center"/>
              <w:rPr>
                <w:sz w:val="14"/>
              </w:rPr>
            </w:pPr>
            <w:r>
              <w:rPr>
                <w:b/>
                <w:sz w:val="14"/>
              </w:rPr>
              <w:t>Fog slots</w:t>
            </w:r>
          </w:p>
        </w:tc>
        <w:tc>
          <w:tcPr>
            <w:tcW w:type="dxa" w:w="859"/>
            <w:tcBorders>
              <w:bottom w:val="single" w:sz="4" w:color="000000"/>
            </w:tcBorders>
          </w:tcPr>
          <w:p>
            <w:pPr>
              <w:spacing w:before="10" w:after="10"/>
              <w:jc w:val="center"/>
              <w:rPr>
                <w:sz w:val="14"/>
              </w:rPr>
            </w:pPr>
            <w:r>
              <w:rPr>
                <w:b/>
                <w:sz w:val="14"/>
              </w:rPr>
              <w:t>CSI LightGBM</w:t>
            </w:r>
          </w:p>
        </w:tc>
        <w:tc>
          <w:tcPr>
            <w:tcW w:type="dxa" w:w="736"/>
            <w:tcBorders>
              <w:bottom w:val="single" w:sz="4" w:color="000000"/>
            </w:tcBorders>
          </w:tcPr>
          <w:p>
            <w:pPr>
              <w:spacing w:before="10" w:after="10"/>
              <w:jc w:val="center"/>
              <w:rPr>
                <w:sz w:val="14"/>
              </w:rPr>
            </w:pPr>
            <w:r>
              <w:rPr>
                <w:b/>
                <w:sz w:val="14"/>
              </w:rPr>
              <w:t>CSI GRU</w:t>
            </w:r>
          </w:p>
        </w:tc>
        <w:tc>
          <w:tcPr>
            <w:tcW w:type="dxa" w:w="859"/>
            <w:tcBorders>
              <w:bottom w:val="single" w:sz="4" w:color="000000"/>
            </w:tcBorders>
          </w:tcPr>
          <w:p>
            <w:pPr>
              <w:spacing w:before="10" w:after="10"/>
              <w:jc w:val="center"/>
              <w:rPr>
                <w:sz w:val="14"/>
              </w:rPr>
            </w:pPr>
            <w:r>
              <w:rPr>
                <w:b/>
                <w:sz w:val="14"/>
              </w:rPr>
              <w:t>CSI persist.</w:t>
            </w:r>
          </w:p>
        </w:tc>
        <w:tc>
          <w:tcPr>
            <w:tcW w:type="dxa" w:w="981"/>
            <w:tcBorders>
              <w:bottom w:val="single" w:sz="4" w:color="000000"/>
            </w:tcBorders>
          </w:tcPr>
          <w:p>
            <w:pPr>
              <w:spacing w:before="10" w:after="10"/>
              <w:jc w:val="center"/>
              <w:rPr>
                <w:sz w:val="14"/>
              </w:rPr>
            </w:pPr>
            <w:r>
              <w:rPr>
                <w:b/>
                <w:sz w:val="14"/>
              </w:rPr>
              <w:t>PR-AUC LightGBM</w:t>
            </w:r>
          </w:p>
        </w:tc>
      </w:tr>
      <w:tr>
        <w:tc>
          <w:tcPr>
            <w:tcW w:type="dxa" w:w="797"/>
          </w:tcPr>
          <w:p>
            <w:pPr>
              <w:spacing w:before="10" w:after="10"/>
              <w:jc w:val="left"/>
              <w:rPr>
                <w:sz w:val="14"/>
              </w:rPr>
            </w:pPr>
            <w:r>
              <w:rPr>
                <w:sz w:val="14"/>
              </w:rPr>
              <w:t>2022/23</w:t>
            </w:r>
          </w:p>
        </w:tc>
        <w:tc>
          <w:tcPr>
            <w:tcW w:type="dxa" w:w="736"/>
          </w:tcPr>
          <w:p>
            <w:pPr>
              <w:spacing w:before="10" w:after="10"/>
              <w:jc w:val="center"/>
              <w:rPr>
                <w:sz w:val="14"/>
              </w:rPr>
            </w:pPr>
            <w:r>
              <w:rPr>
                <w:sz w:val="14"/>
              </w:rPr>
              <w:t>83</w:t>
            </w:r>
          </w:p>
        </w:tc>
        <w:tc>
          <w:tcPr>
            <w:tcW w:type="dxa" w:w="859"/>
          </w:tcPr>
          <w:p>
            <w:pPr>
              <w:spacing w:before="10" w:after="10"/>
              <w:jc w:val="center"/>
              <w:rPr>
                <w:sz w:val="14"/>
              </w:rPr>
            </w:pPr>
            <w:r>
              <w:rPr>
                <w:sz w:val="14"/>
              </w:rPr>
              <w:t>0.414</w:t>
            </w:r>
          </w:p>
        </w:tc>
        <w:tc>
          <w:tcPr>
            <w:tcW w:type="dxa" w:w="736"/>
          </w:tcPr>
          <w:p>
            <w:pPr>
              <w:spacing w:before="10" w:after="10"/>
              <w:jc w:val="center"/>
              <w:rPr>
                <w:sz w:val="14"/>
              </w:rPr>
            </w:pPr>
            <w:r>
              <w:rPr>
                <w:sz w:val="14"/>
              </w:rPr>
              <w:t>0.500</w:t>
            </w:r>
          </w:p>
        </w:tc>
        <w:tc>
          <w:tcPr>
            <w:tcW w:type="dxa" w:w="859"/>
          </w:tcPr>
          <w:p>
            <w:pPr>
              <w:spacing w:before="10" w:after="10"/>
              <w:jc w:val="center"/>
              <w:rPr>
                <w:sz w:val="14"/>
              </w:rPr>
            </w:pPr>
            <w:r>
              <w:rPr>
                <w:sz w:val="14"/>
              </w:rPr>
              <w:t>0.317</w:t>
            </w:r>
          </w:p>
        </w:tc>
        <w:tc>
          <w:tcPr>
            <w:tcW w:type="dxa" w:w="981"/>
          </w:tcPr>
          <w:p>
            <w:pPr>
              <w:spacing w:before="10" w:after="10"/>
              <w:jc w:val="center"/>
              <w:rPr>
                <w:sz w:val="14"/>
              </w:rPr>
            </w:pPr>
            <w:r>
              <w:rPr>
                <w:sz w:val="14"/>
              </w:rPr>
              <w:t>0.582</w:t>
            </w:r>
          </w:p>
        </w:tc>
      </w:tr>
      <w:tr>
        <w:tc>
          <w:tcPr>
            <w:tcW w:type="dxa" w:w="797"/>
          </w:tcPr>
          <w:p>
            <w:pPr>
              <w:spacing w:before="10" w:after="10"/>
              <w:jc w:val="left"/>
              <w:rPr>
                <w:sz w:val="14"/>
              </w:rPr>
            </w:pPr>
            <w:r>
              <w:rPr>
                <w:sz w:val="14"/>
              </w:rPr>
              <w:t>2023/24</w:t>
            </w:r>
          </w:p>
        </w:tc>
        <w:tc>
          <w:tcPr>
            <w:tcW w:type="dxa" w:w="736"/>
          </w:tcPr>
          <w:p>
            <w:pPr>
              <w:spacing w:before="10" w:after="10"/>
              <w:jc w:val="center"/>
              <w:rPr>
                <w:sz w:val="14"/>
              </w:rPr>
            </w:pPr>
            <w:r>
              <w:rPr>
                <w:sz w:val="14"/>
              </w:rPr>
              <w:t>94</w:t>
            </w:r>
          </w:p>
        </w:tc>
        <w:tc>
          <w:tcPr>
            <w:tcW w:type="dxa" w:w="859"/>
          </w:tcPr>
          <w:p>
            <w:pPr>
              <w:spacing w:before="10" w:after="10"/>
              <w:jc w:val="center"/>
              <w:rPr>
                <w:sz w:val="14"/>
              </w:rPr>
            </w:pPr>
            <w:r>
              <w:rPr>
                <w:sz w:val="14"/>
              </w:rPr>
              <w:t>0.432</w:t>
            </w:r>
          </w:p>
        </w:tc>
        <w:tc>
          <w:tcPr>
            <w:tcW w:type="dxa" w:w="736"/>
          </w:tcPr>
          <w:p>
            <w:pPr>
              <w:spacing w:before="10" w:after="10"/>
              <w:jc w:val="center"/>
              <w:rPr>
                <w:sz w:val="14"/>
              </w:rPr>
            </w:pPr>
            <w:r>
              <w:rPr>
                <w:sz w:val="14"/>
              </w:rPr>
              <w:t>0.362</w:t>
            </w:r>
          </w:p>
        </w:tc>
        <w:tc>
          <w:tcPr>
            <w:tcW w:type="dxa" w:w="859"/>
          </w:tcPr>
          <w:p>
            <w:pPr>
              <w:spacing w:before="10" w:after="10"/>
              <w:jc w:val="center"/>
              <w:rPr>
                <w:sz w:val="14"/>
              </w:rPr>
            </w:pPr>
            <w:r>
              <w:rPr>
                <w:sz w:val="14"/>
              </w:rPr>
              <w:t>0.253</w:t>
            </w:r>
          </w:p>
        </w:tc>
        <w:tc>
          <w:tcPr>
            <w:tcW w:type="dxa" w:w="981"/>
          </w:tcPr>
          <w:p>
            <w:pPr>
              <w:spacing w:before="10" w:after="10"/>
              <w:jc w:val="center"/>
              <w:rPr>
                <w:sz w:val="14"/>
              </w:rPr>
            </w:pPr>
            <w:r>
              <w:rPr>
                <w:sz w:val="14"/>
              </w:rPr>
              <w:t>0.587</w:t>
            </w:r>
          </w:p>
        </w:tc>
      </w:tr>
      <w:tr>
        <w:tc>
          <w:tcPr>
            <w:tcW w:type="dxa" w:w="797"/>
          </w:tcPr>
          <w:p>
            <w:pPr>
              <w:spacing w:before="10" w:after="10"/>
              <w:jc w:val="left"/>
              <w:rPr>
                <w:sz w:val="14"/>
              </w:rPr>
            </w:pPr>
            <w:r>
              <w:rPr>
                <w:sz w:val="14"/>
              </w:rPr>
              <w:t>2024/25</w:t>
            </w:r>
          </w:p>
        </w:tc>
        <w:tc>
          <w:tcPr>
            <w:tcW w:type="dxa" w:w="736"/>
          </w:tcPr>
          <w:p>
            <w:pPr>
              <w:spacing w:before="10" w:after="10"/>
              <w:jc w:val="center"/>
              <w:rPr>
                <w:sz w:val="14"/>
              </w:rPr>
            </w:pPr>
            <w:r>
              <w:rPr>
                <w:sz w:val="14"/>
              </w:rPr>
              <w:t>190</w:t>
            </w:r>
          </w:p>
        </w:tc>
        <w:tc>
          <w:tcPr>
            <w:tcW w:type="dxa" w:w="859"/>
          </w:tcPr>
          <w:p>
            <w:pPr>
              <w:spacing w:before="10" w:after="10"/>
              <w:jc w:val="center"/>
              <w:rPr>
                <w:sz w:val="14"/>
              </w:rPr>
            </w:pPr>
            <w:r>
              <w:rPr>
                <w:sz w:val="14"/>
              </w:rPr>
              <w:t>0.502</w:t>
            </w:r>
          </w:p>
        </w:tc>
        <w:tc>
          <w:tcPr>
            <w:tcW w:type="dxa" w:w="736"/>
          </w:tcPr>
          <w:p>
            <w:pPr>
              <w:spacing w:before="10" w:after="10"/>
              <w:jc w:val="center"/>
              <w:rPr>
                <w:sz w:val="14"/>
              </w:rPr>
            </w:pPr>
            <w:r>
              <w:rPr>
                <w:sz w:val="14"/>
              </w:rPr>
              <w:t>0.491</w:t>
            </w:r>
          </w:p>
        </w:tc>
        <w:tc>
          <w:tcPr>
            <w:tcW w:type="dxa" w:w="859"/>
          </w:tcPr>
          <w:p>
            <w:pPr>
              <w:spacing w:before="10" w:after="10"/>
              <w:jc w:val="center"/>
              <w:rPr>
                <w:sz w:val="14"/>
              </w:rPr>
            </w:pPr>
            <w:r>
              <w:rPr>
                <w:sz w:val="14"/>
              </w:rPr>
              <w:t>0.397</w:t>
            </w:r>
          </w:p>
        </w:tc>
        <w:tc>
          <w:tcPr>
            <w:tcW w:type="dxa" w:w="981"/>
          </w:tcPr>
          <w:p>
            <w:pPr>
              <w:spacing w:before="10" w:after="10"/>
              <w:jc w:val="center"/>
              <w:rPr>
                <w:sz w:val="14"/>
              </w:rPr>
            </w:pPr>
            <w:r>
              <w:rPr>
                <w:sz w:val="14"/>
              </w:rPr>
              <w:t>0.728</w:t>
            </w:r>
          </w:p>
        </w:tc>
      </w:tr>
      <w:tr>
        <w:tc>
          <w:tcPr>
            <w:tcW w:type="dxa" w:w="797"/>
          </w:tcPr>
          <w:p>
            <w:pPr>
              <w:spacing w:before="10" w:after="10"/>
              <w:jc w:val="left"/>
              <w:rPr>
                <w:sz w:val="14"/>
              </w:rPr>
            </w:pPr>
            <w:r>
              <w:rPr>
                <w:sz w:val="14"/>
              </w:rPr>
              <w:t>2025/26</w:t>
            </w:r>
          </w:p>
        </w:tc>
        <w:tc>
          <w:tcPr>
            <w:tcW w:type="dxa" w:w="736"/>
          </w:tcPr>
          <w:p>
            <w:pPr>
              <w:spacing w:before="10" w:after="10"/>
              <w:jc w:val="center"/>
              <w:rPr>
                <w:sz w:val="14"/>
              </w:rPr>
            </w:pPr>
            <w:r>
              <w:rPr>
                <w:sz w:val="14"/>
              </w:rPr>
              <w:t>79</w:t>
            </w:r>
          </w:p>
        </w:tc>
        <w:tc>
          <w:tcPr>
            <w:tcW w:type="dxa" w:w="859"/>
          </w:tcPr>
          <w:p>
            <w:pPr>
              <w:spacing w:before="10" w:after="10"/>
              <w:jc w:val="center"/>
              <w:rPr>
                <w:sz w:val="14"/>
              </w:rPr>
            </w:pPr>
            <w:r>
              <w:rPr>
                <w:sz w:val="14"/>
              </w:rPr>
              <w:t>0.486</w:t>
            </w:r>
          </w:p>
        </w:tc>
        <w:tc>
          <w:tcPr>
            <w:tcW w:type="dxa" w:w="736"/>
          </w:tcPr>
          <w:p>
            <w:pPr>
              <w:spacing w:before="10" w:after="10"/>
              <w:jc w:val="center"/>
              <w:rPr>
                <w:sz w:val="14"/>
              </w:rPr>
            </w:pPr>
            <w:r>
              <w:rPr>
                <w:sz w:val="14"/>
              </w:rPr>
              <w:t>0.452</w:t>
            </w:r>
          </w:p>
        </w:tc>
        <w:tc>
          <w:tcPr>
            <w:tcW w:type="dxa" w:w="859"/>
          </w:tcPr>
          <w:p>
            <w:pPr>
              <w:spacing w:before="10" w:after="10"/>
              <w:jc w:val="center"/>
              <w:rPr>
                <w:sz w:val="14"/>
              </w:rPr>
            </w:pPr>
            <w:r>
              <w:rPr>
                <w:sz w:val="14"/>
              </w:rPr>
              <w:t>0.244</w:t>
            </w:r>
          </w:p>
        </w:tc>
        <w:tc>
          <w:tcPr>
            <w:tcW w:type="dxa" w:w="981"/>
          </w:tcPr>
          <w:p>
            <w:pPr>
              <w:spacing w:before="10" w:after="10"/>
              <w:jc w:val="center"/>
              <w:rPr>
                <w:sz w:val="14"/>
              </w:rPr>
            </w:pPr>
            <w:r>
              <w:rPr>
                <w:sz w:val="14"/>
              </w:rPr>
              <w:t>0.659</w:t>
            </w:r>
          </w:p>
        </w:tc>
      </w:tr>
    </w:tbl>
    <w:p>
      <w:pPr>
        <w:spacing w:after="80"/>
      </w:pPr>
    </w:p>
    <w:p>
      <w:pPr>
        <w:keepNext/>
        <w:spacing w:before="120"/>
        <w:jc w:val="center"/>
      </w:pPr>
      <w:r>
        <w:drawing>
          <wp:inline xmlns:a="http://schemas.openxmlformats.org/drawingml/2006/main" xmlns:pic="http://schemas.openxmlformats.org/drawingml/2006/picture">
            <wp:extent cx="3154680" cy="1156284"/>
            <wp:docPr id="4" name="Picture 4"/>
            <wp:cNvGraphicFramePr>
              <a:graphicFrameLocks noChangeAspect="1"/>
            </wp:cNvGraphicFramePr>
            <a:graphic>
              <a:graphicData uri="http://schemas.openxmlformats.org/drawingml/2006/picture">
                <pic:pic>
                  <pic:nvPicPr>
                    <pic:cNvPr id="0" name="leadtime.png"/>
                    <pic:cNvPicPr/>
                  </pic:nvPicPr>
                  <pic:blipFill>
                    <a:blip r:embed="rId35"/>
                    <a:stretch>
                      <a:fillRect/>
                    </a:stretch>
                  </pic:blipFill>
                  <pic:spPr>
                    <a:xfrm>
                      <a:off x="0" y="0"/>
                      <a:ext cx="3154680" cy="1156284"/>
                    </a:xfrm>
                    <a:prstGeom prst="rect"/>
                  </pic:spPr>
                </pic:pic>
              </a:graphicData>
            </a:graphic>
          </wp:inline>
        </w:drawing>
      </w:r>
    </w:p>
    <w:p>
      <w:pPr>
        <w:pStyle w:val="FigureCaption"/>
        <w:spacing w:after="160"/>
      </w:pPr>
      <w:r>
        <w:rPr>
          <w:sz w:val="16"/>
        </w:rPr>
        <w:t xml:space="preserve">Fig. 4. </w:t>
      </w:r>
      <w:r>
        <w:rPr>
          <w:sz w:val="16"/>
        </w:rPr>
        <w:t>CSI and HSS of LightGBM and persistence as a function of lead time on the test seasons, with the METAR TREND forecast at 1 h. Shading: 95% day-block bootstrap intervals computed at 1, 3 and 6 h (interpolated in between).</w:t>
      </w:r>
    </w:p>
    <w:p>
      <w:pPr>
        <w:pStyle w:val="Heading2"/>
        <w:numPr>
          <w:ilvl w:val="0"/>
          <w:numId w:val="0"/>
        </w:numPr>
      </w:pPr>
      <w:r>
        <w:t xml:space="preserve">B. </w:t>
      </w:r>
      <w:r>
        <w:t>Comparison with the Official TREND and TAF</w:t>
      </w:r>
    </w:p>
    <w:p>
      <w:pPr>
        <w:pStyle w:val="Text"/>
      </w:pPr>
      <w:r>
        <w:t>The TREND forecast is available for every test METAR. On identical cases (Table VII), the prevailing reading of the TREND reaches CSI 0.623 and HSS 0.767 at 1 h and the worst-case reading 0.622 and 0.765, slightly below persistence (0.652 and 0.788). In other words, the official 2-h forecast rarely adds information beyond the current observation: TREND groups most often announce improvements, while new fog formation is seldom anticipated. LightGBM improves on the TREND by ΔCSI = 0.105 [0.075, 0.140] and ΔHSS = 0.076 [0.053, 0.103], both significant. In the 30-day TAF window available at the time of writing (29 September–30 October 2026; about 1 420 forecasts per lead time), no fog occurred; neither the TAF—under either reading—nor LightGBM issued a fog forecast, so both were free of false alarms, while the worst-case TAF reading announced mist below 5 km in about 8% of the cases. A fog-season TAF comparison is therefore left to the live verification.</w:t>
      </w:r>
    </w:p>
    <w:p>
      <w:pPr>
        <w:keepNext/>
        <w:widowControl w:val="0"/>
        <w:pBdr>
          <w:top w:val="nil"/>
          <w:left w:val="nil"/>
          <w:bottom w:val="nil"/>
          <w:right w:val="nil"/>
          <w:between w:val="nil"/>
        </w:pBdr>
        <w:spacing w:line="252" w:lineRule="auto"/>
        <w:ind w:firstLine="202"/>
        <w:jc w:val="center"/>
      </w:pPr>
      <w:r>
        <w:rPr>
          <w:sz w:val="16"/>
        </w:rPr>
        <w:t>TABLE VII</w:t>
      </w:r>
    </w:p>
    <w:p>
      <w:pPr>
        <w:pStyle w:val="TableTitle"/>
        <w:keepNext/>
        <w:spacing w:after="60"/>
      </w:pPr>
      <w:r>
        <w:rPr>
          <w:sz w:val="16"/>
        </w:rPr>
        <w:t>ML versus the METAR TREND forecast on identical test cases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728"/>
        <w:gridCol w:w="1728"/>
        <w:gridCol w:w="1728"/>
        <w:gridCol w:w="1728"/>
        <w:gridCol w:w="1728"/>
        <w:gridCol w:w="1728"/>
      </w:tblGrid>
      <w:tr>
        <w:tc>
          <w:tcPr>
            <w:tcW w:type="dxa" w:w="510"/>
            <w:tcBorders>
              <w:bottom w:val="single" w:sz="4" w:color="000000"/>
            </w:tcBorders>
          </w:tcPr>
          <w:p>
            <w:pPr>
              <w:spacing w:before="10" w:after="10"/>
              <w:jc w:val="left"/>
              <w:rPr>
                <w:sz w:val="14"/>
              </w:rPr>
            </w:pPr>
            <w:r>
              <w:rPr>
                <w:b/>
                <w:sz w:val="14"/>
              </w:rPr>
              <w:t>Lead</w:t>
            </w:r>
          </w:p>
        </w:tc>
        <w:tc>
          <w:tcPr>
            <w:tcW w:type="dxa" w:w="1656"/>
            <w:tcBorders>
              <w:bottom w:val="single" w:sz="4" w:color="000000"/>
            </w:tcBorders>
          </w:tcPr>
          <w:p>
            <w:pPr>
              <w:spacing w:before="10" w:after="10"/>
              <w:jc w:val="left"/>
              <w:rPr>
                <w:sz w:val="14"/>
              </w:rPr>
            </w:pPr>
            <w:r>
              <w:rPr>
                <w:b/>
                <w:sz w:val="14"/>
              </w:rPr>
              <w:t>Forecast</w:t>
            </w:r>
          </w:p>
        </w:tc>
        <w:tc>
          <w:tcPr>
            <w:tcW w:type="dxa" w:w="701"/>
            <w:tcBorders>
              <w:bottom w:val="single" w:sz="4" w:color="000000"/>
            </w:tcBorders>
          </w:tcPr>
          <w:p>
            <w:pPr>
              <w:spacing w:before="10" w:after="10"/>
              <w:jc w:val="center"/>
              <w:rPr>
                <w:sz w:val="14"/>
              </w:rPr>
            </w:pPr>
            <w:r>
              <w:rPr>
                <w:b/>
                <w:sz w:val="14"/>
              </w:rPr>
              <w:t>POD</w:t>
            </w:r>
          </w:p>
        </w:tc>
        <w:tc>
          <w:tcPr>
            <w:tcW w:type="dxa" w:w="701"/>
            <w:tcBorders>
              <w:bottom w:val="single" w:sz="4" w:color="000000"/>
            </w:tcBorders>
          </w:tcPr>
          <w:p>
            <w:pPr>
              <w:spacing w:before="10" w:after="10"/>
              <w:jc w:val="center"/>
              <w:rPr>
                <w:sz w:val="14"/>
              </w:rPr>
            </w:pPr>
            <w:r>
              <w:rPr>
                <w:b/>
                <w:sz w:val="14"/>
              </w:rPr>
              <w:t>FAR</w:t>
            </w:r>
          </w:p>
        </w:tc>
        <w:tc>
          <w:tcPr>
            <w:tcW w:type="dxa" w:w="701"/>
            <w:tcBorders>
              <w:bottom w:val="single" w:sz="4" w:color="000000"/>
            </w:tcBorders>
          </w:tcPr>
          <w:p>
            <w:pPr>
              <w:spacing w:before="10" w:after="10"/>
              <w:jc w:val="center"/>
              <w:rPr>
                <w:sz w:val="14"/>
              </w:rPr>
            </w:pPr>
            <w:r>
              <w:rPr>
                <w:b/>
                <w:sz w:val="14"/>
              </w:rPr>
              <w:t>CSI</w:t>
            </w:r>
          </w:p>
        </w:tc>
        <w:tc>
          <w:tcPr>
            <w:tcW w:type="dxa" w:w="701"/>
            <w:tcBorders>
              <w:bottom w:val="single" w:sz="4" w:color="000000"/>
            </w:tcBorders>
          </w:tcPr>
          <w:p>
            <w:pPr>
              <w:spacing w:before="10" w:after="10"/>
              <w:jc w:val="center"/>
              <w:rPr>
                <w:sz w:val="14"/>
              </w:rPr>
            </w:pPr>
            <w:r>
              <w:rPr>
                <w:b/>
                <w:sz w:val="14"/>
              </w:rPr>
              <w:t>HSS</w:t>
            </w:r>
          </w:p>
        </w:tc>
      </w:tr>
      <w:tr>
        <w:tc>
          <w:tcPr>
            <w:tcW w:type="dxa" w:w="510"/>
          </w:tcPr>
          <w:p>
            <w:pPr>
              <w:spacing w:before="10" w:after="10"/>
              <w:jc w:val="left"/>
              <w:rPr>
                <w:sz w:val="14"/>
              </w:rPr>
            </w:pPr>
            <w:r>
              <w:rPr>
                <w:sz w:val="14"/>
              </w:rPr>
              <w:t>1 h</w:t>
            </w:r>
          </w:p>
        </w:tc>
        <w:tc>
          <w:tcPr>
            <w:tcW w:type="dxa" w:w="1656"/>
          </w:tcPr>
          <w:p>
            <w:pPr>
              <w:spacing w:before="10" w:after="10"/>
              <w:jc w:val="left"/>
              <w:rPr>
                <w:sz w:val="14"/>
              </w:rPr>
            </w:pPr>
            <w:r>
              <w:rPr>
                <w:sz w:val="14"/>
              </w:rPr>
              <w:t>LightGBM</w:t>
            </w:r>
          </w:p>
        </w:tc>
        <w:tc>
          <w:tcPr>
            <w:tcW w:type="dxa" w:w="701"/>
          </w:tcPr>
          <w:p>
            <w:pPr>
              <w:spacing w:before="10" w:after="10"/>
              <w:jc w:val="center"/>
              <w:rPr>
                <w:sz w:val="14"/>
              </w:rPr>
            </w:pPr>
            <w:r>
              <w:rPr>
                <w:b/>
                <w:sz w:val="14"/>
              </w:rPr>
              <w:t>0.825</w:t>
            </w:r>
          </w:p>
        </w:tc>
        <w:tc>
          <w:tcPr>
            <w:tcW w:type="dxa" w:w="701"/>
          </w:tcPr>
          <w:p>
            <w:pPr>
              <w:spacing w:before="10" w:after="10"/>
              <w:jc w:val="center"/>
              <w:rPr>
                <w:sz w:val="14"/>
              </w:rPr>
            </w:pPr>
            <w:r>
              <w:rPr>
                <w:b/>
                <w:sz w:val="14"/>
              </w:rPr>
              <w:t>0.138</w:t>
            </w:r>
          </w:p>
        </w:tc>
        <w:tc>
          <w:tcPr>
            <w:tcW w:type="dxa" w:w="701"/>
          </w:tcPr>
          <w:p>
            <w:pPr>
              <w:spacing w:before="10" w:after="10"/>
              <w:jc w:val="center"/>
              <w:rPr>
                <w:sz w:val="14"/>
              </w:rPr>
            </w:pPr>
            <w:r>
              <w:rPr>
                <w:b/>
                <w:sz w:val="14"/>
              </w:rPr>
              <w:t>0.729</w:t>
            </w:r>
          </w:p>
        </w:tc>
        <w:tc>
          <w:tcPr>
            <w:tcW w:type="dxa" w:w="701"/>
          </w:tcPr>
          <w:p>
            <w:pPr>
              <w:spacing w:before="10" w:after="10"/>
              <w:jc w:val="center"/>
              <w:rPr>
                <w:sz w:val="14"/>
              </w:rPr>
            </w:pPr>
            <w:r>
              <w:rPr>
                <w:b/>
                <w:sz w:val="14"/>
              </w:rPr>
              <w:t>0.842</w:t>
            </w:r>
          </w:p>
        </w:tc>
      </w:tr>
      <w:tr>
        <w:tc>
          <w:tcPr>
            <w:tcW w:type="dxa" w:w="510"/>
          </w:tcPr>
          <w:p>
            <w:pPr>
              <w:spacing w:before="10" w:after="10"/>
              <w:jc w:val="left"/>
              <w:rPr>
                <w:sz w:val="14"/>
              </w:rPr>
            </w:pPr>
          </w:p>
        </w:tc>
        <w:tc>
          <w:tcPr>
            <w:tcW w:type="dxa" w:w="1656"/>
          </w:tcPr>
          <w:p>
            <w:pPr>
              <w:spacing w:before="10" w:after="10"/>
              <w:jc w:val="left"/>
              <w:rPr>
                <w:sz w:val="14"/>
              </w:rPr>
            </w:pPr>
            <w:r>
              <w:rPr>
                <w:sz w:val="14"/>
              </w:rPr>
              <w:t>GRU</w:t>
            </w:r>
          </w:p>
        </w:tc>
        <w:tc>
          <w:tcPr>
            <w:tcW w:type="dxa" w:w="701"/>
          </w:tcPr>
          <w:p>
            <w:pPr>
              <w:spacing w:before="10" w:after="10"/>
              <w:jc w:val="center"/>
              <w:rPr>
                <w:sz w:val="14"/>
              </w:rPr>
            </w:pPr>
            <w:r>
              <w:rPr>
                <w:sz w:val="14"/>
              </w:rPr>
              <w:t>0.809</w:t>
            </w:r>
          </w:p>
        </w:tc>
        <w:tc>
          <w:tcPr>
            <w:tcW w:type="dxa" w:w="701"/>
          </w:tcPr>
          <w:p>
            <w:pPr>
              <w:spacing w:before="10" w:after="10"/>
              <w:jc w:val="center"/>
              <w:rPr>
                <w:sz w:val="14"/>
              </w:rPr>
            </w:pPr>
            <w:r>
              <w:rPr>
                <w:b/>
                <w:sz w:val="14"/>
              </w:rPr>
              <w:t>0.138</w:t>
            </w:r>
          </w:p>
        </w:tc>
        <w:tc>
          <w:tcPr>
            <w:tcW w:type="dxa" w:w="701"/>
          </w:tcPr>
          <w:p>
            <w:pPr>
              <w:spacing w:before="10" w:after="10"/>
              <w:jc w:val="center"/>
              <w:rPr>
                <w:sz w:val="14"/>
              </w:rPr>
            </w:pPr>
            <w:r>
              <w:rPr>
                <w:sz w:val="14"/>
              </w:rPr>
              <w:t>0.716</w:t>
            </w:r>
          </w:p>
        </w:tc>
        <w:tc>
          <w:tcPr>
            <w:tcW w:type="dxa" w:w="701"/>
          </w:tcPr>
          <w:p>
            <w:pPr>
              <w:spacing w:before="10" w:after="10"/>
              <w:jc w:val="center"/>
              <w:rPr>
                <w:sz w:val="14"/>
              </w:rPr>
            </w:pPr>
            <w:r>
              <w:rPr>
                <w:sz w:val="14"/>
              </w:rPr>
              <w:t>0.834</w:t>
            </w:r>
          </w:p>
        </w:tc>
      </w:tr>
      <w:tr>
        <w:tc>
          <w:tcPr>
            <w:tcW w:type="dxa" w:w="510"/>
          </w:tcPr>
          <w:p>
            <w:pPr>
              <w:spacing w:before="10" w:after="10"/>
              <w:jc w:val="left"/>
              <w:rPr>
                <w:sz w:val="14"/>
              </w:rPr>
            </w:pPr>
          </w:p>
        </w:tc>
        <w:tc>
          <w:tcPr>
            <w:tcW w:type="dxa" w:w="1656"/>
          </w:tcPr>
          <w:p>
            <w:pPr>
              <w:spacing w:before="10" w:after="10"/>
              <w:jc w:val="left"/>
              <w:rPr>
                <w:sz w:val="14"/>
              </w:rPr>
            </w:pPr>
            <w:r>
              <w:rPr>
                <w:sz w:val="14"/>
              </w:rPr>
              <w:t>Persistence</w:t>
            </w:r>
          </w:p>
        </w:tc>
        <w:tc>
          <w:tcPr>
            <w:tcW w:type="dxa" w:w="701"/>
          </w:tcPr>
          <w:p>
            <w:pPr>
              <w:spacing w:before="10" w:after="10"/>
              <w:jc w:val="center"/>
              <w:rPr>
                <w:sz w:val="14"/>
              </w:rPr>
            </w:pPr>
            <w:r>
              <w:rPr>
                <w:sz w:val="14"/>
              </w:rPr>
              <w:t>0.789</w:t>
            </w:r>
          </w:p>
        </w:tc>
        <w:tc>
          <w:tcPr>
            <w:tcW w:type="dxa" w:w="701"/>
          </w:tcPr>
          <w:p>
            <w:pPr>
              <w:spacing w:before="10" w:after="10"/>
              <w:jc w:val="center"/>
              <w:rPr>
                <w:sz w:val="14"/>
              </w:rPr>
            </w:pPr>
            <w:r>
              <w:rPr>
                <w:sz w:val="14"/>
              </w:rPr>
              <w:t>0.211</w:t>
            </w:r>
          </w:p>
        </w:tc>
        <w:tc>
          <w:tcPr>
            <w:tcW w:type="dxa" w:w="701"/>
          </w:tcPr>
          <w:p>
            <w:pPr>
              <w:spacing w:before="10" w:after="10"/>
              <w:jc w:val="center"/>
              <w:rPr>
                <w:sz w:val="14"/>
              </w:rPr>
            </w:pPr>
            <w:r>
              <w:rPr>
                <w:sz w:val="14"/>
              </w:rPr>
              <w:t>0.652</w:t>
            </w:r>
          </w:p>
        </w:tc>
        <w:tc>
          <w:tcPr>
            <w:tcW w:type="dxa" w:w="701"/>
          </w:tcPr>
          <w:p>
            <w:pPr>
              <w:spacing w:before="10" w:after="10"/>
              <w:jc w:val="center"/>
              <w:rPr>
                <w:sz w:val="14"/>
              </w:rPr>
            </w:pPr>
            <w:r>
              <w:rPr>
                <w:sz w:val="14"/>
              </w:rPr>
              <w:t>0.788</w:t>
            </w:r>
          </w:p>
        </w:tc>
      </w:tr>
      <w:tr>
        <w:tc>
          <w:tcPr>
            <w:tcW w:type="dxa" w:w="510"/>
          </w:tcPr>
          <w:p>
            <w:pPr>
              <w:spacing w:before="10" w:after="10"/>
              <w:jc w:val="left"/>
              <w:rPr>
                <w:sz w:val="14"/>
              </w:rPr>
            </w:pPr>
          </w:p>
        </w:tc>
        <w:tc>
          <w:tcPr>
            <w:tcW w:type="dxa" w:w="1656"/>
          </w:tcPr>
          <w:p>
            <w:pPr>
              <w:spacing w:before="10" w:after="10"/>
              <w:jc w:val="left"/>
              <w:rPr>
                <w:sz w:val="14"/>
              </w:rPr>
            </w:pPr>
            <w:r>
              <w:rPr>
                <w:sz w:val="14"/>
              </w:rPr>
              <w:t>TREND (prevailing)</w:t>
            </w:r>
          </w:p>
        </w:tc>
        <w:tc>
          <w:tcPr>
            <w:tcW w:type="dxa" w:w="701"/>
          </w:tcPr>
          <w:p>
            <w:pPr>
              <w:spacing w:before="10" w:after="10"/>
              <w:jc w:val="center"/>
              <w:rPr>
                <w:sz w:val="14"/>
              </w:rPr>
            </w:pPr>
            <w:r>
              <w:rPr>
                <w:sz w:val="14"/>
              </w:rPr>
              <w:t>0.753</w:t>
            </w:r>
          </w:p>
        </w:tc>
        <w:tc>
          <w:tcPr>
            <w:tcW w:type="dxa" w:w="701"/>
          </w:tcPr>
          <w:p>
            <w:pPr>
              <w:spacing w:before="10" w:after="10"/>
              <w:jc w:val="center"/>
              <w:rPr>
                <w:sz w:val="14"/>
              </w:rPr>
            </w:pPr>
            <w:r>
              <w:rPr>
                <w:sz w:val="14"/>
              </w:rPr>
              <w:t>0.217</w:t>
            </w:r>
          </w:p>
        </w:tc>
        <w:tc>
          <w:tcPr>
            <w:tcW w:type="dxa" w:w="701"/>
          </w:tcPr>
          <w:p>
            <w:pPr>
              <w:spacing w:before="10" w:after="10"/>
              <w:jc w:val="center"/>
              <w:rPr>
                <w:sz w:val="14"/>
              </w:rPr>
            </w:pPr>
            <w:r>
              <w:rPr>
                <w:sz w:val="14"/>
              </w:rPr>
              <w:t>0.623</w:t>
            </w:r>
          </w:p>
        </w:tc>
        <w:tc>
          <w:tcPr>
            <w:tcW w:type="dxa" w:w="701"/>
          </w:tcPr>
          <w:p>
            <w:pPr>
              <w:spacing w:before="10" w:after="10"/>
              <w:jc w:val="center"/>
              <w:rPr>
                <w:sz w:val="14"/>
              </w:rPr>
            </w:pPr>
            <w:r>
              <w:rPr>
                <w:sz w:val="14"/>
              </w:rPr>
              <w:t>0.767</w:t>
            </w:r>
          </w:p>
        </w:tc>
      </w:tr>
      <w:tr>
        <w:tc>
          <w:tcPr>
            <w:tcW w:type="dxa" w:w="510"/>
          </w:tcPr>
          <w:p>
            <w:pPr>
              <w:spacing w:before="10" w:after="10"/>
              <w:jc w:val="left"/>
              <w:rPr>
                <w:sz w:val="14"/>
              </w:rPr>
            </w:pPr>
          </w:p>
        </w:tc>
        <w:tc>
          <w:tcPr>
            <w:tcW w:type="dxa" w:w="1656"/>
          </w:tcPr>
          <w:p>
            <w:pPr>
              <w:spacing w:before="10" w:after="10"/>
              <w:jc w:val="left"/>
              <w:rPr>
                <w:sz w:val="14"/>
              </w:rPr>
            </w:pPr>
            <w:r>
              <w:rPr>
                <w:sz w:val="14"/>
              </w:rPr>
              <w:t>TREND (worst case)</w:t>
            </w:r>
          </w:p>
        </w:tc>
        <w:tc>
          <w:tcPr>
            <w:tcW w:type="dxa" w:w="701"/>
          </w:tcPr>
          <w:p>
            <w:pPr>
              <w:spacing w:before="10" w:after="10"/>
              <w:jc w:val="center"/>
              <w:rPr>
                <w:sz w:val="14"/>
              </w:rPr>
            </w:pPr>
            <w:r>
              <w:rPr>
                <w:sz w:val="14"/>
              </w:rPr>
              <w:t>0.774</w:t>
            </w:r>
          </w:p>
        </w:tc>
        <w:tc>
          <w:tcPr>
            <w:tcW w:type="dxa" w:w="701"/>
          </w:tcPr>
          <w:p>
            <w:pPr>
              <w:spacing w:before="10" w:after="10"/>
              <w:jc w:val="center"/>
              <w:rPr>
                <w:sz w:val="14"/>
              </w:rPr>
            </w:pPr>
            <w:r>
              <w:rPr>
                <w:sz w:val="14"/>
              </w:rPr>
              <w:t>0.240</w:t>
            </w:r>
          </w:p>
        </w:tc>
        <w:tc>
          <w:tcPr>
            <w:tcW w:type="dxa" w:w="701"/>
          </w:tcPr>
          <w:p>
            <w:pPr>
              <w:spacing w:before="10" w:after="10"/>
              <w:jc w:val="center"/>
              <w:rPr>
                <w:sz w:val="14"/>
              </w:rPr>
            </w:pPr>
            <w:r>
              <w:rPr>
                <w:sz w:val="14"/>
              </w:rPr>
              <w:t>0.622</w:t>
            </w:r>
          </w:p>
        </w:tc>
        <w:tc>
          <w:tcPr>
            <w:tcW w:type="dxa" w:w="701"/>
          </w:tcPr>
          <w:p>
            <w:pPr>
              <w:spacing w:before="10" w:after="10"/>
              <w:jc w:val="center"/>
              <w:rPr>
                <w:sz w:val="14"/>
              </w:rPr>
            </w:pPr>
            <w:r>
              <w:rPr>
                <w:sz w:val="14"/>
              </w:rPr>
              <w:t>0.765</w:t>
            </w:r>
          </w:p>
        </w:tc>
      </w:tr>
    </w:tbl>
    <w:p>
      <w:pPr>
        <w:pStyle w:val="FigureCaption"/>
        <w:spacing w:before="40"/>
      </w:pPr>
      <w:r>
        <w:rPr>
          <w:sz w:val="14"/>
        </w:rPr>
        <w:t>70 037 forecasts with a decodable TREND (446 fog cases at 1 h).</w:t>
      </w:r>
    </w:p>
    <w:p>
      <w:pPr>
        <w:spacing w:after="80"/>
      </w:pPr>
    </w:p>
    <w:p>
      <w:pPr>
        <w:pStyle w:val="Heading2"/>
        <w:numPr>
          <w:ilvl w:val="0"/>
          <w:numId w:val="0"/>
        </w:numPr>
      </w:pPr>
      <w:r>
        <w:t xml:space="preserve">C. </w:t>
      </w:r>
      <w:r>
        <w:t>Fog Onsets and Dissipations</w:t>
      </w:r>
    </w:p>
    <w:p>
      <w:pPr>
        <w:pStyle w:val="Text"/>
      </w:pPr>
      <w:r>
        <w:t>Onsets and dissipations are where a nowcast creates operational value, because persistence cannot predict either. Fig. 5 shows the fraction of the 48 test-season onsets (fog after at least 2 h without fog) and 44 dissipations that were correctly forecast. Dissipations are captured well: at 1 h XGBoost forecasts 45% of them correctly (persistence: 0%), and at 6 h the GRU reaches 86% (persistence: 68%). Onsets remain the hardest problem: at the CSI-optimal thresholds the models capture 2–21% of the onsets, compared with 0–4% for persistence. The tiered alert design mitigates this limitation: at the watch level (</w:t>
      </w:r>
      <w:r>
        <w:rPr>
          <w:i/>
        </w:rPr>
        <w:t>τ</w:t>
      </w:r>
      <w:r>
        <w:rPr>
          <w:i/>
          <w:vertAlign w:val="subscript"/>
        </w:rPr>
        <w:t>h</w:t>
      </w:r>
      <w:r>
        <w:t>/2</w:t>
      </w:r>
      <w:r>
        <w:t>) LightGBM flags 25%, 21% and 38% of the onsets 1, 3 and 6 h ahead, while the CSI decreases only from 0.729 to 0.692, from 0.467 to 0.435 and from 0.297 to 0.271.</w:t>
      </w:r>
    </w:p>
    <w:p>
      <w:pPr>
        <w:keepNext/>
        <w:spacing w:before="120"/>
        <w:jc w:val="center"/>
      </w:pPr>
      <w:r>
        <w:drawing>
          <wp:inline xmlns:a="http://schemas.openxmlformats.org/drawingml/2006/main" xmlns:pic="http://schemas.openxmlformats.org/drawingml/2006/picture">
            <wp:extent cx="3154680" cy="1156878"/>
            <wp:docPr id="5" name="Picture 5"/>
            <wp:cNvGraphicFramePr>
              <a:graphicFrameLocks noChangeAspect="1"/>
            </wp:cNvGraphicFramePr>
            <a:graphic>
              <a:graphicData uri="http://schemas.openxmlformats.org/drawingml/2006/picture">
                <pic:pic>
                  <pic:nvPicPr>
                    <pic:cNvPr id="0" name="onset_dissipation.png"/>
                    <pic:cNvPicPr/>
                  </pic:nvPicPr>
                  <pic:blipFill>
                    <a:blip r:embed="rId36"/>
                    <a:stretch>
                      <a:fillRect/>
                    </a:stretch>
                  </pic:blipFill>
                  <pic:spPr>
                    <a:xfrm>
                      <a:off x="0" y="0"/>
                      <a:ext cx="3154680" cy="1156878"/>
                    </a:xfrm>
                    <a:prstGeom prst="rect"/>
                  </pic:spPr>
                </pic:pic>
              </a:graphicData>
            </a:graphic>
          </wp:inline>
        </w:drawing>
      </w:r>
    </w:p>
    <w:p>
      <w:pPr>
        <w:pStyle w:val="FigureCaption"/>
        <w:spacing w:after="160"/>
      </w:pPr>
      <w:r>
        <w:rPr>
          <w:sz w:val="16"/>
        </w:rPr>
        <w:t xml:space="preserve">Fig. 5. </w:t>
      </w:r>
      <w:r>
        <w:rPr>
          <w:sz w:val="16"/>
        </w:rPr>
        <w:t>Fraction of fog onsets (left) and dissipations (right) in the test seasons that were correctly forecast at the CSI-optimal thresholds.</w:t>
      </w:r>
    </w:p>
    <w:p>
      <w:pPr>
        <w:pStyle w:val="Heading2"/>
        <w:numPr>
          <w:ilvl w:val="0"/>
          <w:numId w:val="0"/>
        </w:numPr>
      </w:pPr>
      <w:r>
        <w:t xml:space="preserve">D. </w:t>
      </w:r>
      <w:r>
        <w:t>ILS-Category Forecasts</w:t>
      </w:r>
    </w:p>
    <w:p>
      <w:pPr>
        <w:pStyle w:val="Text"/>
      </w:pPr>
      <w:r>
        <w:t>Table VIII and Fig. 6 summarise the ordinal RVR forecasts. All ML models achieve a positive ranked probability skill score at every lead time—0.636 (LightGBM) at 1 h, 0.407 (XGBoost) at 3 h and 0.281 (LSTM) at 6 h—whereas persistence falls from 0.427 to −0.166 and −0.695. For CAT III conditions (RVR &lt; 350 m) LightGBM reaches CSI 0.578 at 1 h and the GRU 0.371 at 3 h (persistence: 0.521 and 0.225). The confusion matrices show that CAT III is recognised well (76% of the cases at 1 h), whereas the intermediate CAT II class is the most difficult, being frequently confused with its neighbours; this is expected for a narrow transitional band of RVR.</w:t>
      </w:r>
    </w:p>
    <w:p>
      <w:pPr>
        <w:keepNext/>
        <w:widowControl w:val="0"/>
        <w:pBdr>
          <w:top w:val="nil"/>
          <w:left w:val="nil"/>
          <w:bottom w:val="nil"/>
          <w:right w:val="nil"/>
          <w:between w:val="nil"/>
        </w:pBdr>
        <w:spacing w:line="252" w:lineRule="auto"/>
        <w:ind w:firstLine="202"/>
        <w:jc w:val="center"/>
      </w:pPr>
      <w:r>
        <w:rPr>
          <w:sz w:val="16"/>
        </w:rPr>
        <w:t>TABLE VIII</w:t>
      </w:r>
    </w:p>
    <w:p>
      <w:pPr>
        <w:pStyle w:val="TableTitle"/>
        <w:keepNext/>
        <w:spacing w:after="60"/>
      </w:pPr>
      <w:r>
        <w:rPr>
          <w:sz w:val="16"/>
        </w:rPr>
        <w:t>ILS-category (RVR) forecasts on the test seasons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481"/>
        <w:gridCol w:w="1481"/>
        <w:gridCol w:w="1481"/>
        <w:gridCol w:w="1481"/>
        <w:gridCol w:w="1481"/>
        <w:gridCol w:w="1481"/>
        <w:gridCol w:w="1481"/>
      </w:tblGrid>
      <w:tr>
        <w:tc>
          <w:tcPr>
            <w:tcW w:type="dxa" w:w="490"/>
            <w:tcBorders>
              <w:bottom w:val="single" w:sz="4" w:color="000000"/>
            </w:tcBorders>
          </w:tcPr>
          <w:p>
            <w:pPr>
              <w:spacing w:before="10" w:after="10"/>
              <w:jc w:val="left"/>
              <w:rPr>
                <w:sz w:val="14"/>
              </w:rPr>
            </w:pPr>
            <w:r>
              <w:rPr>
                <w:b/>
                <w:sz w:val="14"/>
              </w:rPr>
              <w:t>Lead</w:t>
            </w:r>
          </w:p>
        </w:tc>
        <w:tc>
          <w:tcPr>
            <w:tcW w:type="dxa" w:w="1066"/>
            <w:tcBorders>
              <w:bottom w:val="single" w:sz="4" w:color="000000"/>
            </w:tcBorders>
          </w:tcPr>
          <w:p>
            <w:pPr>
              <w:spacing w:before="10" w:after="10"/>
              <w:jc w:val="left"/>
              <w:rPr>
                <w:sz w:val="14"/>
              </w:rPr>
            </w:pPr>
            <w:r>
              <w:rPr>
                <w:b/>
                <w:sz w:val="14"/>
              </w:rPr>
              <w:t>Forecast</w:t>
            </w:r>
          </w:p>
        </w:tc>
        <w:tc>
          <w:tcPr>
            <w:tcW w:type="dxa" w:w="677"/>
            <w:tcBorders>
              <w:bottom w:val="single" w:sz="4" w:color="000000"/>
            </w:tcBorders>
          </w:tcPr>
          <w:p>
            <w:pPr>
              <w:spacing w:before="10" w:after="10"/>
              <w:jc w:val="center"/>
              <w:rPr>
                <w:sz w:val="14"/>
              </w:rPr>
            </w:pPr>
            <w:r>
              <w:rPr>
                <w:b/>
                <w:sz w:val="14"/>
              </w:rPr>
              <w:t>RPSS</w:t>
            </w:r>
          </w:p>
        </w:tc>
        <w:tc>
          <w:tcPr>
            <w:tcW w:type="dxa" w:w="749"/>
            <w:tcBorders>
              <w:bottom w:val="single" w:sz="4" w:color="000000"/>
            </w:tcBorders>
          </w:tcPr>
          <w:p>
            <w:pPr>
              <w:spacing w:before="10" w:after="10"/>
              <w:jc w:val="center"/>
              <w:rPr>
                <w:sz w:val="14"/>
              </w:rPr>
            </w:pPr>
            <w:r>
              <w:rPr>
                <w:b/>
                <w:sz w:val="14"/>
              </w:rPr>
              <w:t>Macro-F1</w:t>
            </w:r>
          </w:p>
        </w:tc>
        <w:tc>
          <w:tcPr>
            <w:tcW w:type="dxa" w:w="648"/>
            <w:tcBorders>
              <w:bottom w:val="single" w:sz="4" w:color="000000"/>
            </w:tcBorders>
          </w:tcPr>
          <w:p>
            <w:pPr>
              <w:spacing w:before="10" w:after="10"/>
              <w:jc w:val="center"/>
              <w:rPr>
                <w:sz w:val="14"/>
              </w:rPr>
            </w:pPr>
            <w:r>
              <w:rPr>
                <w:b/>
                <w:sz w:val="14"/>
              </w:rPr>
              <w:t>HSS</w:t>
            </w:r>
            <w:r>
              <w:rPr>
                <w:b/>
                <w:i w:val="0"/>
                <w:sz w:val="14"/>
                <w:vertAlign w:val="subscript"/>
              </w:rPr>
              <w:t>3</w:t>
            </w:r>
          </w:p>
        </w:tc>
        <w:tc>
          <w:tcPr>
            <w:tcW w:type="dxa" w:w="691"/>
            <w:tcBorders>
              <w:bottom w:val="single" w:sz="4" w:color="000000"/>
            </w:tcBorders>
          </w:tcPr>
          <w:p>
            <w:pPr>
              <w:spacing w:before="10" w:after="10"/>
              <w:jc w:val="center"/>
              <w:rPr>
                <w:sz w:val="14"/>
              </w:rPr>
            </w:pPr>
            <w:r>
              <w:rPr>
                <w:b/>
                <w:sz w:val="14"/>
              </w:rPr>
              <w:t>CSI</w:t>
            </w:r>
            <w:r>
              <w:rPr>
                <w:b/>
                <w:i w:val="0"/>
                <w:sz w:val="14"/>
                <w:vertAlign w:val="subscript"/>
              </w:rPr>
              <w:t>≥II</w:t>
            </w:r>
          </w:p>
        </w:tc>
        <w:tc>
          <w:tcPr>
            <w:tcW w:type="dxa" w:w="648"/>
            <w:tcBorders>
              <w:bottom w:val="single" w:sz="4" w:color="000000"/>
            </w:tcBorders>
          </w:tcPr>
          <w:p>
            <w:pPr>
              <w:spacing w:before="10" w:after="10"/>
              <w:jc w:val="center"/>
              <w:rPr>
                <w:sz w:val="14"/>
              </w:rPr>
            </w:pPr>
            <w:r>
              <w:rPr>
                <w:b/>
                <w:sz w:val="14"/>
              </w:rPr>
              <w:t>CSI</w:t>
            </w:r>
            <w:r>
              <w:rPr>
                <w:b/>
                <w:i/>
                <w:sz w:val="14"/>
                <w:vertAlign w:val="subscript"/>
              </w:rPr>
              <w:t>III</w:t>
            </w:r>
          </w:p>
        </w:tc>
      </w:tr>
      <w:tr>
        <w:tc>
          <w:tcPr>
            <w:tcW w:type="dxa" w:w="490"/>
          </w:tcPr>
          <w:p>
            <w:pPr>
              <w:spacing w:before="10" w:after="10"/>
              <w:jc w:val="left"/>
              <w:rPr>
                <w:sz w:val="14"/>
              </w:rPr>
            </w:pPr>
            <w:r>
              <w:rPr>
                <w:sz w:val="14"/>
              </w:rPr>
              <w:t>1 h</w:t>
            </w:r>
          </w:p>
        </w:tc>
        <w:tc>
          <w:tcPr>
            <w:tcW w:type="dxa" w:w="1066"/>
          </w:tcPr>
          <w:p>
            <w:pPr>
              <w:spacing w:before="10" w:after="10"/>
              <w:jc w:val="left"/>
              <w:rPr>
                <w:sz w:val="14"/>
              </w:rPr>
            </w:pPr>
            <w:r>
              <w:rPr>
                <w:sz w:val="14"/>
              </w:rPr>
              <w:t>LR</w:t>
            </w:r>
          </w:p>
        </w:tc>
        <w:tc>
          <w:tcPr>
            <w:tcW w:type="dxa" w:w="677"/>
          </w:tcPr>
          <w:p>
            <w:pPr>
              <w:spacing w:before="10" w:after="10"/>
              <w:jc w:val="center"/>
              <w:rPr>
                <w:sz w:val="14"/>
              </w:rPr>
            </w:pPr>
            <w:r>
              <w:rPr>
                <w:sz w:val="14"/>
              </w:rPr>
              <w:t>0.596</w:t>
            </w:r>
          </w:p>
        </w:tc>
        <w:tc>
          <w:tcPr>
            <w:tcW w:type="dxa" w:w="749"/>
          </w:tcPr>
          <w:p>
            <w:pPr>
              <w:spacing w:before="10" w:after="10"/>
              <w:jc w:val="center"/>
              <w:rPr>
                <w:sz w:val="14"/>
              </w:rPr>
            </w:pPr>
            <w:r>
              <w:rPr>
                <w:sz w:val="14"/>
              </w:rPr>
              <w:t>0.602</w:t>
            </w:r>
          </w:p>
        </w:tc>
        <w:tc>
          <w:tcPr>
            <w:tcW w:type="dxa" w:w="648"/>
          </w:tcPr>
          <w:p>
            <w:pPr>
              <w:spacing w:before="10" w:after="10"/>
              <w:jc w:val="center"/>
              <w:rPr>
                <w:sz w:val="14"/>
              </w:rPr>
            </w:pPr>
            <w:r>
              <w:rPr>
                <w:sz w:val="14"/>
              </w:rPr>
              <w:t>0.656</w:t>
            </w:r>
          </w:p>
        </w:tc>
        <w:tc>
          <w:tcPr>
            <w:tcW w:type="dxa" w:w="691"/>
          </w:tcPr>
          <w:p>
            <w:pPr>
              <w:spacing w:before="10" w:after="10"/>
              <w:jc w:val="center"/>
              <w:rPr>
                <w:sz w:val="14"/>
              </w:rPr>
            </w:pPr>
            <w:r>
              <w:rPr>
                <w:sz w:val="14"/>
              </w:rPr>
              <w:t>0.632</w:t>
            </w:r>
          </w:p>
        </w:tc>
        <w:tc>
          <w:tcPr>
            <w:tcW w:type="dxa" w:w="648"/>
          </w:tcPr>
          <w:p>
            <w:pPr>
              <w:spacing w:before="10" w:after="10"/>
              <w:jc w:val="center"/>
              <w:rPr>
                <w:sz w:val="14"/>
              </w:rPr>
            </w:pPr>
            <w:r>
              <w:rPr>
                <w:sz w:val="14"/>
              </w:rPr>
              <w:t>0.514</w:t>
            </w:r>
          </w:p>
        </w:tc>
      </w:tr>
      <w:tr>
        <w:tc>
          <w:tcPr>
            <w:tcW w:type="dxa" w:w="490"/>
          </w:tcPr>
          <w:p>
            <w:pPr>
              <w:spacing w:before="10" w:after="10"/>
              <w:jc w:val="left"/>
              <w:rPr>
                <w:sz w:val="14"/>
              </w:rPr>
            </w:pPr>
          </w:p>
        </w:tc>
        <w:tc>
          <w:tcPr>
            <w:tcW w:type="dxa" w:w="1066"/>
          </w:tcPr>
          <w:p>
            <w:pPr>
              <w:spacing w:before="10" w:after="10"/>
              <w:jc w:val="left"/>
              <w:rPr>
                <w:sz w:val="14"/>
              </w:rPr>
            </w:pPr>
            <w:r>
              <w:rPr>
                <w:sz w:val="14"/>
              </w:rPr>
              <w:t>RF</w:t>
            </w:r>
          </w:p>
        </w:tc>
        <w:tc>
          <w:tcPr>
            <w:tcW w:type="dxa" w:w="677"/>
          </w:tcPr>
          <w:p>
            <w:pPr>
              <w:spacing w:before="10" w:after="10"/>
              <w:jc w:val="center"/>
              <w:rPr>
                <w:sz w:val="14"/>
              </w:rPr>
            </w:pPr>
            <w:r>
              <w:rPr>
                <w:sz w:val="14"/>
              </w:rPr>
              <w:t>0.629</w:t>
            </w:r>
          </w:p>
        </w:tc>
        <w:tc>
          <w:tcPr>
            <w:tcW w:type="dxa" w:w="749"/>
          </w:tcPr>
          <w:p>
            <w:pPr>
              <w:spacing w:before="10" w:after="10"/>
              <w:jc w:val="center"/>
              <w:rPr>
                <w:sz w:val="14"/>
              </w:rPr>
            </w:pPr>
            <w:r>
              <w:rPr>
                <w:sz w:val="14"/>
              </w:rPr>
              <w:t>0.653</w:t>
            </w:r>
          </w:p>
        </w:tc>
        <w:tc>
          <w:tcPr>
            <w:tcW w:type="dxa" w:w="648"/>
          </w:tcPr>
          <w:p>
            <w:pPr>
              <w:spacing w:before="10" w:after="10"/>
              <w:jc w:val="center"/>
              <w:rPr>
                <w:sz w:val="14"/>
              </w:rPr>
            </w:pPr>
            <w:r>
              <w:rPr>
                <w:sz w:val="14"/>
              </w:rPr>
              <w:t>0.680</w:t>
            </w:r>
          </w:p>
        </w:tc>
        <w:tc>
          <w:tcPr>
            <w:tcW w:type="dxa" w:w="691"/>
          </w:tcPr>
          <w:p>
            <w:pPr>
              <w:spacing w:before="10" w:after="10"/>
              <w:jc w:val="center"/>
              <w:rPr>
                <w:sz w:val="14"/>
              </w:rPr>
            </w:pPr>
            <w:r>
              <w:rPr>
                <w:sz w:val="14"/>
              </w:rPr>
              <w:t>0.644</w:t>
            </w:r>
          </w:p>
        </w:tc>
        <w:tc>
          <w:tcPr>
            <w:tcW w:type="dxa" w:w="648"/>
          </w:tcPr>
          <w:p>
            <w:pPr>
              <w:spacing w:before="10" w:after="10"/>
              <w:jc w:val="center"/>
              <w:rPr>
                <w:sz w:val="14"/>
              </w:rPr>
            </w:pPr>
            <w:r>
              <w:rPr>
                <w:sz w:val="14"/>
              </w:rPr>
              <w:t>0.561</w:t>
            </w:r>
          </w:p>
        </w:tc>
      </w:tr>
      <w:tr>
        <w:tc>
          <w:tcPr>
            <w:tcW w:type="dxa" w:w="490"/>
          </w:tcPr>
          <w:p>
            <w:pPr>
              <w:spacing w:before="10" w:after="10"/>
              <w:jc w:val="left"/>
              <w:rPr>
                <w:sz w:val="14"/>
              </w:rPr>
            </w:pPr>
          </w:p>
        </w:tc>
        <w:tc>
          <w:tcPr>
            <w:tcW w:type="dxa" w:w="1066"/>
          </w:tcPr>
          <w:p>
            <w:pPr>
              <w:spacing w:before="10" w:after="10"/>
              <w:jc w:val="left"/>
              <w:rPr>
                <w:sz w:val="14"/>
              </w:rPr>
            </w:pPr>
            <w:r>
              <w:rPr>
                <w:sz w:val="14"/>
              </w:rPr>
              <w:t>XGBoost</w:t>
            </w:r>
          </w:p>
        </w:tc>
        <w:tc>
          <w:tcPr>
            <w:tcW w:type="dxa" w:w="677"/>
          </w:tcPr>
          <w:p>
            <w:pPr>
              <w:spacing w:before="10" w:after="10"/>
              <w:jc w:val="center"/>
              <w:rPr>
                <w:sz w:val="14"/>
              </w:rPr>
            </w:pPr>
            <w:r>
              <w:rPr>
                <w:sz w:val="14"/>
              </w:rPr>
              <w:t>0.632</w:t>
            </w:r>
          </w:p>
        </w:tc>
        <w:tc>
          <w:tcPr>
            <w:tcW w:type="dxa" w:w="749"/>
          </w:tcPr>
          <w:p>
            <w:pPr>
              <w:spacing w:before="10" w:after="10"/>
              <w:jc w:val="center"/>
              <w:rPr>
                <w:sz w:val="14"/>
              </w:rPr>
            </w:pPr>
            <w:r>
              <w:rPr>
                <w:sz w:val="14"/>
              </w:rPr>
              <w:t>0.670</w:t>
            </w:r>
          </w:p>
        </w:tc>
        <w:tc>
          <w:tcPr>
            <w:tcW w:type="dxa" w:w="648"/>
          </w:tcPr>
          <w:p>
            <w:pPr>
              <w:spacing w:before="10" w:after="10"/>
              <w:jc w:val="center"/>
              <w:rPr>
                <w:sz w:val="14"/>
              </w:rPr>
            </w:pPr>
            <w:r>
              <w:rPr>
                <w:sz w:val="14"/>
              </w:rPr>
              <w:t>0.683</w:t>
            </w:r>
          </w:p>
        </w:tc>
        <w:tc>
          <w:tcPr>
            <w:tcW w:type="dxa" w:w="691"/>
          </w:tcPr>
          <w:p>
            <w:pPr>
              <w:spacing w:before="10" w:after="10"/>
              <w:jc w:val="center"/>
              <w:rPr>
                <w:sz w:val="14"/>
              </w:rPr>
            </w:pPr>
            <w:r>
              <w:rPr>
                <w:sz w:val="14"/>
              </w:rPr>
              <w:t>0.639</w:t>
            </w:r>
          </w:p>
        </w:tc>
        <w:tc>
          <w:tcPr>
            <w:tcW w:type="dxa" w:w="648"/>
          </w:tcPr>
          <w:p>
            <w:pPr>
              <w:spacing w:before="10" w:after="10"/>
              <w:jc w:val="center"/>
              <w:rPr>
                <w:sz w:val="14"/>
              </w:rPr>
            </w:pPr>
            <w:r>
              <w:rPr>
                <w:sz w:val="14"/>
              </w:rPr>
              <w:t>0.563</w:t>
            </w:r>
          </w:p>
        </w:tc>
      </w:tr>
      <w:tr>
        <w:tc>
          <w:tcPr>
            <w:tcW w:type="dxa" w:w="490"/>
          </w:tcPr>
          <w:p>
            <w:pPr>
              <w:spacing w:before="10" w:after="10"/>
              <w:jc w:val="left"/>
              <w:rPr>
                <w:sz w:val="14"/>
              </w:rPr>
            </w:pPr>
          </w:p>
        </w:tc>
        <w:tc>
          <w:tcPr>
            <w:tcW w:type="dxa" w:w="1066"/>
          </w:tcPr>
          <w:p>
            <w:pPr>
              <w:spacing w:before="10" w:after="10"/>
              <w:jc w:val="left"/>
              <w:rPr>
                <w:sz w:val="14"/>
              </w:rPr>
            </w:pPr>
            <w:r>
              <w:rPr>
                <w:sz w:val="14"/>
              </w:rPr>
              <w:t>LightGBM</w:t>
            </w:r>
          </w:p>
        </w:tc>
        <w:tc>
          <w:tcPr>
            <w:tcW w:type="dxa" w:w="677"/>
          </w:tcPr>
          <w:p>
            <w:pPr>
              <w:spacing w:before="10" w:after="10"/>
              <w:jc w:val="center"/>
              <w:rPr>
                <w:sz w:val="14"/>
              </w:rPr>
            </w:pPr>
            <w:r>
              <w:rPr>
                <w:b/>
                <w:sz w:val="14"/>
              </w:rPr>
              <w:t>0.636</w:t>
            </w:r>
          </w:p>
        </w:tc>
        <w:tc>
          <w:tcPr>
            <w:tcW w:type="dxa" w:w="749"/>
          </w:tcPr>
          <w:p>
            <w:pPr>
              <w:spacing w:before="10" w:after="10"/>
              <w:jc w:val="center"/>
              <w:rPr>
                <w:sz w:val="14"/>
              </w:rPr>
            </w:pPr>
            <w:r>
              <w:rPr>
                <w:b/>
                <w:sz w:val="14"/>
              </w:rPr>
              <w:t>0.701</w:t>
            </w:r>
          </w:p>
        </w:tc>
        <w:tc>
          <w:tcPr>
            <w:tcW w:type="dxa" w:w="648"/>
          </w:tcPr>
          <w:p>
            <w:pPr>
              <w:spacing w:before="10" w:after="10"/>
              <w:jc w:val="center"/>
              <w:rPr>
                <w:sz w:val="14"/>
              </w:rPr>
            </w:pPr>
            <w:r>
              <w:rPr>
                <w:b/>
                <w:sz w:val="14"/>
              </w:rPr>
              <w:t>0.706</w:t>
            </w:r>
          </w:p>
        </w:tc>
        <w:tc>
          <w:tcPr>
            <w:tcW w:type="dxa" w:w="691"/>
          </w:tcPr>
          <w:p>
            <w:pPr>
              <w:spacing w:before="10" w:after="10"/>
              <w:jc w:val="center"/>
              <w:rPr>
                <w:sz w:val="14"/>
              </w:rPr>
            </w:pPr>
            <w:r>
              <w:rPr>
                <w:sz w:val="14"/>
              </w:rPr>
              <w:t>0.644</w:t>
            </w:r>
          </w:p>
        </w:tc>
        <w:tc>
          <w:tcPr>
            <w:tcW w:type="dxa" w:w="648"/>
          </w:tcPr>
          <w:p>
            <w:pPr>
              <w:spacing w:before="10" w:after="10"/>
              <w:jc w:val="center"/>
              <w:rPr>
                <w:sz w:val="14"/>
              </w:rPr>
            </w:pPr>
            <w:r>
              <w:rPr>
                <w:b/>
                <w:sz w:val="14"/>
              </w:rPr>
              <w:t>0.578</w:t>
            </w:r>
          </w:p>
        </w:tc>
      </w:tr>
      <w:tr>
        <w:tc>
          <w:tcPr>
            <w:tcW w:type="dxa" w:w="490"/>
          </w:tcPr>
          <w:p>
            <w:pPr>
              <w:spacing w:before="10" w:after="10"/>
              <w:jc w:val="left"/>
              <w:rPr>
                <w:sz w:val="14"/>
              </w:rPr>
            </w:pPr>
          </w:p>
        </w:tc>
        <w:tc>
          <w:tcPr>
            <w:tcW w:type="dxa" w:w="1066"/>
          </w:tcPr>
          <w:p>
            <w:pPr>
              <w:spacing w:before="10" w:after="10"/>
              <w:jc w:val="left"/>
              <w:rPr>
                <w:sz w:val="14"/>
              </w:rPr>
            </w:pPr>
            <w:r>
              <w:rPr>
                <w:sz w:val="14"/>
              </w:rPr>
              <w:t>GRU</w:t>
            </w:r>
          </w:p>
        </w:tc>
        <w:tc>
          <w:tcPr>
            <w:tcW w:type="dxa" w:w="677"/>
          </w:tcPr>
          <w:p>
            <w:pPr>
              <w:spacing w:before="10" w:after="10"/>
              <w:jc w:val="center"/>
              <w:rPr>
                <w:sz w:val="14"/>
              </w:rPr>
            </w:pPr>
            <w:r>
              <w:rPr>
                <w:sz w:val="14"/>
              </w:rPr>
              <w:t>0.608</w:t>
            </w:r>
          </w:p>
        </w:tc>
        <w:tc>
          <w:tcPr>
            <w:tcW w:type="dxa" w:w="749"/>
          </w:tcPr>
          <w:p>
            <w:pPr>
              <w:spacing w:before="10" w:after="10"/>
              <w:jc w:val="center"/>
              <w:rPr>
                <w:sz w:val="14"/>
              </w:rPr>
            </w:pPr>
            <w:r>
              <w:rPr>
                <w:sz w:val="14"/>
              </w:rPr>
              <w:t>0.618</w:t>
            </w:r>
          </w:p>
        </w:tc>
        <w:tc>
          <w:tcPr>
            <w:tcW w:type="dxa" w:w="648"/>
          </w:tcPr>
          <w:p>
            <w:pPr>
              <w:spacing w:before="10" w:after="10"/>
              <w:jc w:val="center"/>
              <w:rPr>
                <w:sz w:val="14"/>
              </w:rPr>
            </w:pPr>
            <w:r>
              <w:rPr>
                <w:sz w:val="14"/>
              </w:rPr>
              <w:t>0.677</w:t>
            </w:r>
          </w:p>
        </w:tc>
        <w:tc>
          <w:tcPr>
            <w:tcW w:type="dxa" w:w="691"/>
          </w:tcPr>
          <w:p>
            <w:pPr>
              <w:spacing w:before="10" w:after="10"/>
              <w:jc w:val="center"/>
              <w:rPr>
                <w:sz w:val="14"/>
              </w:rPr>
            </w:pPr>
            <w:r>
              <w:rPr>
                <w:sz w:val="14"/>
              </w:rPr>
              <w:t>0.650</w:t>
            </w:r>
          </w:p>
        </w:tc>
        <w:tc>
          <w:tcPr>
            <w:tcW w:type="dxa" w:w="648"/>
          </w:tcPr>
          <w:p>
            <w:pPr>
              <w:spacing w:before="10" w:after="10"/>
              <w:jc w:val="center"/>
              <w:rPr>
                <w:sz w:val="14"/>
              </w:rPr>
            </w:pPr>
            <w:r>
              <w:rPr>
                <w:sz w:val="14"/>
              </w:rPr>
              <w:t>0.515</w:t>
            </w:r>
          </w:p>
        </w:tc>
      </w:tr>
      <w:tr>
        <w:tc>
          <w:tcPr>
            <w:tcW w:type="dxa" w:w="490"/>
          </w:tcPr>
          <w:p>
            <w:pPr>
              <w:spacing w:before="10" w:after="10"/>
              <w:jc w:val="left"/>
              <w:rPr>
                <w:sz w:val="14"/>
              </w:rPr>
            </w:pPr>
          </w:p>
        </w:tc>
        <w:tc>
          <w:tcPr>
            <w:tcW w:type="dxa" w:w="1066"/>
          </w:tcPr>
          <w:p>
            <w:pPr>
              <w:spacing w:before="10" w:after="10"/>
              <w:jc w:val="left"/>
              <w:rPr>
                <w:sz w:val="14"/>
              </w:rPr>
            </w:pPr>
            <w:r>
              <w:rPr>
                <w:sz w:val="14"/>
              </w:rPr>
              <w:t>LSTM</w:t>
            </w:r>
          </w:p>
        </w:tc>
        <w:tc>
          <w:tcPr>
            <w:tcW w:type="dxa" w:w="677"/>
          </w:tcPr>
          <w:p>
            <w:pPr>
              <w:spacing w:before="10" w:after="10"/>
              <w:jc w:val="center"/>
              <w:rPr>
                <w:sz w:val="14"/>
              </w:rPr>
            </w:pPr>
            <w:r>
              <w:rPr>
                <w:sz w:val="14"/>
              </w:rPr>
              <w:t>0.620</w:t>
            </w:r>
          </w:p>
        </w:tc>
        <w:tc>
          <w:tcPr>
            <w:tcW w:type="dxa" w:w="749"/>
          </w:tcPr>
          <w:p>
            <w:pPr>
              <w:spacing w:before="10" w:after="10"/>
              <w:jc w:val="center"/>
              <w:rPr>
                <w:sz w:val="14"/>
              </w:rPr>
            </w:pPr>
            <w:r>
              <w:rPr>
                <w:sz w:val="14"/>
              </w:rPr>
              <w:t>0.629</w:t>
            </w:r>
          </w:p>
        </w:tc>
        <w:tc>
          <w:tcPr>
            <w:tcW w:type="dxa" w:w="648"/>
          </w:tcPr>
          <w:p>
            <w:pPr>
              <w:spacing w:before="10" w:after="10"/>
              <w:jc w:val="center"/>
              <w:rPr>
                <w:sz w:val="14"/>
              </w:rPr>
            </w:pPr>
            <w:r>
              <w:rPr>
                <w:sz w:val="14"/>
              </w:rPr>
              <w:t>0.680</w:t>
            </w:r>
          </w:p>
        </w:tc>
        <w:tc>
          <w:tcPr>
            <w:tcW w:type="dxa" w:w="691"/>
          </w:tcPr>
          <w:p>
            <w:pPr>
              <w:spacing w:before="10" w:after="10"/>
              <w:jc w:val="center"/>
              <w:rPr>
                <w:sz w:val="14"/>
              </w:rPr>
            </w:pPr>
            <w:r>
              <w:rPr>
                <w:b/>
                <w:sz w:val="14"/>
              </w:rPr>
              <w:t>0.660</w:t>
            </w:r>
          </w:p>
        </w:tc>
        <w:tc>
          <w:tcPr>
            <w:tcW w:type="dxa" w:w="648"/>
          </w:tcPr>
          <w:p>
            <w:pPr>
              <w:spacing w:before="10" w:after="10"/>
              <w:jc w:val="center"/>
              <w:rPr>
                <w:sz w:val="14"/>
              </w:rPr>
            </w:pPr>
            <w:r>
              <w:rPr>
                <w:sz w:val="14"/>
              </w:rPr>
              <w:t>0.532</w:t>
            </w:r>
          </w:p>
        </w:tc>
      </w:tr>
      <w:tr>
        <w:tc>
          <w:tcPr>
            <w:tcW w:type="dxa" w:w="490"/>
          </w:tcPr>
          <w:p>
            <w:pPr>
              <w:spacing w:before="10" w:after="10"/>
              <w:jc w:val="left"/>
              <w:rPr>
                <w:sz w:val="14"/>
              </w:rPr>
            </w:pPr>
          </w:p>
        </w:tc>
        <w:tc>
          <w:tcPr>
            <w:tcW w:type="dxa" w:w="1066"/>
          </w:tcPr>
          <w:p>
            <w:pPr>
              <w:spacing w:before="10" w:after="10"/>
              <w:jc w:val="left"/>
              <w:rPr>
                <w:sz w:val="14"/>
              </w:rPr>
            </w:pPr>
            <w:r>
              <w:rPr>
                <w:sz w:val="14"/>
              </w:rPr>
              <w:t>Persistence</w:t>
            </w:r>
          </w:p>
        </w:tc>
        <w:tc>
          <w:tcPr>
            <w:tcW w:type="dxa" w:w="677"/>
          </w:tcPr>
          <w:p>
            <w:pPr>
              <w:spacing w:before="10" w:after="10"/>
              <w:jc w:val="center"/>
              <w:rPr>
                <w:sz w:val="14"/>
              </w:rPr>
            </w:pPr>
            <w:r>
              <w:rPr>
                <w:sz w:val="14"/>
              </w:rPr>
              <w:t>0.427</w:t>
            </w:r>
          </w:p>
        </w:tc>
        <w:tc>
          <w:tcPr>
            <w:tcW w:type="dxa" w:w="749"/>
          </w:tcPr>
          <w:p>
            <w:pPr>
              <w:spacing w:before="10" w:after="10"/>
              <w:jc w:val="center"/>
              <w:rPr>
                <w:sz w:val="14"/>
              </w:rPr>
            </w:pPr>
            <w:r>
              <w:rPr>
                <w:sz w:val="14"/>
              </w:rPr>
              <w:t>0.673</w:t>
            </w:r>
          </w:p>
        </w:tc>
        <w:tc>
          <w:tcPr>
            <w:tcW w:type="dxa" w:w="648"/>
          </w:tcPr>
          <w:p>
            <w:pPr>
              <w:spacing w:before="10" w:after="10"/>
              <w:jc w:val="center"/>
              <w:rPr>
                <w:sz w:val="14"/>
              </w:rPr>
            </w:pPr>
            <w:r>
              <w:rPr>
                <w:sz w:val="14"/>
              </w:rPr>
              <w:t>0.657</w:t>
            </w:r>
          </w:p>
        </w:tc>
        <w:tc>
          <w:tcPr>
            <w:tcW w:type="dxa" w:w="691"/>
          </w:tcPr>
          <w:p>
            <w:pPr>
              <w:spacing w:before="10" w:after="10"/>
              <w:jc w:val="center"/>
              <w:rPr>
                <w:sz w:val="14"/>
              </w:rPr>
            </w:pPr>
            <w:r>
              <w:rPr>
                <w:sz w:val="14"/>
              </w:rPr>
              <w:t>0.599</w:t>
            </w:r>
          </w:p>
        </w:tc>
        <w:tc>
          <w:tcPr>
            <w:tcW w:type="dxa" w:w="648"/>
          </w:tcPr>
          <w:p>
            <w:pPr>
              <w:spacing w:before="10" w:after="10"/>
              <w:jc w:val="center"/>
              <w:rPr>
                <w:sz w:val="14"/>
              </w:rPr>
            </w:pPr>
            <w:r>
              <w:rPr>
                <w:sz w:val="14"/>
              </w:rPr>
              <w:t>0.521</w:t>
            </w:r>
          </w:p>
        </w:tc>
      </w:tr>
      <w:tr>
        <w:tc>
          <w:tcPr>
            <w:tcW w:type="dxa" w:w="490"/>
          </w:tcPr>
          <w:p>
            <w:pPr>
              <w:spacing w:before="10" w:after="10"/>
              <w:jc w:val="left"/>
              <w:rPr>
                <w:sz w:val="14"/>
              </w:rPr>
            </w:pPr>
            <w:r>
              <w:rPr>
                <w:sz w:val="14"/>
              </w:rPr>
              <w:t>3 h</w:t>
            </w:r>
          </w:p>
        </w:tc>
        <w:tc>
          <w:tcPr>
            <w:tcW w:type="dxa" w:w="1066"/>
          </w:tcPr>
          <w:p>
            <w:pPr>
              <w:spacing w:before="10" w:after="10"/>
              <w:jc w:val="left"/>
              <w:rPr>
                <w:sz w:val="14"/>
              </w:rPr>
            </w:pPr>
            <w:r>
              <w:rPr>
                <w:sz w:val="14"/>
              </w:rPr>
              <w:t>LR</w:t>
            </w:r>
          </w:p>
        </w:tc>
        <w:tc>
          <w:tcPr>
            <w:tcW w:type="dxa" w:w="677"/>
          </w:tcPr>
          <w:p>
            <w:pPr>
              <w:spacing w:before="10" w:after="10"/>
              <w:jc w:val="center"/>
              <w:rPr>
                <w:sz w:val="14"/>
              </w:rPr>
            </w:pPr>
            <w:r>
              <w:rPr>
                <w:sz w:val="14"/>
              </w:rPr>
              <w:t>0.345</w:t>
            </w:r>
          </w:p>
        </w:tc>
        <w:tc>
          <w:tcPr>
            <w:tcW w:type="dxa" w:w="749"/>
          </w:tcPr>
          <w:p>
            <w:pPr>
              <w:spacing w:before="10" w:after="10"/>
              <w:jc w:val="center"/>
              <w:rPr>
                <w:sz w:val="14"/>
              </w:rPr>
            </w:pPr>
            <w:r>
              <w:rPr>
                <w:sz w:val="14"/>
              </w:rPr>
              <w:t>0.525</w:t>
            </w:r>
          </w:p>
        </w:tc>
        <w:tc>
          <w:tcPr>
            <w:tcW w:type="dxa" w:w="648"/>
          </w:tcPr>
          <w:p>
            <w:pPr>
              <w:spacing w:before="10" w:after="10"/>
              <w:jc w:val="center"/>
              <w:rPr>
                <w:sz w:val="14"/>
              </w:rPr>
            </w:pPr>
            <w:r>
              <w:rPr>
                <w:sz w:val="14"/>
              </w:rPr>
              <w:t>0.468</w:t>
            </w:r>
          </w:p>
        </w:tc>
        <w:tc>
          <w:tcPr>
            <w:tcW w:type="dxa" w:w="691"/>
          </w:tcPr>
          <w:p>
            <w:pPr>
              <w:spacing w:before="10" w:after="10"/>
              <w:jc w:val="center"/>
              <w:rPr>
                <w:sz w:val="14"/>
              </w:rPr>
            </w:pPr>
            <w:r>
              <w:rPr>
                <w:sz w:val="14"/>
              </w:rPr>
              <w:t>0.407</w:t>
            </w:r>
          </w:p>
        </w:tc>
        <w:tc>
          <w:tcPr>
            <w:tcW w:type="dxa" w:w="648"/>
          </w:tcPr>
          <w:p>
            <w:pPr>
              <w:spacing w:before="10" w:after="10"/>
              <w:jc w:val="center"/>
              <w:rPr>
                <w:sz w:val="14"/>
              </w:rPr>
            </w:pPr>
            <w:r>
              <w:rPr>
                <w:sz w:val="14"/>
              </w:rPr>
              <w:t>0.311</w:t>
            </w:r>
          </w:p>
        </w:tc>
      </w:tr>
      <w:tr>
        <w:tc>
          <w:tcPr>
            <w:tcW w:type="dxa" w:w="490"/>
          </w:tcPr>
          <w:p>
            <w:pPr>
              <w:spacing w:before="10" w:after="10"/>
              <w:jc w:val="left"/>
              <w:rPr>
                <w:sz w:val="14"/>
              </w:rPr>
            </w:pPr>
          </w:p>
        </w:tc>
        <w:tc>
          <w:tcPr>
            <w:tcW w:type="dxa" w:w="1066"/>
          </w:tcPr>
          <w:p>
            <w:pPr>
              <w:spacing w:before="10" w:after="10"/>
              <w:jc w:val="left"/>
              <w:rPr>
                <w:sz w:val="14"/>
              </w:rPr>
            </w:pPr>
            <w:r>
              <w:rPr>
                <w:sz w:val="14"/>
              </w:rPr>
              <w:t>RF</w:t>
            </w:r>
          </w:p>
        </w:tc>
        <w:tc>
          <w:tcPr>
            <w:tcW w:type="dxa" w:w="677"/>
          </w:tcPr>
          <w:p>
            <w:pPr>
              <w:spacing w:before="10" w:after="10"/>
              <w:jc w:val="center"/>
              <w:rPr>
                <w:sz w:val="14"/>
              </w:rPr>
            </w:pPr>
            <w:r>
              <w:rPr>
                <w:sz w:val="14"/>
              </w:rPr>
              <w:t>0.393</w:t>
            </w:r>
          </w:p>
        </w:tc>
        <w:tc>
          <w:tcPr>
            <w:tcW w:type="dxa" w:w="749"/>
          </w:tcPr>
          <w:p>
            <w:pPr>
              <w:spacing w:before="10" w:after="10"/>
              <w:jc w:val="center"/>
              <w:rPr>
                <w:sz w:val="14"/>
              </w:rPr>
            </w:pPr>
            <w:r>
              <w:rPr>
                <w:sz w:val="14"/>
              </w:rPr>
              <w:t>0.550</w:t>
            </w:r>
          </w:p>
        </w:tc>
        <w:tc>
          <w:tcPr>
            <w:tcW w:type="dxa" w:w="648"/>
          </w:tcPr>
          <w:p>
            <w:pPr>
              <w:spacing w:before="10" w:after="10"/>
              <w:jc w:val="center"/>
              <w:rPr>
                <w:sz w:val="14"/>
              </w:rPr>
            </w:pPr>
            <w:r>
              <w:rPr>
                <w:sz w:val="14"/>
              </w:rPr>
              <w:t>0.508</w:t>
            </w:r>
          </w:p>
        </w:tc>
        <w:tc>
          <w:tcPr>
            <w:tcW w:type="dxa" w:w="691"/>
          </w:tcPr>
          <w:p>
            <w:pPr>
              <w:spacing w:before="10" w:after="10"/>
              <w:jc w:val="center"/>
              <w:rPr>
                <w:sz w:val="14"/>
              </w:rPr>
            </w:pPr>
            <w:r>
              <w:rPr>
                <w:sz w:val="14"/>
              </w:rPr>
              <w:t>0.434</w:t>
            </w:r>
          </w:p>
        </w:tc>
        <w:tc>
          <w:tcPr>
            <w:tcW w:type="dxa" w:w="648"/>
          </w:tcPr>
          <w:p>
            <w:pPr>
              <w:spacing w:before="10" w:after="10"/>
              <w:jc w:val="center"/>
              <w:rPr>
                <w:sz w:val="14"/>
              </w:rPr>
            </w:pPr>
            <w:r>
              <w:rPr>
                <w:sz w:val="14"/>
              </w:rPr>
              <w:t>0.352</w:t>
            </w:r>
          </w:p>
        </w:tc>
      </w:tr>
      <w:tr>
        <w:tc>
          <w:tcPr>
            <w:tcW w:type="dxa" w:w="490"/>
          </w:tcPr>
          <w:p>
            <w:pPr>
              <w:spacing w:before="10" w:after="10"/>
              <w:jc w:val="left"/>
              <w:rPr>
                <w:sz w:val="14"/>
              </w:rPr>
            </w:pPr>
          </w:p>
        </w:tc>
        <w:tc>
          <w:tcPr>
            <w:tcW w:type="dxa" w:w="1066"/>
          </w:tcPr>
          <w:p>
            <w:pPr>
              <w:spacing w:before="10" w:after="10"/>
              <w:jc w:val="left"/>
              <w:rPr>
                <w:sz w:val="14"/>
              </w:rPr>
            </w:pPr>
            <w:r>
              <w:rPr>
                <w:sz w:val="14"/>
              </w:rPr>
              <w:t>XGBoost</w:t>
            </w:r>
          </w:p>
        </w:tc>
        <w:tc>
          <w:tcPr>
            <w:tcW w:type="dxa" w:w="677"/>
          </w:tcPr>
          <w:p>
            <w:pPr>
              <w:spacing w:before="10" w:after="10"/>
              <w:jc w:val="center"/>
              <w:rPr>
                <w:sz w:val="14"/>
              </w:rPr>
            </w:pPr>
            <w:r>
              <w:rPr>
                <w:b/>
                <w:sz w:val="14"/>
              </w:rPr>
              <w:t>0.407</w:t>
            </w:r>
          </w:p>
        </w:tc>
        <w:tc>
          <w:tcPr>
            <w:tcW w:type="dxa" w:w="749"/>
          </w:tcPr>
          <w:p>
            <w:pPr>
              <w:spacing w:before="10" w:after="10"/>
              <w:jc w:val="center"/>
              <w:rPr>
                <w:sz w:val="14"/>
              </w:rPr>
            </w:pPr>
            <w:r>
              <w:rPr>
                <w:b/>
                <w:sz w:val="14"/>
              </w:rPr>
              <w:t>0.573</w:t>
            </w:r>
          </w:p>
        </w:tc>
        <w:tc>
          <w:tcPr>
            <w:tcW w:type="dxa" w:w="648"/>
          </w:tcPr>
          <w:p>
            <w:pPr>
              <w:spacing w:before="10" w:after="10"/>
              <w:jc w:val="center"/>
              <w:rPr>
                <w:sz w:val="14"/>
              </w:rPr>
            </w:pPr>
            <w:r>
              <w:rPr>
                <w:sz w:val="14"/>
              </w:rPr>
              <w:t>0.502</w:t>
            </w:r>
          </w:p>
        </w:tc>
        <w:tc>
          <w:tcPr>
            <w:tcW w:type="dxa" w:w="691"/>
          </w:tcPr>
          <w:p>
            <w:pPr>
              <w:spacing w:before="10" w:after="10"/>
              <w:jc w:val="center"/>
              <w:rPr>
                <w:sz w:val="14"/>
              </w:rPr>
            </w:pPr>
            <w:r>
              <w:rPr>
                <w:sz w:val="14"/>
              </w:rPr>
              <w:t>0.446</w:t>
            </w:r>
          </w:p>
        </w:tc>
        <w:tc>
          <w:tcPr>
            <w:tcW w:type="dxa" w:w="648"/>
          </w:tcPr>
          <w:p>
            <w:pPr>
              <w:spacing w:before="10" w:after="10"/>
              <w:jc w:val="center"/>
              <w:rPr>
                <w:sz w:val="14"/>
              </w:rPr>
            </w:pPr>
            <w:r>
              <w:rPr>
                <w:sz w:val="14"/>
              </w:rPr>
              <w:t>0.343</w:t>
            </w:r>
          </w:p>
        </w:tc>
      </w:tr>
      <w:tr>
        <w:tc>
          <w:tcPr>
            <w:tcW w:type="dxa" w:w="490"/>
          </w:tcPr>
          <w:p>
            <w:pPr>
              <w:spacing w:before="10" w:after="10"/>
              <w:jc w:val="left"/>
              <w:rPr>
                <w:sz w:val="14"/>
              </w:rPr>
            </w:pPr>
          </w:p>
        </w:tc>
        <w:tc>
          <w:tcPr>
            <w:tcW w:type="dxa" w:w="1066"/>
          </w:tcPr>
          <w:p>
            <w:pPr>
              <w:spacing w:before="10" w:after="10"/>
              <w:jc w:val="left"/>
              <w:rPr>
                <w:sz w:val="14"/>
              </w:rPr>
            </w:pPr>
            <w:r>
              <w:rPr>
                <w:sz w:val="14"/>
              </w:rPr>
              <w:t>LightGBM</w:t>
            </w:r>
          </w:p>
        </w:tc>
        <w:tc>
          <w:tcPr>
            <w:tcW w:type="dxa" w:w="677"/>
          </w:tcPr>
          <w:p>
            <w:pPr>
              <w:spacing w:before="10" w:after="10"/>
              <w:jc w:val="center"/>
              <w:rPr>
                <w:sz w:val="14"/>
              </w:rPr>
            </w:pPr>
            <w:r>
              <w:rPr>
                <w:sz w:val="14"/>
              </w:rPr>
              <w:t>0.393</w:t>
            </w:r>
          </w:p>
        </w:tc>
        <w:tc>
          <w:tcPr>
            <w:tcW w:type="dxa" w:w="749"/>
          </w:tcPr>
          <w:p>
            <w:pPr>
              <w:spacing w:before="10" w:after="10"/>
              <w:jc w:val="center"/>
              <w:rPr>
                <w:sz w:val="14"/>
              </w:rPr>
            </w:pPr>
            <w:r>
              <w:rPr>
                <w:sz w:val="14"/>
              </w:rPr>
              <w:t>0.568</w:t>
            </w:r>
          </w:p>
        </w:tc>
        <w:tc>
          <w:tcPr>
            <w:tcW w:type="dxa" w:w="648"/>
          </w:tcPr>
          <w:p>
            <w:pPr>
              <w:spacing w:before="10" w:after="10"/>
              <w:jc w:val="center"/>
              <w:rPr>
                <w:sz w:val="14"/>
              </w:rPr>
            </w:pPr>
            <w:r>
              <w:rPr>
                <w:sz w:val="14"/>
              </w:rPr>
              <w:t>0.501</w:t>
            </w:r>
          </w:p>
        </w:tc>
        <w:tc>
          <w:tcPr>
            <w:tcW w:type="dxa" w:w="691"/>
          </w:tcPr>
          <w:p>
            <w:pPr>
              <w:spacing w:before="10" w:after="10"/>
              <w:jc w:val="center"/>
              <w:rPr>
                <w:sz w:val="14"/>
              </w:rPr>
            </w:pPr>
            <w:r>
              <w:rPr>
                <w:sz w:val="14"/>
              </w:rPr>
              <w:t>0.427</w:t>
            </w:r>
          </w:p>
        </w:tc>
        <w:tc>
          <w:tcPr>
            <w:tcW w:type="dxa" w:w="648"/>
          </w:tcPr>
          <w:p>
            <w:pPr>
              <w:spacing w:before="10" w:after="10"/>
              <w:jc w:val="center"/>
              <w:rPr>
                <w:sz w:val="14"/>
              </w:rPr>
            </w:pPr>
            <w:r>
              <w:rPr>
                <w:sz w:val="14"/>
              </w:rPr>
              <w:t>0.341</w:t>
            </w:r>
          </w:p>
        </w:tc>
      </w:tr>
      <w:tr>
        <w:tc>
          <w:tcPr>
            <w:tcW w:type="dxa" w:w="490"/>
          </w:tcPr>
          <w:p>
            <w:pPr>
              <w:spacing w:before="10" w:after="10"/>
              <w:jc w:val="left"/>
              <w:rPr>
                <w:sz w:val="14"/>
              </w:rPr>
            </w:pPr>
          </w:p>
        </w:tc>
        <w:tc>
          <w:tcPr>
            <w:tcW w:type="dxa" w:w="1066"/>
          </w:tcPr>
          <w:p>
            <w:pPr>
              <w:spacing w:before="10" w:after="10"/>
              <w:jc w:val="left"/>
              <w:rPr>
                <w:sz w:val="14"/>
              </w:rPr>
            </w:pPr>
            <w:r>
              <w:rPr>
                <w:sz w:val="14"/>
              </w:rPr>
              <w:t>GRU</w:t>
            </w:r>
          </w:p>
        </w:tc>
        <w:tc>
          <w:tcPr>
            <w:tcW w:type="dxa" w:w="677"/>
          </w:tcPr>
          <w:p>
            <w:pPr>
              <w:spacing w:before="10" w:after="10"/>
              <w:jc w:val="center"/>
              <w:rPr>
                <w:sz w:val="14"/>
              </w:rPr>
            </w:pPr>
            <w:r>
              <w:rPr>
                <w:sz w:val="14"/>
              </w:rPr>
              <w:t>0.403</w:t>
            </w:r>
          </w:p>
        </w:tc>
        <w:tc>
          <w:tcPr>
            <w:tcW w:type="dxa" w:w="749"/>
          </w:tcPr>
          <w:p>
            <w:pPr>
              <w:spacing w:before="10" w:after="10"/>
              <w:jc w:val="center"/>
              <w:rPr>
                <w:sz w:val="14"/>
              </w:rPr>
            </w:pPr>
            <w:r>
              <w:rPr>
                <w:sz w:val="14"/>
              </w:rPr>
              <w:t>0.527</w:t>
            </w:r>
          </w:p>
        </w:tc>
        <w:tc>
          <w:tcPr>
            <w:tcW w:type="dxa" w:w="648"/>
          </w:tcPr>
          <w:p>
            <w:pPr>
              <w:spacing w:before="10" w:after="10"/>
              <w:jc w:val="center"/>
              <w:rPr>
                <w:sz w:val="14"/>
              </w:rPr>
            </w:pPr>
            <w:r>
              <w:rPr>
                <w:b/>
                <w:sz w:val="14"/>
              </w:rPr>
              <w:t>0.526</w:t>
            </w:r>
          </w:p>
        </w:tc>
        <w:tc>
          <w:tcPr>
            <w:tcW w:type="dxa" w:w="691"/>
          </w:tcPr>
          <w:p>
            <w:pPr>
              <w:spacing w:before="10" w:after="10"/>
              <w:jc w:val="center"/>
              <w:rPr>
                <w:sz w:val="14"/>
              </w:rPr>
            </w:pPr>
            <w:r>
              <w:rPr>
                <w:b/>
                <w:sz w:val="14"/>
              </w:rPr>
              <w:t>0.451</w:t>
            </w:r>
          </w:p>
        </w:tc>
        <w:tc>
          <w:tcPr>
            <w:tcW w:type="dxa" w:w="648"/>
          </w:tcPr>
          <w:p>
            <w:pPr>
              <w:spacing w:before="10" w:after="10"/>
              <w:jc w:val="center"/>
              <w:rPr>
                <w:sz w:val="14"/>
              </w:rPr>
            </w:pPr>
            <w:r>
              <w:rPr>
                <w:b/>
                <w:sz w:val="14"/>
              </w:rPr>
              <w:t>0.371</w:t>
            </w:r>
          </w:p>
        </w:tc>
      </w:tr>
      <w:tr>
        <w:tc>
          <w:tcPr>
            <w:tcW w:type="dxa" w:w="490"/>
          </w:tcPr>
          <w:p>
            <w:pPr>
              <w:spacing w:before="10" w:after="10"/>
              <w:jc w:val="left"/>
              <w:rPr>
                <w:sz w:val="14"/>
              </w:rPr>
            </w:pPr>
          </w:p>
        </w:tc>
        <w:tc>
          <w:tcPr>
            <w:tcW w:type="dxa" w:w="1066"/>
          </w:tcPr>
          <w:p>
            <w:pPr>
              <w:spacing w:before="10" w:after="10"/>
              <w:jc w:val="left"/>
              <w:rPr>
                <w:sz w:val="14"/>
              </w:rPr>
            </w:pPr>
            <w:r>
              <w:rPr>
                <w:sz w:val="14"/>
              </w:rPr>
              <w:t>LSTM</w:t>
            </w:r>
          </w:p>
        </w:tc>
        <w:tc>
          <w:tcPr>
            <w:tcW w:type="dxa" w:w="677"/>
          </w:tcPr>
          <w:p>
            <w:pPr>
              <w:spacing w:before="10" w:after="10"/>
              <w:jc w:val="center"/>
              <w:rPr>
                <w:sz w:val="14"/>
              </w:rPr>
            </w:pPr>
            <w:r>
              <w:rPr>
                <w:sz w:val="14"/>
              </w:rPr>
              <w:t>0.393</w:t>
            </w:r>
          </w:p>
        </w:tc>
        <w:tc>
          <w:tcPr>
            <w:tcW w:type="dxa" w:w="749"/>
          </w:tcPr>
          <w:p>
            <w:pPr>
              <w:spacing w:before="10" w:after="10"/>
              <w:jc w:val="center"/>
              <w:rPr>
                <w:sz w:val="14"/>
              </w:rPr>
            </w:pPr>
            <w:r>
              <w:rPr>
                <w:sz w:val="14"/>
              </w:rPr>
              <w:t>0.552</w:t>
            </w:r>
          </w:p>
        </w:tc>
        <w:tc>
          <w:tcPr>
            <w:tcW w:type="dxa" w:w="648"/>
          </w:tcPr>
          <w:p>
            <w:pPr>
              <w:spacing w:before="10" w:after="10"/>
              <w:jc w:val="center"/>
              <w:rPr>
                <w:sz w:val="14"/>
              </w:rPr>
            </w:pPr>
            <w:r>
              <w:rPr>
                <w:sz w:val="14"/>
              </w:rPr>
              <w:t>0.494</w:t>
            </w:r>
          </w:p>
        </w:tc>
        <w:tc>
          <w:tcPr>
            <w:tcW w:type="dxa" w:w="691"/>
          </w:tcPr>
          <w:p>
            <w:pPr>
              <w:spacing w:before="10" w:after="10"/>
              <w:jc w:val="center"/>
              <w:rPr>
                <w:sz w:val="14"/>
              </w:rPr>
            </w:pPr>
            <w:r>
              <w:rPr>
                <w:sz w:val="14"/>
              </w:rPr>
              <w:t>0.446</w:t>
            </w:r>
          </w:p>
        </w:tc>
        <w:tc>
          <w:tcPr>
            <w:tcW w:type="dxa" w:w="648"/>
          </w:tcPr>
          <w:p>
            <w:pPr>
              <w:spacing w:before="10" w:after="10"/>
              <w:jc w:val="center"/>
              <w:rPr>
                <w:sz w:val="14"/>
              </w:rPr>
            </w:pPr>
            <w:r>
              <w:rPr>
                <w:sz w:val="14"/>
              </w:rPr>
              <w:t>0.319</w:t>
            </w:r>
          </w:p>
        </w:tc>
      </w:tr>
      <w:tr>
        <w:tc>
          <w:tcPr>
            <w:tcW w:type="dxa" w:w="490"/>
          </w:tcPr>
          <w:p>
            <w:pPr>
              <w:spacing w:before="10" w:after="10"/>
              <w:jc w:val="left"/>
              <w:rPr>
                <w:sz w:val="14"/>
              </w:rPr>
            </w:pPr>
          </w:p>
        </w:tc>
        <w:tc>
          <w:tcPr>
            <w:tcW w:type="dxa" w:w="1066"/>
          </w:tcPr>
          <w:p>
            <w:pPr>
              <w:spacing w:before="10" w:after="10"/>
              <w:jc w:val="left"/>
              <w:rPr>
                <w:sz w:val="14"/>
              </w:rPr>
            </w:pPr>
            <w:r>
              <w:rPr>
                <w:sz w:val="14"/>
              </w:rPr>
              <w:t>Persistence</w:t>
            </w:r>
          </w:p>
        </w:tc>
        <w:tc>
          <w:tcPr>
            <w:tcW w:type="dxa" w:w="677"/>
          </w:tcPr>
          <w:p>
            <w:pPr>
              <w:spacing w:before="10" w:after="10"/>
              <w:jc w:val="center"/>
              <w:rPr>
                <w:sz w:val="14"/>
              </w:rPr>
            </w:pPr>
            <w:r>
              <w:rPr>
                <w:sz w:val="14"/>
              </w:rPr>
              <w:t>-0.166</w:t>
            </w:r>
          </w:p>
        </w:tc>
        <w:tc>
          <w:tcPr>
            <w:tcW w:type="dxa" w:w="749"/>
          </w:tcPr>
          <w:p>
            <w:pPr>
              <w:spacing w:before="10" w:after="10"/>
              <w:jc w:val="center"/>
              <w:rPr>
                <w:sz w:val="14"/>
              </w:rPr>
            </w:pPr>
            <w:r>
              <w:rPr>
                <w:sz w:val="14"/>
              </w:rPr>
              <w:t>0.512</w:t>
            </w:r>
          </w:p>
        </w:tc>
        <w:tc>
          <w:tcPr>
            <w:tcW w:type="dxa" w:w="648"/>
          </w:tcPr>
          <w:p>
            <w:pPr>
              <w:spacing w:before="10" w:after="10"/>
              <w:jc w:val="center"/>
              <w:rPr>
                <w:sz w:val="14"/>
              </w:rPr>
            </w:pPr>
            <w:r>
              <w:rPr>
                <w:sz w:val="14"/>
              </w:rPr>
              <w:t>0.390</w:t>
            </w:r>
          </w:p>
        </w:tc>
        <w:tc>
          <w:tcPr>
            <w:tcW w:type="dxa" w:w="691"/>
          </w:tcPr>
          <w:p>
            <w:pPr>
              <w:spacing w:before="10" w:after="10"/>
              <w:jc w:val="center"/>
              <w:rPr>
                <w:sz w:val="14"/>
              </w:rPr>
            </w:pPr>
            <w:r>
              <w:rPr>
                <w:sz w:val="14"/>
              </w:rPr>
              <w:t>0.320</w:t>
            </w:r>
          </w:p>
        </w:tc>
        <w:tc>
          <w:tcPr>
            <w:tcW w:type="dxa" w:w="648"/>
          </w:tcPr>
          <w:p>
            <w:pPr>
              <w:spacing w:before="10" w:after="10"/>
              <w:jc w:val="center"/>
              <w:rPr>
                <w:sz w:val="14"/>
              </w:rPr>
            </w:pPr>
            <w:r>
              <w:rPr>
                <w:sz w:val="14"/>
              </w:rPr>
              <w:t>0.225</w:t>
            </w:r>
          </w:p>
        </w:tc>
      </w:tr>
      <w:tr>
        <w:tc>
          <w:tcPr>
            <w:tcW w:type="dxa" w:w="490"/>
          </w:tcPr>
          <w:p>
            <w:pPr>
              <w:spacing w:before="10" w:after="10"/>
              <w:jc w:val="left"/>
              <w:rPr>
                <w:sz w:val="14"/>
              </w:rPr>
            </w:pPr>
            <w:r>
              <w:rPr>
                <w:sz w:val="14"/>
              </w:rPr>
              <w:t>6 h</w:t>
            </w:r>
          </w:p>
        </w:tc>
        <w:tc>
          <w:tcPr>
            <w:tcW w:type="dxa" w:w="1066"/>
          </w:tcPr>
          <w:p>
            <w:pPr>
              <w:spacing w:before="10" w:after="10"/>
              <w:jc w:val="left"/>
              <w:rPr>
                <w:sz w:val="14"/>
              </w:rPr>
            </w:pPr>
            <w:r>
              <w:rPr>
                <w:sz w:val="14"/>
              </w:rPr>
              <w:t>LR</w:t>
            </w:r>
          </w:p>
        </w:tc>
        <w:tc>
          <w:tcPr>
            <w:tcW w:type="dxa" w:w="677"/>
          </w:tcPr>
          <w:p>
            <w:pPr>
              <w:spacing w:before="10" w:after="10"/>
              <w:jc w:val="center"/>
              <w:rPr>
                <w:sz w:val="14"/>
              </w:rPr>
            </w:pPr>
            <w:r>
              <w:rPr>
                <w:sz w:val="14"/>
              </w:rPr>
              <w:t>0.215</w:t>
            </w:r>
          </w:p>
        </w:tc>
        <w:tc>
          <w:tcPr>
            <w:tcW w:type="dxa" w:w="749"/>
          </w:tcPr>
          <w:p>
            <w:pPr>
              <w:spacing w:before="10" w:after="10"/>
              <w:jc w:val="center"/>
              <w:rPr>
                <w:sz w:val="14"/>
              </w:rPr>
            </w:pPr>
            <w:r>
              <w:rPr>
                <w:sz w:val="14"/>
              </w:rPr>
              <w:t>0.467</w:t>
            </w:r>
          </w:p>
        </w:tc>
        <w:tc>
          <w:tcPr>
            <w:tcW w:type="dxa" w:w="648"/>
          </w:tcPr>
          <w:p>
            <w:pPr>
              <w:spacing w:before="10" w:after="10"/>
              <w:jc w:val="center"/>
              <w:rPr>
                <w:sz w:val="14"/>
              </w:rPr>
            </w:pPr>
            <w:r>
              <w:rPr>
                <w:sz w:val="14"/>
              </w:rPr>
              <w:t>0.388</w:t>
            </w:r>
          </w:p>
        </w:tc>
        <w:tc>
          <w:tcPr>
            <w:tcW w:type="dxa" w:w="691"/>
          </w:tcPr>
          <w:p>
            <w:pPr>
              <w:spacing w:before="10" w:after="10"/>
              <w:jc w:val="center"/>
              <w:rPr>
                <w:sz w:val="14"/>
              </w:rPr>
            </w:pPr>
            <w:r>
              <w:rPr>
                <w:sz w:val="14"/>
              </w:rPr>
              <w:t>0.293</w:t>
            </w:r>
          </w:p>
        </w:tc>
        <w:tc>
          <w:tcPr>
            <w:tcW w:type="dxa" w:w="648"/>
          </w:tcPr>
          <w:p>
            <w:pPr>
              <w:spacing w:before="10" w:after="10"/>
              <w:jc w:val="center"/>
              <w:rPr>
                <w:sz w:val="14"/>
              </w:rPr>
            </w:pPr>
            <w:r>
              <w:rPr>
                <w:sz w:val="14"/>
              </w:rPr>
              <w:t>0.245</w:t>
            </w:r>
          </w:p>
        </w:tc>
      </w:tr>
      <w:tr>
        <w:tc>
          <w:tcPr>
            <w:tcW w:type="dxa" w:w="490"/>
          </w:tcPr>
          <w:p>
            <w:pPr>
              <w:spacing w:before="10" w:after="10"/>
              <w:jc w:val="left"/>
              <w:rPr>
                <w:sz w:val="14"/>
              </w:rPr>
            </w:pPr>
          </w:p>
        </w:tc>
        <w:tc>
          <w:tcPr>
            <w:tcW w:type="dxa" w:w="1066"/>
          </w:tcPr>
          <w:p>
            <w:pPr>
              <w:spacing w:before="10" w:after="10"/>
              <w:jc w:val="left"/>
              <w:rPr>
                <w:sz w:val="14"/>
              </w:rPr>
            </w:pPr>
            <w:r>
              <w:rPr>
                <w:sz w:val="14"/>
              </w:rPr>
              <w:t>RF</w:t>
            </w:r>
          </w:p>
        </w:tc>
        <w:tc>
          <w:tcPr>
            <w:tcW w:type="dxa" w:w="677"/>
          </w:tcPr>
          <w:p>
            <w:pPr>
              <w:spacing w:before="10" w:after="10"/>
              <w:jc w:val="center"/>
              <w:rPr>
                <w:sz w:val="14"/>
              </w:rPr>
            </w:pPr>
            <w:r>
              <w:rPr>
                <w:sz w:val="14"/>
              </w:rPr>
              <w:t>0.241</w:t>
            </w:r>
          </w:p>
        </w:tc>
        <w:tc>
          <w:tcPr>
            <w:tcW w:type="dxa" w:w="749"/>
          </w:tcPr>
          <w:p>
            <w:pPr>
              <w:spacing w:before="10" w:after="10"/>
              <w:jc w:val="center"/>
              <w:rPr>
                <w:sz w:val="14"/>
              </w:rPr>
            </w:pPr>
            <w:r>
              <w:rPr>
                <w:sz w:val="14"/>
              </w:rPr>
              <w:t>0.511</w:t>
            </w:r>
          </w:p>
        </w:tc>
        <w:tc>
          <w:tcPr>
            <w:tcW w:type="dxa" w:w="648"/>
          </w:tcPr>
          <w:p>
            <w:pPr>
              <w:spacing w:before="10" w:after="10"/>
              <w:jc w:val="center"/>
              <w:rPr>
                <w:sz w:val="14"/>
              </w:rPr>
            </w:pPr>
            <w:r>
              <w:rPr>
                <w:sz w:val="14"/>
              </w:rPr>
              <w:t>0.392</w:t>
            </w:r>
          </w:p>
        </w:tc>
        <w:tc>
          <w:tcPr>
            <w:tcW w:type="dxa" w:w="691"/>
          </w:tcPr>
          <w:p>
            <w:pPr>
              <w:spacing w:before="10" w:after="10"/>
              <w:jc w:val="center"/>
              <w:rPr>
                <w:sz w:val="14"/>
              </w:rPr>
            </w:pPr>
            <w:r>
              <w:rPr>
                <w:sz w:val="14"/>
              </w:rPr>
              <w:t>0.299</w:t>
            </w:r>
          </w:p>
        </w:tc>
        <w:tc>
          <w:tcPr>
            <w:tcW w:type="dxa" w:w="648"/>
          </w:tcPr>
          <w:p>
            <w:pPr>
              <w:spacing w:before="10" w:after="10"/>
              <w:jc w:val="center"/>
              <w:rPr>
                <w:sz w:val="14"/>
              </w:rPr>
            </w:pPr>
            <w:r>
              <w:rPr>
                <w:sz w:val="14"/>
              </w:rPr>
              <w:t>0.268</w:t>
            </w:r>
          </w:p>
        </w:tc>
      </w:tr>
      <w:tr>
        <w:tc>
          <w:tcPr>
            <w:tcW w:type="dxa" w:w="490"/>
          </w:tcPr>
          <w:p>
            <w:pPr>
              <w:spacing w:before="10" w:after="10"/>
              <w:jc w:val="left"/>
              <w:rPr>
                <w:sz w:val="14"/>
              </w:rPr>
            </w:pPr>
          </w:p>
        </w:tc>
        <w:tc>
          <w:tcPr>
            <w:tcW w:type="dxa" w:w="1066"/>
          </w:tcPr>
          <w:p>
            <w:pPr>
              <w:spacing w:before="10" w:after="10"/>
              <w:jc w:val="left"/>
              <w:rPr>
                <w:sz w:val="14"/>
              </w:rPr>
            </w:pPr>
            <w:r>
              <w:rPr>
                <w:sz w:val="14"/>
              </w:rPr>
              <w:t>XGBoost</w:t>
            </w:r>
          </w:p>
        </w:tc>
        <w:tc>
          <w:tcPr>
            <w:tcW w:type="dxa" w:w="677"/>
          </w:tcPr>
          <w:p>
            <w:pPr>
              <w:spacing w:before="10" w:after="10"/>
              <w:jc w:val="center"/>
              <w:rPr>
                <w:sz w:val="14"/>
              </w:rPr>
            </w:pPr>
            <w:r>
              <w:rPr>
                <w:sz w:val="14"/>
              </w:rPr>
              <w:t>0.235</w:t>
            </w:r>
          </w:p>
        </w:tc>
        <w:tc>
          <w:tcPr>
            <w:tcW w:type="dxa" w:w="749"/>
          </w:tcPr>
          <w:p>
            <w:pPr>
              <w:spacing w:before="10" w:after="10"/>
              <w:jc w:val="center"/>
              <w:rPr>
                <w:sz w:val="14"/>
              </w:rPr>
            </w:pPr>
            <w:r>
              <w:rPr>
                <w:b/>
                <w:sz w:val="14"/>
              </w:rPr>
              <w:t>0.515</w:t>
            </w:r>
          </w:p>
        </w:tc>
        <w:tc>
          <w:tcPr>
            <w:tcW w:type="dxa" w:w="648"/>
          </w:tcPr>
          <w:p>
            <w:pPr>
              <w:spacing w:before="10" w:after="10"/>
              <w:jc w:val="center"/>
              <w:rPr>
                <w:sz w:val="14"/>
              </w:rPr>
            </w:pPr>
            <w:r>
              <w:rPr>
                <w:sz w:val="14"/>
              </w:rPr>
              <w:t>0.393</w:t>
            </w:r>
          </w:p>
        </w:tc>
        <w:tc>
          <w:tcPr>
            <w:tcW w:type="dxa" w:w="691"/>
          </w:tcPr>
          <w:p>
            <w:pPr>
              <w:spacing w:before="10" w:after="10"/>
              <w:jc w:val="center"/>
              <w:rPr>
                <w:sz w:val="14"/>
              </w:rPr>
            </w:pPr>
            <w:r>
              <w:rPr>
                <w:sz w:val="14"/>
              </w:rPr>
              <w:t>0.317</w:t>
            </w:r>
          </w:p>
        </w:tc>
        <w:tc>
          <w:tcPr>
            <w:tcW w:type="dxa" w:w="648"/>
          </w:tcPr>
          <w:p>
            <w:pPr>
              <w:spacing w:before="10" w:after="10"/>
              <w:jc w:val="center"/>
              <w:rPr>
                <w:sz w:val="14"/>
              </w:rPr>
            </w:pPr>
            <w:r>
              <w:rPr>
                <w:sz w:val="14"/>
              </w:rPr>
              <w:t>0.272</w:t>
            </w:r>
          </w:p>
        </w:tc>
      </w:tr>
      <w:tr>
        <w:tc>
          <w:tcPr>
            <w:tcW w:type="dxa" w:w="490"/>
          </w:tcPr>
          <w:p>
            <w:pPr>
              <w:spacing w:before="10" w:after="10"/>
              <w:jc w:val="left"/>
              <w:rPr>
                <w:sz w:val="14"/>
              </w:rPr>
            </w:pPr>
          </w:p>
        </w:tc>
        <w:tc>
          <w:tcPr>
            <w:tcW w:type="dxa" w:w="1066"/>
          </w:tcPr>
          <w:p>
            <w:pPr>
              <w:spacing w:before="10" w:after="10"/>
              <w:jc w:val="left"/>
              <w:rPr>
                <w:sz w:val="14"/>
              </w:rPr>
            </w:pPr>
            <w:r>
              <w:rPr>
                <w:sz w:val="14"/>
              </w:rPr>
              <w:t>LightGBM</w:t>
            </w:r>
          </w:p>
        </w:tc>
        <w:tc>
          <w:tcPr>
            <w:tcW w:type="dxa" w:w="677"/>
          </w:tcPr>
          <w:p>
            <w:pPr>
              <w:spacing w:before="10" w:after="10"/>
              <w:jc w:val="center"/>
              <w:rPr>
                <w:sz w:val="14"/>
              </w:rPr>
            </w:pPr>
            <w:r>
              <w:rPr>
                <w:sz w:val="14"/>
              </w:rPr>
              <w:t>0.237</w:t>
            </w:r>
          </w:p>
        </w:tc>
        <w:tc>
          <w:tcPr>
            <w:tcW w:type="dxa" w:w="749"/>
          </w:tcPr>
          <w:p>
            <w:pPr>
              <w:spacing w:before="10" w:after="10"/>
              <w:jc w:val="center"/>
              <w:rPr>
                <w:sz w:val="14"/>
              </w:rPr>
            </w:pPr>
            <w:r>
              <w:rPr>
                <w:sz w:val="14"/>
              </w:rPr>
              <w:t>0.494</w:t>
            </w:r>
          </w:p>
        </w:tc>
        <w:tc>
          <w:tcPr>
            <w:tcW w:type="dxa" w:w="648"/>
          </w:tcPr>
          <w:p>
            <w:pPr>
              <w:spacing w:before="10" w:after="10"/>
              <w:jc w:val="center"/>
              <w:rPr>
                <w:sz w:val="14"/>
              </w:rPr>
            </w:pPr>
            <w:r>
              <w:rPr>
                <w:sz w:val="14"/>
              </w:rPr>
              <w:t>0.389</w:t>
            </w:r>
          </w:p>
        </w:tc>
        <w:tc>
          <w:tcPr>
            <w:tcW w:type="dxa" w:w="691"/>
          </w:tcPr>
          <w:p>
            <w:pPr>
              <w:spacing w:before="10" w:after="10"/>
              <w:jc w:val="center"/>
              <w:rPr>
                <w:sz w:val="14"/>
              </w:rPr>
            </w:pPr>
            <w:r>
              <w:rPr>
                <w:sz w:val="14"/>
              </w:rPr>
              <w:t>0.310</w:t>
            </w:r>
          </w:p>
        </w:tc>
        <w:tc>
          <w:tcPr>
            <w:tcW w:type="dxa" w:w="648"/>
          </w:tcPr>
          <w:p>
            <w:pPr>
              <w:spacing w:before="10" w:after="10"/>
              <w:jc w:val="center"/>
              <w:rPr>
                <w:sz w:val="14"/>
              </w:rPr>
            </w:pPr>
            <w:r>
              <w:rPr>
                <w:sz w:val="14"/>
              </w:rPr>
              <w:t>0.258</w:t>
            </w:r>
          </w:p>
        </w:tc>
      </w:tr>
      <w:tr>
        <w:tc>
          <w:tcPr>
            <w:tcW w:type="dxa" w:w="490"/>
          </w:tcPr>
          <w:p>
            <w:pPr>
              <w:spacing w:before="10" w:after="10"/>
              <w:jc w:val="left"/>
              <w:rPr>
                <w:sz w:val="14"/>
              </w:rPr>
            </w:pPr>
          </w:p>
        </w:tc>
        <w:tc>
          <w:tcPr>
            <w:tcW w:type="dxa" w:w="1066"/>
          </w:tcPr>
          <w:p>
            <w:pPr>
              <w:spacing w:before="10" w:after="10"/>
              <w:jc w:val="left"/>
              <w:rPr>
                <w:sz w:val="14"/>
              </w:rPr>
            </w:pPr>
            <w:r>
              <w:rPr>
                <w:sz w:val="14"/>
              </w:rPr>
              <w:t>GRU</w:t>
            </w:r>
          </w:p>
        </w:tc>
        <w:tc>
          <w:tcPr>
            <w:tcW w:type="dxa" w:w="677"/>
          </w:tcPr>
          <w:p>
            <w:pPr>
              <w:spacing w:before="10" w:after="10"/>
              <w:jc w:val="center"/>
              <w:rPr>
                <w:sz w:val="14"/>
              </w:rPr>
            </w:pPr>
            <w:r>
              <w:rPr>
                <w:sz w:val="14"/>
              </w:rPr>
              <w:t>0.267</w:t>
            </w:r>
          </w:p>
        </w:tc>
        <w:tc>
          <w:tcPr>
            <w:tcW w:type="dxa" w:w="749"/>
          </w:tcPr>
          <w:p>
            <w:pPr>
              <w:spacing w:before="10" w:after="10"/>
              <w:jc w:val="center"/>
              <w:rPr>
                <w:sz w:val="14"/>
              </w:rPr>
            </w:pPr>
            <w:r>
              <w:rPr>
                <w:sz w:val="14"/>
              </w:rPr>
              <w:t>0.478</w:t>
            </w:r>
          </w:p>
        </w:tc>
        <w:tc>
          <w:tcPr>
            <w:tcW w:type="dxa" w:w="648"/>
          </w:tcPr>
          <w:p>
            <w:pPr>
              <w:spacing w:before="10" w:after="10"/>
              <w:jc w:val="center"/>
              <w:rPr>
                <w:sz w:val="14"/>
              </w:rPr>
            </w:pPr>
            <w:r>
              <w:rPr>
                <w:sz w:val="14"/>
              </w:rPr>
              <w:t>0.430</w:t>
            </w:r>
          </w:p>
        </w:tc>
        <w:tc>
          <w:tcPr>
            <w:tcW w:type="dxa" w:w="691"/>
          </w:tcPr>
          <w:p>
            <w:pPr>
              <w:spacing w:before="10" w:after="10"/>
              <w:jc w:val="center"/>
              <w:rPr>
                <w:sz w:val="14"/>
              </w:rPr>
            </w:pPr>
            <w:r>
              <w:rPr>
                <w:sz w:val="14"/>
              </w:rPr>
              <w:t>0.335</w:t>
            </w:r>
          </w:p>
        </w:tc>
        <w:tc>
          <w:tcPr>
            <w:tcW w:type="dxa" w:w="648"/>
          </w:tcPr>
          <w:p>
            <w:pPr>
              <w:spacing w:before="10" w:after="10"/>
              <w:jc w:val="center"/>
              <w:rPr>
                <w:sz w:val="14"/>
              </w:rPr>
            </w:pPr>
            <w:r>
              <w:rPr>
                <w:sz w:val="14"/>
              </w:rPr>
              <w:t>0.270</w:t>
            </w:r>
          </w:p>
        </w:tc>
      </w:tr>
      <w:tr>
        <w:tc>
          <w:tcPr>
            <w:tcW w:type="dxa" w:w="490"/>
          </w:tcPr>
          <w:p>
            <w:pPr>
              <w:spacing w:before="10" w:after="10"/>
              <w:jc w:val="left"/>
              <w:rPr>
                <w:sz w:val="14"/>
              </w:rPr>
            </w:pPr>
          </w:p>
        </w:tc>
        <w:tc>
          <w:tcPr>
            <w:tcW w:type="dxa" w:w="1066"/>
          </w:tcPr>
          <w:p>
            <w:pPr>
              <w:spacing w:before="10" w:after="10"/>
              <w:jc w:val="left"/>
              <w:rPr>
                <w:sz w:val="14"/>
              </w:rPr>
            </w:pPr>
            <w:r>
              <w:rPr>
                <w:sz w:val="14"/>
              </w:rPr>
              <w:t>LSTM</w:t>
            </w:r>
          </w:p>
        </w:tc>
        <w:tc>
          <w:tcPr>
            <w:tcW w:type="dxa" w:w="677"/>
          </w:tcPr>
          <w:p>
            <w:pPr>
              <w:spacing w:before="10" w:after="10"/>
              <w:jc w:val="center"/>
              <w:rPr>
                <w:sz w:val="14"/>
              </w:rPr>
            </w:pPr>
            <w:r>
              <w:rPr>
                <w:b/>
                <w:sz w:val="14"/>
              </w:rPr>
              <w:t>0.281</w:t>
            </w:r>
          </w:p>
        </w:tc>
        <w:tc>
          <w:tcPr>
            <w:tcW w:type="dxa" w:w="749"/>
          </w:tcPr>
          <w:p>
            <w:pPr>
              <w:spacing w:before="10" w:after="10"/>
              <w:jc w:val="center"/>
              <w:rPr>
                <w:sz w:val="14"/>
              </w:rPr>
            </w:pPr>
            <w:r>
              <w:rPr>
                <w:sz w:val="14"/>
              </w:rPr>
              <w:t>0.489</w:t>
            </w:r>
          </w:p>
        </w:tc>
        <w:tc>
          <w:tcPr>
            <w:tcW w:type="dxa" w:w="648"/>
          </w:tcPr>
          <w:p>
            <w:pPr>
              <w:spacing w:before="10" w:after="10"/>
              <w:jc w:val="center"/>
              <w:rPr>
                <w:sz w:val="14"/>
              </w:rPr>
            </w:pPr>
            <w:r>
              <w:rPr>
                <w:b/>
                <w:sz w:val="14"/>
              </w:rPr>
              <w:t>0.440</w:t>
            </w:r>
          </w:p>
        </w:tc>
        <w:tc>
          <w:tcPr>
            <w:tcW w:type="dxa" w:w="691"/>
          </w:tcPr>
          <w:p>
            <w:pPr>
              <w:spacing w:before="10" w:after="10"/>
              <w:jc w:val="center"/>
              <w:rPr>
                <w:sz w:val="14"/>
              </w:rPr>
            </w:pPr>
            <w:r>
              <w:rPr>
                <w:b/>
                <w:sz w:val="14"/>
              </w:rPr>
              <w:t>0.341</w:t>
            </w:r>
          </w:p>
        </w:tc>
        <w:tc>
          <w:tcPr>
            <w:tcW w:type="dxa" w:w="648"/>
          </w:tcPr>
          <w:p>
            <w:pPr>
              <w:spacing w:before="10" w:after="10"/>
              <w:jc w:val="center"/>
              <w:rPr>
                <w:sz w:val="14"/>
              </w:rPr>
            </w:pPr>
            <w:r>
              <w:rPr>
                <w:b/>
                <w:sz w:val="14"/>
              </w:rPr>
              <w:t>0.297</w:t>
            </w:r>
          </w:p>
        </w:tc>
      </w:tr>
      <w:tr>
        <w:tc>
          <w:tcPr>
            <w:tcW w:type="dxa" w:w="490"/>
          </w:tcPr>
          <w:p>
            <w:pPr>
              <w:spacing w:before="10" w:after="10"/>
              <w:jc w:val="left"/>
              <w:rPr>
                <w:sz w:val="14"/>
              </w:rPr>
            </w:pPr>
          </w:p>
        </w:tc>
        <w:tc>
          <w:tcPr>
            <w:tcW w:type="dxa" w:w="1066"/>
          </w:tcPr>
          <w:p>
            <w:pPr>
              <w:spacing w:before="10" w:after="10"/>
              <w:jc w:val="left"/>
              <w:rPr>
                <w:sz w:val="14"/>
              </w:rPr>
            </w:pPr>
            <w:r>
              <w:rPr>
                <w:sz w:val="14"/>
              </w:rPr>
              <w:t>Persistence</w:t>
            </w:r>
          </w:p>
        </w:tc>
        <w:tc>
          <w:tcPr>
            <w:tcW w:type="dxa" w:w="677"/>
          </w:tcPr>
          <w:p>
            <w:pPr>
              <w:spacing w:before="10" w:after="10"/>
              <w:jc w:val="center"/>
              <w:rPr>
                <w:sz w:val="14"/>
              </w:rPr>
            </w:pPr>
            <w:r>
              <w:rPr>
                <w:sz w:val="14"/>
              </w:rPr>
              <w:t>-0.695</w:t>
            </w:r>
          </w:p>
        </w:tc>
        <w:tc>
          <w:tcPr>
            <w:tcW w:type="dxa" w:w="749"/>
          </w:tcPr>
          <w:p>
            <w:pPr>
              <w:spacing w:before="10" w:after="10"/>
              <w:jc w:val="center"/>
              <w:rPr>
                <w:sz w:val="14"/>
              </w:rPr>
            </w:pPr>
            <w:r>
              <w:rPr>
                <w:sz w:val="14"/>
              </w:rPr>
              <w:t>0.405</w:t>
            </w:r>
          </w:p>
        </w:tc>
        <w:tc>
          <w:tcPr>
            <w:tcW w:type="dxa" w:w="648"/>
          </w:tcPr>
          <w:p>
            <w:pPr>
              <w:spacing w:before="10" w:after="10"/>
              <w:jc w:val="center"/>
              <w:rPr>
                <w:sz w:val="14"/>
              </w:rPr>
            </w:pPr>
            <w:r>
              <w:rPr>
                <w:sz w:val="14"/>
              </w:rPr>
              <w:t>0.162</w:t>
            </w:r>
          </w:p>
        </w:tc>
        <w:tc>
          <w:tcPr>
            <w:tcW w:type="dxa" w:w="691"/>
          </w:tcPr>
          <w:p>
            <w:pPr>
              <w:spacing w:before="10" w:after="10"/>
              <w:jc w:val="center"/>
              <w:rPr>
                <w:sz w:val="14"/>
              </w:rPr>
            </w:pPr>
            <w:r>
              <w:rPr>
                <w:sz w:val="14"/>
              </w:rPr>
              <w:t>0.120</w:t>
            </w:r>
          </w:p>
        </w:tc>
        <w:tc>
          <w:tcPr>
            <w:tcW w:type="dxa" w:w="648"/>
          </w:tcPr>
          <w:p>
            <w:pPr>
              <w:spacing w:before="10" w:after="10"/>
              <w:jc w:val="center"/>
              <w:rPr>
                <w:sz w:val="14"/>
              </w:rPr>
            </w:pPr>
            <w:r>
              <w:rPr>
                <w:sz w:val="14"/>
              </w:rPr>
              <w:t>0.073</w:t>
            </w:r>
          </w:p>
        </w:tc>
      </w:tr>
    </w:tbl>
    <w:p>
      <w:pPr>
        <w:pStyle w:val="FigureCaption"/>
        <w:spacing w:before="40"/>
      </w:pPr>
      <w:r>
        <w:rPr>
          <w:sz w:val="14"/>
        </w:rPr>
        <w:t>RPSS relative to the month–hour class climatology; HSS</w:t>
      </w:r>
      <w:r>
        <w:rPr>
          <w:i w:val="0"/>
          <w:sz w:val="14"/>
          <w:vertAlign w:val="subscript"/>
        </w:rPr>
        <w:t>3</w:t>
      </w:r>
      <w:r>
        <w:rPr>
          <w:sz w:val="14"/>
        </w:rPr>
        <w:t>: three-category Heidke score. CSI</w:t>
      </w:r>
      <w:r>
        <w:rPr>
          <w:i w:val="0"/>
          <w:sz w:val="14"/>
          <w:vertAlign w:val="subscript"/>
        </w:rPr>
        <w:t>≥II</w:t>
      </w:r>
      <w:r>
        <w:rPr>
          <w:sz w:val="14"/>
        </w:rPr>
        <w:t>: RVR &lt; 550 m (CAT II or worse); CSI</w:t>
      </w:r>
      <w:r>
        <w:rPr>
          <w:i/>
          <w:sz w:val="14"/>
          <w:vertAlign w:val="subscript"/>
        </w:rPr>
        <w:t>III</w:t>
      </w:r>
      <w:r>
        <w:rPr>
          <w:sz w:val="14"/>
        </w:rPr>
        <w:t>: RVR &lt; 350 m. LR: logistic regression; RF: random forest.</w:t>
      </w:r>
    </w:p>
    <w:p>
      <w:pPr>
        <w:spacing w:after="80"/>
      </w:pP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5049774" cy="1714500"/>
            <wp:docPr id="6" name="Picture 6"/>
            <wp:cNvGraphicFramePr>
              <a:graphicFrameLocks noChangeAspect="1"/>
            </wp:cNvGraphicFramePr>
            <a:graphic>
              <a:graphicData uri="http://schemas.openxmlformats.org/drawingml/2006/picture">
                <pic:pic>
                  <pic:nvPicPr>
                    <pic:cNvPr id="0" name="rvr_confusion.png"/>
                    <pic:cNvPicPr/>
                  </pic:nvPicPr>
                  <pic:blipFill>
                    <a:blip r:embed="rId37"/>
                    <a:stretch>
                      <a:fillRect/>
                    </a:stretch>
                  </pic:blipFill>
                  <pic:spPr>
                    <a:xfrm>
                      <a:off x="0" y="0"/>
                      <a:ext cx="5049774" cy="1714500"/>
                    </a:xfrm>
                    <a:prstGeom prst="rect"/>
                  </pic:spPr>
                </pic:pic>
              </a:graphicData>
            </a:graphic>
          </wp:inline>
        </w:drawing>
      </w:r>
    </w:p>
    <w:p>
      <w:pPr>
        <w:pStyle w:val="FigureCaption"/>
        <w:spacing w:after="160"/>
      </w:pPr>
      <w:r>
        <w:rPr>
          <w:sz w:val="16"/>
        </w:rPr>
        <w:t xml:space="preserve">Fig. 6. </w:t>
      </w:r>
      <w:r>
        <w:rPr>
          <w:sz w:val="16"/>
        </w:rPr>
        <w:t>Confusion matrices of the LightGBM ILS-category forecasts on the test seasons (counts and row-normalised fractions).</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E. </w:t>
      </w:r>
      <w:r>
        <w:t>Class Imbalance and Calibration</w:t>
      </w:r>
    </w:p>
    <w:p>
      <w:pPr>
        <w:pStyle w:val="Text"/>
      </w:pPr>
      <w:r>
        <w:t>The imbalance ablation (Table IX) shows that class weighting, SMOTE and undersampling do not improve the ranking quality reliably—for LR they even lower the validation PR-AUC from 0.759 to 0.720–0.747—but they severely degrade the raw probabilities: class weighting increases the validation Brier score of LR tenfold (from 0.0026 to 0.0261). Recalibration removes most of this damage, but the simplest option, no resampling followed by calibration, is as good as or better than the alternatives; it was therefore used for all final models. The reliability curves of the calibrated forecasts follow the diagonal closely at all lead times (Fig. 7). This is not trivial: the fog frequency of the test seasons (0.64%) is only half that of the training period (1.24%), and calibrating on the most recent seasons adapted the probabilities to this change.</w:t>
      </w:r>
    </w:p>
    <w:p>
      <w:pPr>
        <w:keepNext/>
        <w:widowControl w:val="0"/>
        <w:pBdr>
          <w:top w:val="nil"/>
          <w:left w:val="nil"/>
          <w:bottom w:val="nil"/>
          <w:right w:val="nil"/>
          <w:between w:val="nil"/>
        </w:pBdr>
        <w:spacing w:line="252" w:lineRule="auto"/>
        <w:ind w:firstLine="202"/>
        <w:jc w:val="center"/>
      </w:pPr>
      <w:r>
        <w:rPr>
          <w:sz w:val="16"/>
        </w:rPr>
        <w:t>TABLE IX</w:t>
      </w:r>
    </w:p>
    <w:p>
      <w:pPr>
        <w:pStyle w:val="TableTitle"/>
        <w:keepNext/>
        <w:spacing w:after="60"/>
      </w:pPr>
      <w:r>
        <w:rPr>
          <w:sz w:val="16"/>
        </w:rPr>
        <w:t>Class-imbalance strategies (fog, 3 h)</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481"/>
        <w:gridCol w:w="1481"/>
        <w:gridCol w:w="1481"/>
        <w:gridCol w:w="1481"/>
        <w:gridCol w:w="1481"/>
        <w:gridCol w:w="1481"/>
        <w:gridCol w:w="1481"/>
      </w:tblGrid>
      <w:tr>
        <w:tc>
          <w:tcPr>
            <w:tcW w:type="dxa" w:w="864"/>
            <w:tcBorders>
              <w:bottom w:val="single" w:sz="4" w:color="000000"/>
            </w:tcBorders>
          </w:tcPr>
          <w:p>
            <w:pPr>
              <w:spacing w:before="10" w:after="10"/>
              <w:jc w:val="left"/>
              <w:rPr>
                <w:sz w:val="14"/>
              </w:rPr>
            </w:pPr>
            <w:r>
              <w:rPr>
                <w:b/>
                <w:sz w:val="14"/>
              </w:rPr>
              <w:t>Model</w:t>
            </w:r>
          </w:p>
        </w:tc>
        <w:tc>
          <w:tcPr>
            <w:tcW w:type="dxa" w:w="972"/>
            <w:tcBorders>
              <w:bottom w:val="single" w:sz="4" w:color="000000"/>
            </w:tcBorders>
          </w:tcPr>
          <w:p>
            <w:pPr>
              <w:spacing w:before="10" w:after="10"/>
              <w:jc w:val="left"/>
              <w:rPr>
                <w:sz w:val="14"/>
              </w:rPr>
            </w:pPr>
            <w:r>
              <w:rPr>
                <w:b/>
                <w:sz w:val="14"/>
              </w:rPr>
              <w:t>Strategy</w:t>
            </w:r>
          </w:p>
        </w:tc>
        <w:tc>
          <w:tcPr>
            <w:tcW w:type="dxa" w:w="648"/>
            <w:tcBorders>
              <w:bottom w:val="single" w:sz="4" w:color="000000"/>
            </w:tcBorders>
          </w:tcPr>
          <w:p>
            <w:pPr>
              <w:spacing w:before="10" w:after="10"/>
              <w:jc w:val="center"/>
              <w:rPr>
                <w:sz w:val="14"/>
              </w:rPr>
            </w:pPr>
            <w:r>
              <w:rPr>
                <w:b/>
                <w:sz w:val="14"/>
              </w:rPr>
              <w:t>PR-AUC</w:t>
            </w:r>
            <w:r>
              <w:rPr>
                <w:b/>
                <w:i/>
                <w:sz w:val="14"/>
                <w:vertAlign w:val="subscript"/>
              </w:rPr>
              <w:t>v</w:t>
            </w:r>
          </w:p>
        </w:tc>
        <w:tc>
          <w:tcPr>
            <w:tcW w:type="dxa" w:w="648"/>
            <w:tcBorders>
              <w:bottom w:val="single" w:sz="4" w:color="000000"/>
            </w:tcBorders>
          </w:tcPr>
          <w:p>
            <w:pPr>
              <w:spacing w:before="10" w:after="10"/>
              <w:jc w:val="center"/>
              <w:rPr>
                <w:sz w:val="14"/>
              </w:rPr>
            </w:pPr>
            <w:r>
              <w:rPr>
                <w:b/>
                <w:sz w:val="14"/>
              </w:rPr>
              <w:t>BS</w:t>
            </w:r>
            <w:r>
              <w:rPr>
                <w:b/>
                <w:i/>
                <w:sz w:val="14"/>
                <w:vertAlign w:val="subscript"/>
              </w:rPr>
              <w:t>v</w:t>
            </w:r>
            <w:r>
              <w:rPr>
                <w:b/>
                <w:sz w:val="14"/>
              </w:rPr>
              <w:t xml:space="preserve"> raw</w:t>
            </w:r>
          </w:p>
        </w:tc>
        <w:tc>
          <w:tcPr>
            <w:tcW w:type="dxa" w:w="648"/>
            <w:tcBorders>
              <w:bottom w:val="single" w:sz="4" w:color="000000"/>
            </w:tcBorders>
          </w:tcPr>
          <w:p>
            <w:pPr>
              <w:spacing w:before="10" w:after="10"/>
              <w:jc w:val="center"/>
              <w:rPr>
                <w:sz w:val="14"/>
              </w:rPr>
            </w:pPr>
            <w:r>
              <w:rPr>
                <w:b/>
                <w:sz w:val="14"/>
              </w:rPr>
              <w:t>BS</w:t>
            </w:r>
            <w:r>
              <w:rPr>
                <w:b/>
                <w:i/>
                <w:sz w:val="14"/>
                <w:vertAlign w:val="subscript"/>
              </w:rPr>
              <w:t>v</w:t>
            </w:r>
            <w:r>
              <w:rPr>
                <w:b/>
                <w:sz w:val="14"/>
              </w:rPr>
              <w:t xml:space="preserve"> cal.</w:t>
            </w:r>
          </w:p>
        </w:tc>
        <w:tc>
          <w:tcPr>
            <w:tcW w:type="dxa" w:w="648"/>
            <w:tcBorders>
              <w:bottom w:val="single" w:sz="4" w:color="000000"/>
            </w:tcBorders>
          </w:tcPr>
          <w:p>
            <w:pPr>
              <w:spacing w:before="10" w:after="10"/>
              <w:jc w:val="center"/>
              <w:rPr>
                <w:sz w:val="14"/>
              </w:rPr>
            </w:pPr>
            <w:r>
              <w:rPr>
                <w:b/>
                <w:sz w:val="14"/>
              </w:rPr>
              <w:t>PR-AUC</w:t>
            </w:r>
            <w:r>
              <w:rPr>
                <w:b/>
                <w:i/>
                <w:sz w:val="14"/>
                <w:vertAlign w:val="subscript"/>
              </w:rPr>
              <w:t>t</w:t>
            </w:r>
          </w:p>
        </w:tc>
        <w:tc>
          <w:tcPr>
            <w:tcW w:type="dxa" w:w="540"/>
            <w:tcBorders>
              <w:bottom w:val="single" w:sz="4" w:color="000000"/>
            </w:tcBorders>
          </w:tcPr>
          <w:p>
            <w:pPr>
              <w:spacing w:before="10" w:after="10"/>
              <w:jc w:val="center"/>
              <w:rPr>
                <w:sz w:val="14"/>
              </w:rPr>
            </w:pPr>
            <w:r>
              <w:rPr>
                <w:b/>
                <w:sz w:val="14"/>
              </w:rPr>
              <w:t>CSI</w:t>
            </w:r>
            <w:r>
              <w:rPr>
                <w:b/>
                <w:i/>
                <w:sz w:val="14"/>
                <w:vertAlign w:val="subscript"/>
              </w:rPr>
              <w:t>t</w:t>
            </w:r>
          </w:p>
        </w:tc>
      </w:tr>
      <w:tr>
        <w:tc>
          <w:tcPr>
            <w:tcW w:type="dxa" w:w="864"/>
          </w:tcPr>
          <w:p>
            <w:pPr>
              <w:spacing w:before="10" w:after="10"/>
              <w:jc w:val="left"/>
              <w:rPr>
                <w:sz w:val="14"/>
              </w:rPr>
            </w:pPr>
            <w:r>
              <w:rPr>
                <w:sz w:val="14"/>
              </w:rPr>
              <w:t>Logistic regression</w:t>
            </w:r>
          </w:p>
        </w:tc>
        <w:tc>
          <w:tcPr>
            <w:tcW w:type="dxa" w:w="972"/>
          </w:tcPr>
          <w:p>
            <w:pPr>
              <w:spacing w:before="10" w:after="10"/>
              <w:jc w:val="left"/>
              <w:rPr>
                <w:sz w:val="14"/>
              </w:rPr>
            </w:pPr>
            <w:r>
              <w:rPr>
                <w:sz w:val="14"/>
              </w:rPr>
              <w:t>none</w:t>
            </w:r>
          </w:p>
        </w:tc>
        <w:tc>
          <w:tcPr>
            <w:tcW w:type="dxa" w:w="648"/>
          </w:tcPr>
          <w:p>
            <w:pPr>
              <w:spacing w:before="10" w:after="10"/>
              <w:jc w:val="center"/>
              <w:rPr>
                <w:sz w:val="14"/>
              </w:rPr>
            </w:pPr>
            <w:r>
              <w:rPr>
                <w:sz w:val="14"/>
              </w:rPr>
              <w:t>0.759</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0.636</w:t>
            </w:r>
          </w:p>
        </w:tc>
        <w:tc>
          <w:tcPr>
            <w:tcW w:type="dxa" w:w="540"/>
          </w:tcPr>
          <w:p>
            <w:pPr>
              <w:spacing w:before="10" w:after="10"/>
              <w:jc w:val="center"/>
              <w:rPr>
                <w:sz w:val="14"/>
              </w:rPr>
            </w:pPr>
            <w:r>
              <w:rPr>
                <w:sz w:val="14"/>
              </w:rPr>
              <w:t>0.395</w:t>
            </w:r>
          </w:p>
        </w:tc>
      </w:tr>
      <w:tr>
        <w:tc>
          <w:tcPr>
            <w:tcW w:type="dxa" w:w="864"/>
          </w:tcPr>
          <w:p>
            <w:pPr>
              <w:spacing w:before="10" w:after="10"/>
              <w:jc w:val="left"/>
              <w:rPr>
                <w:sz w:val="14"/>
              </w:rPr>
            </w:pPr>
          </w:p>
        </w:tc>
        <w:tc>
          <w:tcPr>
            <w:tcW w:type="dxa" w:w="972"/>
          </w:tcPr>
          <w:p>
            <w:pPr>
              <w:spacing w:before="10" w:after="10"/>
              <w:jc w:val="left"/>
              <w:rPr>
                <w:sz w:val="14"/>
              </w:rPr>
            </w:pPr>
            <w:r>
              <w:rPr>
                <w:sz w:val="14"/>
              </w:rPr>
              <w:t>class weights</w:t>
            </w:r>
          </w:p>
        </w:tc>
        <w:tc>
          <w:tcPr>
            <w:tcW w:type="dxa" w:w="648"/>
          </w:tcPr>
          <w:p>
            <w:pPr>
              <w:spacing w:before="10" w:after="10"/>
              <w:jc w:val="center"/>
              <w:rPr>
                <w:sz w:val="14"/>
              </w:rPr>
            </w:pPr>
            <w:r>
              <w:rPr>
                <w:sz w:val="14"/>
              </w:rPr>
              <w:t>0.720</w:t>
            </w:r>
          </w:p>
        </w:tc>
        <w:tc>
          <w:tcPr>
            <w:tcW w:type="dxa" w:w="648"/>
          </w:tcPr>
          <w:p>
            <w:pPr>
              <w:spacing w:before="10" w:after="10"/>
              <w:jc w:val="center"/>
              <w:rPr>
                <w:sz w:val="14"/>
              </w:rPr>
            </w:pPr>
            <w:r>
              <w:rPr>
                <w:sz w:val="14"/>
              </w:rPr>
              <w:t>0.0261</w:t>
            </w:r>
          </w:p>
        </w:tc>
        <w:tc>
          <w:tcPr>
            <w:tcW w:type="dxa" w:w="648"/>
          </w:tcPr>
          <w:p>
            <w:pPr>
              <w:spacing w:before="10" w:after="10"/>
              <w:jc w:val="center"/>
              <w:rPr>
                <w:sz w:val="14"/>
              </w:rPr>
            </w:pPr>
            <w:r>
              <w:rPr>
                <w:sz w:val="14"/>
              </w:rPr>
              <w:t>0.0028</w:t>
            </w:r>
          </w:p>
        </w:tc>
        <w:tc>
          <w:tcPr>
            <w:tcW w:type="dxa" w:w="648"/>
          </w:tcPr>
          <w:p>
            <w:pPr>
              <w:spacing w:before="10" w:after="10"/>
              <w:jc w:val="center"/>
              <w:rPr>
                <w:sz w:val="14"/>
              </w:rPr>
            </w:pPr>
            <w:r>
              <w:rPr>
                <w:sz w:val="14"/>
              </w:rPr>
              <w:t>0.594</w:t>
            </w:r>
          </w:p>
        </w:tc>
        <w:tc>
          <w:tcPr>
            <w:tcW w:type="dxa" w:w="540"/>
          </w:tcPr>
          <w:p>
            <w:pPr>
              <w:spacing w:before="10" w:after="10"/>
              <w:jc w:val="center"/>
              <w:rPr>
                <w:sz w:val="14"/>
              </w:rPr>
            </w:pPr>
            <w:r>
              <w:rPr>
                <w:sz w:val="14"/>
              </w:rPr>
              <w:t>0.406</w:t>
            </w:r>
          </w:p>
        </w:tc>
      </w:tr>
      <w:tr>
        <w:tc>
          <w:tcPr>
            <w:tcW w:type="dxa" w:w="864"/>
          </w:tcPr>
          <w:p>
            <w:pPr>
              <w:spacing w:before="10" w:after="10"/>
              <w:jc w:val="left"/>
              <w:rPr>
                <w:sz w:val="14"/>
              </w:rPr>
            </w:pPr>
          </w:p>
        </w:tc>
        <w:tc>
          <w:tcPr>
            <w:tcW w:type="dxa" w:w="972"/>
          </w:tcPr>
          <w:p>
            <w:pPr>
              <w:spacing w:before="10" w:after="10"/>
              <w:jc w:val="left"/>
              <w:rPr>
                <w:sz w:val="14"/>
              </w:rPr>
            </w:pPr>
            <w:r>
              <w:rPr>
                <w:sz w:val="14"/>
              </w:rPr>
              <w:t>SMOTE</w:t>
            </w:r>
          </w:p>
        </w:tc>
        <w:tc>
          <w:tcPr>
            <w:tcW w:type="dxa" w:w="648"/>
          </w:tcPr>
          <w:p>
            <w:pPr>
              <w:spacing w:before="10" w:after="10"/>
              <w:jc w:val="center"/>
              <w:rPr>
                <w:sz w:val="14"/>
              </w:rPr>
            </w:pPr>
            <w:r>
              <w:rPr>
                <w:sz w:val="14"/>
              </w:rPr>
              <w:t>0.736</w:t>
            </w:r>
          </w:p>
        </w:tc>
        <w:tc>
          <w:tcPr>
            <w:tcW w:type="dxa" w:w="648"/>
          </w:tcPr>
          <w:p>
            <w:pPr>
              <w:spacing w:before="10" w:after="10"/>
              <w:jc w:val="center"/>
              <w:rPr>
                <w:sz w:val="14"/>
              </w:rPr>
            </w:pPr>
            <w:r>
              <w:rPr>
                <w:sz w:val="14"/>
              </w:rPr>
              <w:t>0.0101</w:t>
            </w:r>
          </w:p>
        </w:tc>
        <w:tc>
          <w:tcPr>
            <w:tcW w:type="dxa" w:w="648"/>
          </w:tcPr>
          <w:p>
            <w:pPr>
              <w:spacing w:before="10" w:after="10"/>
              <w:jc w:val="center"/>
              <w:rPr>
                <w:sz w:val="14"/>
              </w:rPr>
            </w:pPr>
            <w:r>
              <w:rPr>
                <w:sz w:val="14"/>
              </w:rPr>
              <w:t>0.0027</w:t>
            </w:r>
          </w:p>
        </w:tc>
        <w:tc>
          <w:tcPr>
            <w:tcW w:type="dxa" w:w="648"/>
          </w:tcPr>
          <w:p>
            <w:pPr>
              <w:spacing w:before="10" w:after="10"/>
              <w:jc w:val="center"/>
              <w:rPr>
                <w:sz w:val="14"/>
              </w:rPr>
            </w:pPr>
            <w:r>
              <w:rPr>
                <w:sz w:val="14"/>
              </w:rPr>
              <w:t>0.614</w:t>
            </w:r>
          </w:p>
        </w:tc>
        <w:tc>
          <w:tcPr>
            <w:tcW w:type="dxa" w:w="540"/>
          </w:tcPr>
          <w:p>
            <w:pPr>
              <w:spacing w:before="10" w:after="10"/>
              <w:jc w:val="center"/>
              <w:rPr>
                <w:sz w:val="14"/>
              </w:rPr>
            </w:pPr>
            <w:r>
              <w:rPr>
                <w:sz w:val="14"/>
              </w:rPr>
              <w:t>0.408</w:t>
            </w:r>
          </w:p>
        </w:tc>
      </w:tr>
      <w:tr>
        <w:tc>
          <w:tcPr>
            <w:tcW w:type="dxa" w:w="864"/>
            <w:tcBorders>
              <w:bottom w:val="single" w:sz="4" w:color="000000"/>
            </w:tcBorders>
          </w:tcPr>
          <w:p>
            <w:pPr>
              <w:spacing w:before="10" w:after="10"/>
              <w:jc w:val="left"/>
              <w:rPr>
                <w:sz w:val="14"/>
              </w:rPr>
            </w:pPr>
          </w:p>
        </w:tc>
        <w:tc>
          <w:tcPr>
            <w:tcW w:type="dxa" w:w="972"/>
            <w:tcBorders>
              <w:bottom w:val="single" w:sz="4" w:color="000000"/>
            </w:tcBorders>
          </w:tcPr>
          <w:p>
            <w:pPr>
              <w:spacing w:before="10" w:after="10"/>
              <w:jc w:val="left"/>
              <w:rPr>
                <w:sz w:val="14"/>
              </w:rPr>
            </w:pPr>
            <w:r>
              <w:rPr>
                <w:sz w:val="14"/>
              </w:rPr>
              <w:t>undersampling</w:t>
            </w:r>
          </w:p>
        </w:tc>
        <w:tc>
          <w:tcPr>
            <w:tcW w:type="dxa" w:w="648"/>
            <w:tcBorders>
              <w:bottom w:val="single" w:sz="4" w:color="000000"/>
            </w:tcBorders>
          </w:tcPr>
          <w:p>
            <w:pPr>
              <w:spacing w:before="10" w:after="10"/>
              <w:jc w:val="center"/>
              <w:rPr>
                <w:sz w:val="14"/>
              </w:rPr>
            </w:pPr>
            <w:r>
              <w:rPr>
                <w:sz w:val="14"/>
              </w:rPr>
              <w:t>0.747</w:t>
            </w:r>
          </w:p>
        </w:tc>
        <w:tc>
          <w:tcPr>
            <w:tcW w:type="dxa" w:w="648"/>
            <w:tcBorders>
              <w:bottom w:val="single" w:sz="4" w:color="000000"/>
            </w:tcBorders>
          </w:tcPr>
          <w:p>
            <w:pPr>
              <w:spacing w:before="10" w:after="10"/>
              <w:jc w:val="center"/>
              <w:rPr>
                <w:sz w:val="14"/>
              </w:rPr>
            </w:pPr>
            <w:r>
              <w:rPr>
                <w:sz w:val="14"/>
              </w:rPr>
              <w:t>0.0056</w:t>
            </w:r>
          </w:p>
        </w:tc>
        <w:tc>
          <w:tcPr>
            <w:tcW w:type="dxa" w:w="648"/>
            <w:tcBorders>
              <w:bottom w:val="single" w:sz="4" w:color="000000"/>
            </w:tcBorders>
          </w:tcPr>
          <w:p>
            <w:pPr>
              <w:spacing w:before="10" w:after="10"/>
              <w:jc w:val="center"/>
              <w:rPr>
                <w:sz w:val="14"/>
              </w:rPr>
            </w:pPr>
            <w:r>
              <w:rPr>
                <w:sz w:val="14"/>
              </w:rPr>
              <w:t>0.0026</w:t>
            </w:r>
          </w:p>
        </w:tc>
        <w:tc>
          <w:tcPr>
            <w:tcW w:type="dxa" w:w="648"/>
            <w:tcBorders>
              <w:bottom w:val="single" w:sz="4" w:color="000000"/>
            </w:tcBorders>
          </w:tcPr>
          <w:p>
            <w:pPr>
              <w:spacing w:before="10" w:after="10"/>
              <w:jc w:val="center"/>
              <w:rPr>
                <w:sz w:val="14"/>
              </w:rPr>
            </w:pPr>
            <w:r>
              <w:rPr>
                <w:sz w:val="14"/>
              </w:rPr>
              <w:t>0.619</w:t>
            </w:r>
          </w:p>
        </w:tc>
        <w:tc>
          <w:tcPr>
            <w:tcW w:type="dxa" w:w="540"/>
            <w:tcBorders>
              <w:bottom w:val="single" w:sz="4" w:color="000000"/>
            </w:tcBorders>
          </w:tcPr>
          <w:p>
            <w:pPr>
              <w:spacing w:before="10" w:after="10"/>
              <w:jc w:val="center"/>
              <w:rPr>
                <w:sz w:val="14"/>
              </w:rPr>
            </w:pPr>
            <w:r>
              <w:rPr>
                <w:sz w:val="14"/>
              </w:rPr>
              <w:t>0.405</w:t>
            </w:r>
          </w:p>
        </w:tc>
      </w:tr>
      <w:tr>
        <w:tc>
          <w:tcPr>
            <w:tcW w:type="dxa" w:w="864"/>
          </w:tcPr>
          <w:p>
            <w:pPr>
              <w:spacing w:before="10" w:after="10"/>
              <w:jc w:val="left"/>
              <w:rPr>
                <w:sz w:val="14"/>
              </w:rPr>
            </w:pPr>
            <w:r>
              <w:rPr>
                <w:sz w:val="14"/>
              </w:rPr>
              <w:t>LightGBM</w:t>
            </w:r>
          </w:p>
        </w:tc>
        <w:tc>
          <w:tcPr>
            <w:tcW w:type="dxa" w:w="972"/>
          </w:tcPr>
          <w:p>
            <w:pPr>
              <w:spacing w:before="10" w:after="10"/>
              <w:jc w:val="left"/>
              <w:rPr>
                <w:sz w:val="14"/>
              </w:rPr>
            </w:pPr>
            <w:r>
              <w:rPr>
                <w:sz w:val="14"/>
              </w:rPr>
              <w:t>none</w:t>
            </w:r>
          </w:p>
        </w:tc>
        <w:tc>
          <w:tcPr>
            <w:tcW w:type="dxa" w:w="648"/>
          </w:tcPr>
          <w:p>
            <w:pPr>
              <w:spacing w:before="10" w:after="10"/>
              <w:jc w:val="center"/>
              <w:rPr>
                <w:sz w:val="14"/>
              </w:rPr>
            </w:pPr>
            <w:r>
              <w:rPr>
                <w:sz w:val="14"/>
              </w:rPr>
              <w:t>0.741</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0.632</w:t>
            </w:r>
          </w:p>
        </w:tc>
        <w:tc>
          <w:tcPr>
            <w:tcW w:type="dxa" w:w="540"/>
          </w:tcPr>
          <w:p>
            <w:pPr>
              <w:spacing w:before="10" w:after="10"/>
              <w:jc w:val="center"/>
              <w:rPr>
                <w:sz w:val="14"/>
              </w:rPr>
            </w:pPr>
            <w:r>
              <w:rPr>
                <w:sz w:val="14"/>
              </w:rPr>
              <w:t>0.457</w:t>
            </w:r>
          </w:p>
        </w:tc>
      </w:tr>
      <w:tr>
        <w:tc>
          <w:tcPr>
            <w:tcW w:type="dxa" w:w="864"/>
          </w:tcPr>
          <w:p>
            <w:pPr>
              <w:spacing w:before="10" w:after="10"/>
              <w:jc w:val="left"/>
              <w:rPr>
                <w:sz w:val="14"/>
              </w:rPr>
            </w:pPr>
          </w:p>
        </w:tc>
        <w:tc>
          <w:tcPr>
            <w:tcW w:type="dxa" w:w="972"/>
          </w:tcPr>
          <w:p>
            <w:pPr>
              <w:spacing w:before="10" w:after="10"/>
              <w:jc w:val="left"/>
              <w:rPr>
                <w:sz w:val="14"/>
              </w:rPr>
            </w:pPr>
            <w:r>
              <w:rPr>
                <w:sz w:val="14"/>
              </w:rPr>
              <w:t>class weights</w:t>
            </w:r>
          </w:p>
        </w:tc>
        <w:tc>
          <w:tcPr>
            <w:tcW w:type="dxa" w:w="648"/>
          </w:tcPr>
          <w:p>
            <w:pPr>
              <w:spacing w:before="10" w:after="10"/>
              <w:jc w:val="center"/>
              <w:rPr>
                <w:sz w:val="14"/>
              </w:rPr>
            </w:pPr>
            <w:r>
              <w:rPr>
                <w:sz w:val="14"/>
              </w:rPr>
              <w:t>0.743</w:t>
            </w:r>
          </w:p>
        </w:tc>
        <w:tc>
          <w:tcPr>
            <w:tcW w:type="dxa" w:w="648"/>
          </w:tcPr>
          <w:p>
            <w:pPr>
              <w:spacing w:before="10" w:after="10"/>
              <w:jc w:val="center"/>
              <w:rPr>
                <w:sz w:val="14"/>
              </w:rPr>
            </w:pPr>
            <w:r>
              <w:rPr>
                <w:sz w:val="14"/>
              </w:rPr>
              <w:t>0.0056</w:t>
            </w:r>
          </w:p>
        </w:tc>
        <w:tc>
          <w:tcPr>
            <w:tcW w:type="dxa" w:w="648"/>
          </w:tcPr>
          <w:p>
            <w:pPr>
              <w:spacing w:before="10" w:after="10"/>
              <w:jc w:val="center"/>
              <w:rPr>
                <w:sz w:val="14"/>
              </w:rPr>
            </w:pPr>
            <w:r>
              <w:rPr>
                <w:sz w:val="14"/>
              </w:rPr>
              <w:t>0.0025</w:t>
            </w:r>
          </w:p>
        </w:tc>
        <w:tc>
          <w:tcPr>
            <w:tcW w:type="dxa" w:w="648"/>
          </w:tcPr>
          <w:p>
            <w:pPr>
              <w:spacing w:before="10" w:after="10"/>
              <w:jc w:val="center"/>
              <w:rPr>
                <w:sz w:val="14"/>
              </w:rPr>
            </w:pPr>
            <w:r>
              <w:rPr>
                <w:sz w:val="14"/>
              </w:rPr>
              <w:t>0.638</w:t>
            </w:r>
          </w:p>
        </w:tc>
        <w:tc>
          <w:tcPr>
            <w:tcW w:type="dxa" w:w="540"/>
          </w:tcPr>
          <w:p>
            <w:pPr>
              <w:spacing w:before="10" w:after="10"/>
              <w:jc w:val="center"/>
              <w:rPr>
                <w:sz w:val="14"/>
              </w:rPr>
            </w:pPr>
            <w:r>
              <w:rPr>
                <w:sz w:val="14"/>
              </w:rPr>
              <w:t>0.462</w:t>
            </w:r>
          </w:p>
        </w:tc>
      </w:tr>
      <w:tr>
        <w:tc>
          <w:tcPr>
            <w:tcW w:type="dxa" w:w="864"/>
          </w:tcPr>
          <w:p>
            <w:pPr>
              <w:spacing w:before="10" w:after="10"/>
              <w:jc w:val="left"/>
              <w:rPr>
                <w:sz w:val="14"/>
              </w:rPr>
            </w:pPr>
          </w:p>
        </w:tc>
        <w:tc>
          <w:tcPr>
            <w:tcW w:type="dxa" w:w="972"/>
          </w:tcPr>
          <w:p>
            <w:pPr>
              <w:spacing w:before="10" w:after="10"/>
              <w:jc w:val="left"/>
              <w:rPr>
                <w:sz w:val="14"/>
              </w:rPr>
            </w:pPr>
            <w:r>
              <w:rPr>
                <w:sz w:val="14"/>
              </w:rPr>
              <w:t>SMOTE</w:t>
            </w:r>
          </w:p>
        </w:tc>
        <w:tc>
          <w:tcPr>
            <w:tcW w:type="dxa" w:w="648"/>
          </w:tcPr>
          <w:p>
            <w:pPr>
              <w:spacing w:before="10" w:after="10"/>
              <w:jc w:val="center"/>
              <w:rPr>
                <w:sz w:val="14"/>
              </w:rPr>
            </w:pPr>
            <w:r>
              <w:rPr>
                <w:sz w:val="14"/>
              </w:rPr>
              <w:t>0.754</w:t>
            </w:r>
          </w:p>
        </w:tc>
        <w:tc>
          <w:tcPr>
            <w:tcW w:type="dxa" w:w="648"/>
          </w:tcPr>
          <w:p>
            <w:pPr>
              <w:spacing w:before="10" w:after="10"/>
              <w:jc w:val="center"/>
              <w:rPr>
                <w:sz w:val="14"/>
              </w:rPr>
            </w:pPr>
            <w:r>
              <w:rPr>
                <w:sz w:val="14"/>
              </w:rPr>
              <w:t>0.0027</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0.661</w:t>
            </w:r>
          </w:p>
        </w:tc>
        <w:tc>
          <w:tcPr>
            <w:tcW w:type="dxa" w:w="540"/>
          </w:tcPr>
          <w:p>
            <w:pPr>
              <w:spacing w:before="10" w:after="10"/>
              <w:jc w:val="center"/>
              <w:rPr>
                <w:sz w:val="14"/>
              </w:rPr>
            </w:pPr>
            <w:r>
              <w:rPr>
                <w:sz w:val="14"/>
              </w:rPr>
              <w:t>0.443</w:t>
            </w:r>
          </w:p>
        </w:tc>
      </w:tr>
      <w:tr>
        <w:tc>
          <w:tcPr>
            <w:tcW w:type="dxa" w:w="864"/>
          </w:tcPr>
          <w:p>
            <w:pPr>
              <w:spacing w:before="10" w:after="10"/>
              <w:jc w:val="left"/>
              <w:rPr>
                <w:sz w:val="14"/>
              </w:rPr>
            </w:pPr>
          </w:p>
        </w:tc>
        <w:tc>
          <w:tcPr>
            <w:tcW w:type="dxa" w:w="972"/>
          </w:tcPr>
          <w:p>
            <w:pPr>
              <w:spacing w:before="10" w:after="10"/>
              <w:jc w:val="left"/>
              <w:rPr>
                <w:sz w:val="14"/>
              </w:rPr>
            </w:pPr>
            <w:r>
              <w:rPr>
                <w:sz w:val="14"/>
              </w:rPr>
              <w:t>undersampling</w:t>
            </w:r>
          </w:p>
        </w:tc>
        <w:tc>
          <w:tcPr>
            <w:tcW w:type="dxa" w:w="648"/>
          </w:tcPr>
          <w:p>
            <w:pPr>
              <w:spacing w:before="10" w:after="10"/>
              <w:jc w:val="center"/>
              <w:rPr>
                <w:sz w:val="14"/>
              </w:rPr>
            </w:pPr>
            <w:r>
              <w:rPr>
                <w:sz w:val="14"/>
              </w:rPr>
              <w:t>0.764</w:t>
            </w:r>
          </w:p>
        </w:tc>
        <w:tc>
          <w:tcPr>
            <w:tcW w:type="dxa" w:w="648"/>
          </w:tcPr>
          <w:p>
            <w:pPr>
              <w:spacing w:before="10" w:after="10"/>
              <w:jc w:val="center"/>
              <w:rPr>
                <w:sz w:val="14"/>
              </w:rPr>
            </w:pPr>
            <w:r>
              <w:rPr>
                <w:sz w:val="14"/>
              </w:rPr>
              <w:t>0.0047</w:t>
            </w:r>
          </w:p>
        </w:tc>
        <w:tc>
          <w:tcPr>
            <w:tcW w:type="dxa" w:w="648"/>
          </w:tcPr>
          <w:p>
            <w:pPr>
              <w:spacing w:before="10" w:after="10"/>
              <w:jc w:val="center"/>
              <w:rPr>
                <w:sz w:val="14"/>
              </w:rPr>
            </w:pPr>
            <w:r>
              <w:rPr>
                <w:sz w:val="14"/>
              </w:rPr>
              <w:t>0.0024</w:t>
            </w:r>
          </w:p>
        </w:tc>
        <w:tc>
          <w:tcPr>
            <w:tcW w:type="dxa" w:w="648"/>
          </w:tcPr>
          <w:p>
            <w:pPr>
              <w:spacing w:before="10" w:after="10"/>
              <w:jc w:val="center"/>
              <w:rPr>
                <w:sz w:val="14"/>
              </w:rPr>
            </w:pPr>
            <w:r>
              <w:rPr>
                <w:sz w:val="14"/>
              </w:rPr>
              <w:t>0.632</w:t>
            </w:r>
          </w:p>
        </w:tc>
        <w:tc>
          <w:tcPr>
            <w:tcW w:type="dxa" w:w="540"/>
          </w:tcPr>
          <w:p>
            <w:pPr>
              <w:spacing w:before="10" w:after="10"/>
              <w:jc w:val="center"/>
              <w:rPr>
                <w:sz w:val="14"/>
              </w:rPr>
            </w:pPr>
            <w:r>
              <w:rPr>
                <w:sz w:val="14"/>
              </w:rPr>
              <w:t>0.446</w:t>
            </w:r>
          </w:p>
        </w:tc>
      </w:tr>
    </w:tbl>
    <w:p>
      <w:pPr>
        <w:pStyle w:val="FigureCaption"/>
        <w:spacing w:before="40"/>
      </w:pPr>
      <w:r>
        <w:rPr>
          <w:sz w:val="14"/>
        </w:rPr>
        <w:t>v: validation, t: test. Calibration (none/Platt/isotonic) selected by leave-one-season-out CV.</w:t>
      </w:r>
    </w:p>
    <w:p>
      <w:pPr>
        <w:spacing w:after="80"/>
      </w:pPr>
    </w:p>
    <w:p>
      <w:pPr>
        <w:keepNext/>
        <w:spacing w:before="120"/>
        <w:jc w:val="center"/>
      </w:pPr>
      <w:r>
        <w:drawing>
          <wp:inline xmlns:a="http://schemas.openxmlformats.org/drawingml/2006/main" xmlns:pic="http://schemas.openxmlformats.org/drawingml/2006/picture">
            <wp:extent cx="3008376" cy="2141982"/>
            <wp:docPr id="7" name="Picture 7"/>
            <wp:cNvGraphicFramePr>
              <a:graphicFrameLocks noChangeAspect="1"/>
            </wp:cNvGraphicFramePr>
            <a:graphic>
              <a:graphicData uri="http://schemas.openxmlformats.org/drawingml/2006/picture">
                <pic:pic>
                  <pic:nvPicPr>
                    <pic:cNvPr id="0" name="reliability.png"/>
                    <pic:cNvPicPr/>
                  </pic:nvPicPr>
                  <pic:blipFill>
                    <a:blip r:embed="rId38"/>
                    <a:stretch>
                      <a:fillRect/>
                    </a:stretch>
                  </pic:blipFill>
                  <pic:spPr>
                    <a:xfrm>
                      <a:off x="0" y="0"/>
                      <a:ext cx="3008376" cy="2141982"/>
                    </a:xfrm>
                    <a:prstGeom prst="rect"/>
                  </pic:spPr>
                </pic:pic>
              </a:graphicData>
            </a:graphic>
          </wp:inline>
        </w:drawing>
      </w:r>
    </w:p>
    <w:p>
      <w:pPr>
        <w:pStyle w:val="FigureCaption"/>
        <w:spacing w:after="160"/>
      </w:pPr>
      <w:r>
        <w:rPr>
          <w:sz w:val="16"/>
        </w:rPr>
        <w:t xml:space="preserve">Fig. 7. </w:t>
      </w:r>
      <w:r>
        <w:rPr>
          <w:sz w:val="16"/>
        </w:rPr>
        <w:t>Reliability diagram of the calibrated LightGBM (solid) and GRU (dashed) fog forecasts on the test seasons; bins with fewer than 15 forecasts are omitted.</w:t>
      </w:r>
    </w:p>
    <w:p>
      <w:pPr>
        <w:pStyle w:val="Heading2"/>
        <w:numPr>
          <w:ilvl w:val="0"/>
          <w:numId w:val="0"/>
        </w:numPr>
      </w:pPr>
      <w:r>
        <w:t xml:space="preserve">F. </w:t>
      </w:r>
      <w:r>
        <w:t>Explainability</w:t>
      </w:r>
    </w:p>
    <w:p>
      <w:pPr>
        <w:pStyle w:val="Text"/>
      </w:pPr>
      <w:r>
        <w:t>The SHAP analysis reveals a physically coherent picture. At 1 h the forecast is dominated by the current state—relative humidity, minimum and prevailing visibility and dew-point depression (Fig. 8)—which together carry 78% of the total attribution (Fig. 9). As the lead time increases, the share of the current state falls to 41% at 6 h, while the astronomical and calendar terms rise from 6% to 28% and boundary-layer memory from 6% to 21%.</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400800" cy="2539349"/>
            <wp:docPr id="8" name="Picture 8"/>
            <wp:cNvGraphicFramePr>
              <a:graphicFrameLocks noChangeAspect="1"/>
            </wp:cNvGraphicFramePr>
            <a:graphic>
              <a:graphicData uri="http://schemas.openxmlformats.org/drawingml/2006/picture">
                <pic:pic>
                  <pic:nvPicPr>
                    <pic:cNvPr id="0" name="shap_bar.png"/>
                    <pic:cNvPicPr/>
                  </pic:nvPicPr>
                  <pic:blipFill>
                    <a:blip r:embed="rId39"/>
                    <a:stretch>
                      <a:fillRect/>
                    </a:stretch>
                  </pic:blipFill>
                  <pic:spPr>
                    <a:xfrm>
                      <a:off x="0" y="0"/>
                      <a:ext cx="6400800" cy="2539349"/>
                    </a:xfrm>
                    <a:prstGeom prst="rect"/>
                  </pic:spPr>
                </pic:pic>
              </a:graphicData>
            </a:graphic>
          </wp:inline>
        </w:drawing>
      </w:r>
    </w:p>
    <w:p>
      <w:pPr>
        <w:pStyle w:val="FigureCaption"/>
        <w:spacing w:after="160"/>
      </w:pPr>
      <w:r>
        <w:rPr>
          <w:sz w:val="16"/>
        </w:rPr>
        <w:t xml:space="preserve">Fig. 8. </w:t>
      </w:r>
      <w:r>
        <w:rPr>
          <w:sz w:val="16"/>
        </w:rPr>
        <w:t>Mean absolute SHAP values of the fifteen most important predictors of the LightGBM fog models at 1, 3 and 6 h.</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keepNext/>
        <w:spacing w:before="120"/>
        <w:jc w:val="center"/>
      </w:pPr>
      <w:r>
        <w:drawing>
          <wp:inline xmlns:a="http://schemas.openxmlformats.org/drawingml/2006/main" xmlns:pic="http://schemas.openxmlformats.org/drawingml/2006/picture">
            <wp:extent cx="2775204" cy="2436876"/>
            <wp:docPr id="9" name="Picture 9"/>
            <wp:cNvGraphicFramePr>
              <a:graphicFrameLocks noChangeAspect="1"/>
            </wp:cNvGraphicFramePr>
            <a:graphic>
              <a:graphicData uri="http://schemas.openxmlformats.org/drawingml/2006/picture">
                <pic:pic>
                  <pic:nvPicPr>
                    <pic:cNvPr id="0" name="shap_groups.png"/>
                    <pic:cNvPicPr/>
                  </pic:nvPicPr>
                  <pic:blipFill>
                    <a:blip r:embed="rId40"/>
                    <a:stretch>
                      <a:fillRect/>
                    </a:stretch>
                  </pic:blipFill>
                  <pic:spPr>
                    <a:xfrm>
                      <a:off x="0" y="0"/>
                      <a:ext cx="2775204" cy="2436876"/>
                    </a:xfrm>
                    <a:prstGeom prst="rect"/>
                  </pic:spPr>
                </pic:pic>
              </a:graphicData>
            </a:graphic>
          </wp:inline>
        </w:drawing>
      </w:r>
    </w:p>
    <w:p>
      <w:pPr>
        <w:pStyle w:val="FigureCaption"/>
        <w:spacing w:after="160"/>
      </w:pPr>
      <w:r>
        <w:rPr>
          <w:sz w:val="16"/>
        </w:rPr>
        <w:t xml:space="preserve">Fig. 9. </w:t>
      </w:r>
      <w:r>
        <w:rPr>
          <w:sz w:val="16"/>
        </w:rPr>
        <w:t>Share of the total mean absolute SHAP value per predictor group and lead time.</w:t>
      </w:r>
    </w:p>
    <w:p>
      <w:pPr>
        <w:pStyle w:val="Text"/>
      </w:pPr>
      <w:r>
        <w:t>At 6 h the 6-h maximum relative humidity, the relative humidity, the dew-point depression and the temperature lead the ranking, followed by the time since sunrise at the valid time, the night length and the time to sunrise (Fig. 10): high humidity, small dew-point depressions, low temperatures and long nights push the forecast towards fog, whereas valid times after sunrise push it away—the signature of radiation fog.</w:t>
      </w:r>
    </w:p>
    <w:p>
      <w:pPr>
        <w:keepNext/>
        <w:spacing w:before="120"/>
        <w:jc w:val="center"/>
      </w:pPr>
      <w:r>
        <w:drawing>
          <wp:inline xmlns:a="http://schemas.openxmlformats.org/drawingml/2006/main" xmlns:pic="http://schemas.openxmlformats.org/drawingml/2006/picture">
            <wp:extent cx="2857500" cy="2800350"/>
            <wp:docPr id="10" name="Picture 10"/>
            <wp:cNvGraphicFramePr>
              <a:graphicFrameLocks noChangeAspect="1"/>
            </wp:cNvGraphicFramePr>
            <a:graphic>
              <a:graphicData uri="http://schemas.openxmlformats.org/drawingml/2006/picture">
                <pic:pic>
                  <pic:nvPicPr>
                    <pic:cNvPr id="0" name="shap_beeswarm_6h.png"/>
                    <pic:cNvPicPr/>
                  </pic:nvPicPr>
                  <pic:blipFill>
                    <a:blip r:embed="rId41"/>
                    <a:stretch>
                      <a:fillRect/>
                    </a:stretch>
                  </pic:blipFill>
                  <pic:spPr>
                    <a:xfrm>
                      <a:off x="0" y="0"/>
                      <a:ext cx="2857500" cy="2800350"/>
                    </a:xfrm>
                    <a:prstGeom prst="rect"/>
                  </pic:spPr>
                </pic:pic>
              </a:graphicData>
            </a:graphic>
          </wp:inline>
        </w:drawing>
      </w:r>
    </w:p>
    <w:p>
      <w:pPr>
        <w:pStyle w:val="FigureCaption"/>
        <w:spacing w:after="160"/>
      </w:pPr>
      <w:r>
        <w:rPr>
          <w:sz w:val="16"/>
        </w:rPr>
        <w:t xml:space="preserve">Fig. 10. </w:t>
      </w:r>
      <w:r>
        <w:rPr>
          <w:sz w:val="16"/>
        </w:rPr>
        <w:t>SHAP values of the twelve most important predictors of the 6-h model; colour shows the percentile rank of the predictor value.</w:t>
      </w:r>
    </w:p>
    <w:p>
      <w:pPr>
        <w:pStyle w:val="Text"/>
      </w:pPr>
      <w:r>
        <w:t>The dependence plots (Fig. 11) reproduce textbook fog physics: dew-point depressions of 2 °C or less raise the log-odds by up to +1.4, whereas depressions of 4 °C or more lower them; calm and light winds (≤ 3 kt) favour fog, while winds of 4–10 kt suppress it through mechanical mixing; a 6-h maximum relative humidity above about 93% strongly favours fog; and once the sun is more than about 15° above the horizon at the valid time the contribution turns negative, reflecting dissipation by solar heating.</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400800" cy="1403944"/>
            <wp:docPr id="11" name="Picture 11"/>
            <wp:cNvGraphicFramePr>
              <a:graphicFrameLocks noChangeAspect="1"/>
            </wp:cNvGraphicFramePr>
            <a:graphic>
              <a:graphicData uri="http://schemas.openxmlformats.org/drawingml/2006/picture">
                <pic:pic>
                  <pic:nvPicPr>
                    <pic:cNvPr id="0" name="shap_dependence.png"/>
                    <pic:cNvPicPr/>
                  </pic:nvPicPr>
                  <pic:blipFill>
                    <a:blip r:embed="rId42"/>
                    <a:stretch>
                      <a:fillRect/>
                    </a:stretch>
                  </pic:blipFill>
                  <pic:spPr>
                    <a:xfrm>
                      <a:off x="0" y="0"/>
                      <a:ext cx="6400800" cy="1403944"/>
                    </a:xfrm>
                    <a:prstGeom prst="rect"/>
                  </pic:spPr>
                </pic:pic>
              </a:graphicData>
            </a:graphic>
          </wp:inline>
        </w:drawing>
      </w:r>
    </w:p>
    <w:p>
      <w:pPr>
        <w:pStyle w:val="FigureCaption"/>
        <w:spacing w:after="160"/>
      </w:pPr>
      <w:r>
        <w:rPr>
          <w:sz w:val="16"/>
        </w:rPr>
        <w:t xml:space="preserve">Fig. 11. </w:t>
      </w:r>
      <w:r>
        <w:rPr>
          <w:sz w:val="16"/>
        </w:rPr>
        <w:t>SHAP dependence of the 3-h fog model on the dew-point depression, wind speed, solar elevation at the valid time and 6-h maximum relative humidity, coloured by an interacting variable.</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G. </w:t>
      </w:r>
      <w:r>
        <w:t>Case Study: 17–18 December 2022</w:t>
      </w:r>
    </w:p>
    <w:p>
      <w:pPr>
        <w:pStyle w:val="Text"/>
      </w:pPr>
      <w:r>
        <w:t>Fig. 12 shows a two-stage episode from the test period. Fog persisted until about 10 UTC on 17 December, cleared during the afternoon and formed again at 16:50 UTC, lasting until 03:50 UTC on 18 December with RVR mostly between 200 and 400 m. At 16:20 UTC, when the visibility was still 1200 m, the 3-h model issued a fog probability of 0.82 (threshold 0.33), i.e., a correct warning for the re-formation. Its SHAP explanation (Fig. 13) attributes the forecast to the falling minimum visibility (+1.74), the RVR of 650 m (+0.96), the dew-point depression of 1 °C (+0.88) and a relative humidity of 93% (+0.88)—exactly the cues an experienced forecaster would use. The 1-h forecasts track the episode closely, and the 3- and 6-h forecasts raise the probability during the evening and anticipate the persistence of the fog through the night; after sunrise all lead times correctly forecast the dissipation, with the longer lead times reacting later.</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5815584" cy="2105406"/>
            <wp:docPr id="12" name="Picture 12"/>
            <wp:cNvGraphicFramePr>
              <a:graphicFrameLocks noChangeAspect="1"/>
            </wp:cNvGraphicFramePr>
            <a:graphic>
              <a:graphicData uri="http://schemas.openxmlformats.org/drawingml/2006/picture">
                <pic:pic>
                  <pic:nvPicPr>
                    <pic:cNvPr id="0" name="case_study.png"/>
                    <pic:cNvPicPr/>
                  </pic:nvPicPr>
                  <pic:blipFill>
                    <a:blip r:embed="rId43"/>
                    <a:stretch>
                      <a:fillRect/>
                    </a:stretch>
                  </pic:blipFill>
                  <pic:spPr>
                    <a:xfrm>
                      <a:off x="0" y="0"/>
                      <a:ext cx="5815584" cy="2105406"/>
                    </a:xfrm>
                    <a:prstGeom prst="rect"/>
                  </pic:spPr>
                </pic:pic>
              </a:graphicData>
            </a:graphic>
          </wp:inline>
        </w:drawing>
      </w:r>
    </w:p>
    <w:p>
      <w:pPr>
        <w:pStyle w:val="FigureCaption"/>
        <w:spacing w:after="160"/>
      </w:pPr>
      <w:r>
        <w:rPr>
          <w:sz w:val="16"/>
        </w:rPr>
        <w:t xml:space="preserve">Fig. 12. </w:t>
      </w:r>
      <w:r>
        <w:rPr>
          <w:sz w:val="16"/>
        </w:rPr>
        <w:t>Observed visibility and RVR at LTAC on 17–18 December 2022 with the LightGBM fog probabilities issued 1, 3 and 6 h before each valid time.</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keepNext/>
        <w:spacing w:before="120"/>
        <w:jc w:val="center"/>
      </w:pPr>
      <w:r>
        <w:drawing>
          <wp:inline xmlns:a="http://schemas.openxmlformats.org/drawingml/2006/main" xmlns:pic="http://schemas.openxmlformats.org/drawingml/2006/picture">
            <wp:extent cx="2825496" cy="2462022"/>
            <wp:docPr id="13" name="Picture 13"/>
            <wp:cNvGraphicFramePr>
              <a:graphicFrameLocks noChangeAspect="1"/>
            </wp:cNvGraphicFramePr>
            <a:graphic>
              <a:graphicData uri="http://schemas.openxmlformats.org/drawingml/2006/picture">
                <pic:pic>
                  <pic:nvPicPr>
                    <pic:cNvPr id="0" name="shap_waterfall.png"/>
                    <pic:cNvPicPr/>
                  </pic:nvPicPr>
                  <pic:blipFill>
                    <a:blip r:embed="rId44"/>
                    <a:stretch>
                      <a:fillRect/>
                    </a:stretch>
                  </pic:blipFill>
                  <pic:spPr>
                    <a:xfrm>
                      <a:off x="0" y="0"/>
                      <a:ext cx="2825496" cy="2462022"/>
                    </a:xfrm>
                    <a:prstGeom prst="rect"/>
                  </pic:spPr>
                </pic:pic>
              </a:graphicData>
            </a:graphic>
          </wp:inline>
        </w:drawing>
      </w:r>
    </w:p>
    <w:p>
      <w:pPr>
        <w:pStyle w:val="FigureCaption"/>
        <w:spacing w:after="160"/>
      </w:pPr>
      <w:r>
        <w:rPr>
          <w:sz w:val="16"/>
        </w:rPr>
        <w:t xml:space="preserve">Fig. 13. </w:t>
      </w:r>
      <w:r>
        <w:rPr>
          <w:sz w:val="16"/>
        </w:rPr>
        <w:t>SHAP explanation of the 3-h forecast issued at 16:20 UTC on 17 December 2022 (visibility 1200 m; fog formed 30 min later).</w:t>
      </w:r>
    </w:p>
    <w:p>
      <w:pPr>
        <w:pStyle w:val="Heading2"/>
        <w:numPr>
          <w:ilvl w:val="0"/>
          <w:numId w:val="0"/>
        </w:numPr>
      </w:pPr>
      <w:r>
        <w:t xml:space="preserve">H. </w:t>
      </w:r>
      <w:r>
        <w:t>Operational Performance</w:t>
      </w:r>
    </w:p>
    <w:p>
      <w:pPr>
        <w:pStyle w:val="Text"/>
      </w:pPr>
      <w:r>
        <w:t>The deployed application (Fig. 14) was verified in two ways. First, a replay of the operational period after the test set (July–October 2026) through the web-application code yielded 5 727–5 737 forecasts per lead time (Table X); no fog occurred in this warm-season period and the system issued no fog warning at any lead time, i.e., it produced no false alarms. Second, a parity check rebuilt the features from only the preceding 120 h of reports at 40 random times, exactly as the live system does, and reproduced the batch probabilities to machine precision (maximum difference 0.0 over 240 comparisons). The live logger started on 29 October 2026, at the beginning of the 2026/27 fog season, and its automatically verified record is updated continuously during the semester.</w:t>
      </w:r>
    </w:p>
    <w:p>
      <w:pPr>
        <w:keepNext/>
        <w:spacing w:before="120"/>
        <w:jc w:val="center"/>
      </w:pPr>
      <w:r>
        <w:drawing>
          <wp:inline xmlns:a="http://schemas.openxmlformats.org/drawingml/2006/main" xmlns:pic="http://schemas.openxmlformats.org/drawingml/2006/picture">
            <wp:extent cx="3154680" cy="3061109"/>
            <wp:docPr id="14" name="Picture 14"/>
            <wp:cNvGraphicFramePr>
              <a:graphicFrameLocks noChangeAspect="1"/>
            </wp:cNvGraphicFramePr>
            <a:graphic>
              <a:graphicData uri="http://schemas.openxmlformats.org/drawingml/2006/picture">
                <pic:pic>
                  <pic:nvPicPr>
                    <pic:cNvPr id="0" name="app_screenshot.png"/>
                    <pic:cNvPicPr/>
                  </pic:nvPicPr>
                  <pic:blipFill>
                    <a:blip r:embed="rId45"/>
                    <a:stretch>
                      <a:fillRect/>
                    </a:stretch>
                  </pic:blipFill>
                  <pic:spPr>
                    <a:xfrm>
                      <a:off x="0" y="0"/>
                      <a:ext cx="3154680" cy="3061109"/>
                    </a:xfrm>
                    <a:prstGeom prst="rect"/>
                  </pic:spPr>
                </pic:pic>
              </a:graphicData>
            </a:graphic>
          </wp:inline>
        </w:drawing>
      </w:r>
    </w:p>
    <w:p>
      <w:pPr>
        <w:pStyle w:val="FigureCaption"/>
        <w:spacing w:after="160"/>
      </w:pPr>
      <w:r>
        <w:rPr>
          <w:sz w:val="16"/>
        </w:rPr>
        <w:t xml:space="preserve">Fig. 14. </w:t>
      </w:r>
      <w:r>
        <w:rPr>
          <w:sz w:val="16"/>
        </w:rPr>
        <w:t>The web-based early-warning application: alert banner, calibrated fog probabilities for the next 6 h, current conditions, ILS-category outlook and SHAP-based driving factors.</w:t>
      </w:r>
    </w:p>
    <w:p>
      <w:pPr>
        <w:keepNext/>
        <w:widowControl w:val="0"/>
        <w:pBdr>
          <w:top w:val="nil"/>
          <w:left w:val="nil"/>
          <w:bottom w:val="nil"/>
          <w:right w:val="nil"/>
          <w:between w:val="nil"/>
        </w:pBdr>
        <w:spacing w:line="252" w:lineRule="auto"/>
        <w:ind w:firstLine="202"/>
        <w:jc w:val="center"/>
      </w:pPr>
      <w:r>
        <w:rPr>
          <w:sz w:val="16"/>
        </w:rPr>
        <w:t>TABLE X</w:t>
      </w:r>
    </w:p>
    <w:p>
      <w:pPr>
        <w:pStyle w:val="TableTitle"/>
        <w:keepNext/>
        <w:spacing w:after="60"/>
      </w:pPr>
      <w:r>
        <w:rPr>
          <w:sz w:val="16"/>
        </w:rPr>
        <w:t>Operational verification after the test period</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296"/>
        <w:gridCol w:w="1296"/>
        <w:gridCol w:w="1296"/>
        <w:gridCol w:w="1296"/>
        <w:gridCol w:w="1296"/>
        <w:gridCol w:w="1296"/>
        <w:gridCol w:w="1296"/>
        <w:gridCol w:w="1296"/>
      </w:tblGrid>
      <w:tr>
        <w:tc>
          <w:tcPr>
            <w:tcW w:type="dxa" w:w="1444"/>
            <w:tcBorders>
              <w:bottom w:val="single" w:sz="4" w:color="000000"/>
            </w:tcBorders>
          </w:tcPr>
          <w:p>
            <w:pPr>
              <w:spacing w:before="10" w:after="10"/>
              <w:jc w:val="left"/>
              <w:rPr>
                <w:sz w:val="14"/>
              </w:rPr>
            </w:pPr>
            <w:r>
              <w:rPr>
                <w:b/>
                <w:sz w:val="14"/>
              </w:rPr>
              <w:t>Period</w:t>
            </w:r>
          </w:p>
        </w:tc>
        <w:tc>
          <w:tcPr>
            <w:tcW w:type="dxa" w:w="462"/>
            <w:tcBorders>
              <w:bottom w:val="single" w:sz="4" w:color="000000"/>
            </w:tcBorders>
          </w:tcPr>
          <w:p>
            <w:pPr>
              <w:spacing w:before="10" w:after="10"/>
              <w:jc w:val="center"/>
              <w:rPr>
                <w:sz w:val="14"/>
              </w:rPr>
            </w:pPr>
            <w:r>
              <w:rPr>
                <w:b/>
                <w:sz w:val="14"/>
              </w:rPr>
              <w:t>Lead</w:t>
            </w:r>
          </w:p>
        </w:tc>
        <w:tc>
          <w:tcPr>
            <w:tcW w:type="dxa" w:w="578"/>
            <w:tcBorders>
              <w:bottom w:val="single" w:sz="4" w:color="000000"/>
            </w:tcBorders>
          </w:tcPr>
          <w:p>
            <w:pPr>
              <w:spacing w:before="10" w:after="10"/>
              <w:jc w:val="center"/>
              <w:rPr>
                <w:sz w:val="14"/>
              </w:rPr>
            </w:pPr>
            <w:r>
              <w:rPr>
                <w:b/>
                <w:sz w:val="14"/>
              </w:rPr>
              <w:t>n</w:t>
            </w:r>
          </w:p>
        </w:tc>
        <w:tc>
          <w:tcPr>
            <w:tcW w:type="dxa" w:w="404"/>
            <w:tcBorders>
              <w:bottom w:val="single" w:sz="4" w:color="000000"/>
            </w:tcBorders>
          </w:tcPr>
          <w:p>
            <w:pPr>
              <w:spacing w:before="10" w:after="10"/>
              <w:jc w:val="center"/>
              <w:rPr>
                <w:sz w:val="14"/>
              </w:rPr>
            </w:pPr>
            <w:r>
              <w:rPr>
                <w:b/>
                <w:sz w:val="14"/>
              </w:rPr>
              <w:t>Fog</w:t>
            </w:r>
          </w:p>
        </w:tc>
        <w:tc>
          <w:tcPr>
            <w:tcW w:type="dxa" w:w="578"/>
            <w:tcBorders>
              <w:bottom w:val="single" w:sz="4" w:color="000000"/>
            </w:tcBorders>
          </w:tcPr>
          <w:p>
            <w:pPr>
              <w:spacing w:before="10" w:after="10"/>
              <w:jc w:val="center"/>
              <w:rPr>
                <w:sz w:val="14"/>
              </w:rPr>
            </w:pPr>
            <w:r>
              <w:rPr>
                <w:b/>
                <w:sz w:val="14"/>
              </w:rPr>
              <w:t>Warnings</w:t>
            </w:r>
          </w:p>
        </w:tc>
        <w:tc>
          <w:tcPr>
            <w:tcW w:type="dxa" w:w="462"/>
            <w:tcBorders>
              <w:bottom w:val="single" w:sz="4" w:color="000000"/>
            </w:tcBorders>
          </w:tcPr>
          <w:p>
            <w:pPr>
              <w:spacing w:before="10" w:after="10"/>
              <w:jc w:val="center"/>
              <w:rPr>
                <w:sz w:val="14"/>
              </w:rPr>
            </w:pPr>
            <w:r>
              <w:rPr>
                <w:b/>
                <w:sz w:val="14"/>
              </w:rPr>
              <w:t>POD</w:t>
            </w:r>
          </w:p>
        </w:tc>
        <w:tc>
          <w:tcPr>
            <w:tcW w:type="dxa" w:w="462"/>
            <w:tcBorders>
              <w:bottom w:val="single" w:sz="4" w:color="000000"/>
            </w:tcBorders>
          </w:tcPr>
          <w:p>
            <w:pPr>
              <w:spacing w:before="10" w:after="10"/>
              <w:jc w:val="center"/>
              <w:rPr>
                <w:sz w:val="14"/>
              </w:rPr>
            </w:pPr>
            <w:r>
              <w:rPr>
                <w:b/>
                <w:sz w:val="14"/>
              </w:rPr>
              <w:t>FAR</w:t>
            </w:r>
          </w:p>
        </w:tc>
        <w:tc>
          <w:tcPr>
            <w:tcW w:type="dxa" w:w="578"/>
            <w:tcBorders>
              <w:bottom w:val="single" w:sz="4" w:color="000000"/>
            </w:tcBorders>
          </w:tcPr>
          <w:p>
            <w:pPr>
              <w:spacing w:before="10" w:after="10"/>
              <w:jc w:val="center"/>
              <w:rPr>
                <w:sz w:val="14"/>
              </w:rPr>
            </w:pPr>
            <w:r>
              <w:rPr>
                <w:b/>
                <w:sz w:val="14"/>
              </w:rPr>
              <w:t>BS</w:t>
            </w:r>
          </w:p>
        </w:tc>
      </w:tr>
      <w:tr>
        <w:tc>
          <w:tcPr>
            <w:tcW w:type="dxa" w:w="1444"/>
          </w:tcPr>
          <w:p>
            <w:pPr>
              <w:spacing w:before="10" w:after="10"/>
              <w:jc w:val="left"/>
              <w:rPr>
                <w:sz w:val="14"/>
              </w:rPr>
            </w:pPr>
            <w:r>
              <w:rPr>
                <w:sz w:val="14"/>
              </w:rPr>
              <w:t>07/2026–10/2026 replay</w:t>
            </w:r>
          </w:p>
        </w:tc>
        <w:tc>
          <w:tcPr>
            <w:tcW w:type="dxa" w:w="462"/>
          </w:tcPr>
          <w:p>
            <w:pPr>
              <w:spacing w:before="10" w:after="10"/>
              <w:jc w:val="center"/>
              <w:rPr>
                <w:sz w:val="14"/>
              </w:rPr>
            </w:pPr>
            <w:r>
              <w:rPr>
                <w:sz w:val="14"/>
              </w:rPr>
              <w:t>1 h</w:t>
            </w:r>
          </w:p>
        </w:tc>
        <w:tc>
          <w:tcPr>
            <w:tcW w:type="dxa" w:w="578"/>
          </w:tcPr>
          <w:p>
            <w:pPr>
              <w:spacing w:before="10" w:after="10"/>
              <w:jc w:val="center"/>
              <w:rPr>
                <w:sz w:val="14"/>
              </w:rPr>
            </w:pPr>
            <w:r>
              <w:rPr>
                <w:sz w:val="14"/>
              </w:rPr>
              <w:t>5 737</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replay</w:t>
            </w:r>
          </w:p>
        </w:tc>
        <w:tc>
          <w:tcPr>
            <w:tcW w:type="dxa" w:w="462"/>
          </w:tcPr>
          <w:p>
            <w:pPr>
              <w:spacing w:before="10" w:after="10"/>
              <w:jc w:val="center"/>
              <w:rPr>
                <w:sz w:val="14"/>
              </w:rPr>
            </w:pPr>
            <w:r>
              <w:rPr>
                <w:sz w:val="14"/>
              </w:rPr>
              <w:t>2 h</w:t>
            </w:r>
          </w:p>
        </w:tc>
        <w:tc>
          <w:tcPr>
            <w:tcW w:type="dxa" w:w="578"/>
          </w:tcPr>
          <w:p>
            <w:pPr>
              <w:spacing w:before="10" w:after="10"/>
              <w:jc w:val="center"/>
              <w:rPr>
                <w:sz w:val="14"/>
              </w:rPr>
            </w:pPr>
            <w:r>
              <w:rPr>
                <w:sz w:val="14"/>
              </w:rPr>
              <w:t>5 735</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replay</w:t>
            </w:r>
          </w:p>
        </w:tc>
        <w:tc>
          <w:tcPr>
            <w:tcW w:type="dxa" w:w="462"/>
          </w:tcPr>
          <w:p>
            <w:pPr>
              <w:spacing w:before="10" w:after="10"/>
              <w:jc w:val="center"/>
              <w:rPr>
                <w:sz w:val="14"/>
              </w:rPr>
            </w:pPr>
            <w:r>
              <w:rPr>
                <w:sz w:val="14"/>
              </w:rPr>
              <w:t>3 h</w:t>
            </w:r>
          </w:p>
        </w:tc>
        <w:tc>
          <w:tcPr>
            <w:tcW w:type="dxa" w:w="578"/>
          </w:tcPr>
          <w:p>
            <w:pPr>
              <w:spacing w:before="10" w:after="10"/>
              <w:jc w:val="center"/>
              <w:rPr>
                <w:sz w:val="14"/>
              </w:rPr>
            </w:pPr>
            <w:r>
              <w:rPr>
                <w:sz w:val="14"/>
              </w:rPr>
              <w:t>5 734</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replay</w:t>
            </w:r>
          </w:p>
        </w:tc>
        <w:tc>
          <w:tcPr>
            <w:tcW w:type="dxa" w:w="462"/>
          </w:tcPr>
          <w:p>
            <w:pPr>
              <w:spacing w:before="10" w:after="10"/>
              <w:jc w:val="center"/>
              <w:rPr>
                <w:sz w:val="14"/>
              </w:rPr>
            </w:pPr>
            <w:r>
              <w:rPr>
                <w:sz w:val="14"/>
              </w:rPr>
              <w:t>4 h</w:t>
            </w:r>
          </w:p>
        </w:tc>
        <w:tc>
          <w:tcPr>
            <w:tcW w:type="dxa" w:w="578"/>
          </w:tcPr>
          <w:p>
            <w:pPr>
              <w:spacing w:before="10" w:after="10"/>
              <w:jc w:val="center"/>
              <w:rPr>
                <w:sz w:val="14"/>
              </w:rPr>
            </w:pPr>
            <w:r>
              <w:rPr>
                <w:sz w:val="14"/>
              </w:rPr>
              <w:t>5 731</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replay</w:t>
            </w:r>
          </w:p>
        </w:tc>
        <w:tc>
          <w:tcPr>
            <w:tcW w:type="dxa" w:w="462"/>
          </w:tcPr>
          <w:p>
            <w:pPr>
              <w:spacing w:before="10" w:after="10"/>
              <w:jc w:val="center"/>
              <w:rPr>
                <w:sz w:val="14"/>
              </w:rPr>
            </w:pPr>
            <w:r>
              <w:rPr>
                <w:sz w:val="14"/>
              </w:rPr>
              <w:t>5 h</w:t>
            </w:r>
          </w:p>
        </w:tc>
        <w:tc>
          <w:tcPr>
            <w:tcW w:type="dxa" w:w="578"/>
          </w:tcPr>
          <w:p>
            <w:pPr>
              <w:spacing w:before="10" w:after="10"/>
              <w:jc w:val="center"/>
              <w:rPr>
                <w:sz w:val="14"/>
              </w:rPr>
            </w:pPr>
            <w:r>
              <w:rPr>
                <w:sz w:val="14"/>
              </w:rPr>
              <w:t>5 729</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replay</w:t>
            </w:r>
          </w:p>
        </w:tc>
        <w:tc>
          <w:tcPr>
            <w:tcW w:type="dxa" w:w="462"/>
          </w:tcPr>
          <w:p>
            <w:pPr>
              <w:spacing w:before="10" w:after="10"/>
              <w:jc w:val="center"/>
              <w:rPr>
                <w:sz w:val="14"/>
              </w:rPr>
            </w:pPr>
            <w:r>
              <w:rPr>
                <w:sz w:val="14"/>
              </w:rPr>
              <w:t>6 h</w:t>
            </w:r>
          </w:p>
        </w:tc>
        <w:tc>
          <w:tcPr>
            <w:tcW w:type="dxa" w:w="578"/>
          </w:tcPr>
          <w:p>
            <w:pPr>
              <w:spacing w:before="10" w:after="10"/>
              <w:jc w:val="center"/>
              <w:rPr>
                <w:sz w:val="14"/>
              </w:rPr>
            </w:pPr>
            <w:r>
              <w:rPr>
                <w:sz w:val="14"/>
              </w:rPr>
              <w:t>5 727</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bl>
    <w:p>
      <w:pPr>
        <w:pStyle w:val="FigureCaption"/>
        <w:spacing w:before="40"/>
      </w:pPr>
      <w:r>
        <w:rPr>
          <w:sz w:val="14"/>
        </w:rPr>
        <w:t>Replay: archived METARs processed with the web-application code; live: forecasts logged by the running application and verified automatically.</w:t>
      </w:r>
    </w:p>
    <w:p>
      <w:pPr>
        <w:spacing w:after="80"/>
      </w:pPr>
    </w:p>
    <w:p>
      <w:pPr>
        <w:pStyle w:val="Heading1"/>
      </w:pPr>
      <w:r>
        <w:t xml:space="preserve">VI. </w:t>
      </w:r>
      <w:r>
        <w:t>Discussion</w:t>
      </w:r>
    </w:p>
    <w:p>
      <w:pPr>
        <w:pStyle w:val="Text"/>
      </w:pPr>
      <w:r>
        <w:t>The results show that a purely observation-based nowcast can add substantial skill to both persistence and the official TREND at Esenboğa. Three aspects deserve emphasis. First, the best model depends on the lead time: at 1 h the tree ensembles, which exploit sharp thresholds in the current state, are best, whereas at 3–6 h the recurrent networks extract more from the 12-h history and achieve the best probabilistic scores. An operational system could therefore combine boosting at the shortest lead times with recurrent networks beyond 2 h. Second, the SHAP analysis confirms that the models learn the physics of radiation fog—saturation, weak mixing and the diurnal radiative cycle—rather than spurious correlations, which supports forecaster trust [21] and agrees with the dominance of radiation fog at LTAC [4]. Third, the comparison with the TREND shows that the official 2-h forecast is essentially persistence, so even modest data-driven guidance can improve the very-short-range service.</w:t>
      </w:r>
    </w:p>
    <w:p>
      <w:pPr>
        <w:pStyle w:val="Text"/>
      </w:pPr>
      <w:r>
        <w:t>The study has limitations. It uses point observations only; fog onsets, which depend on boundary-layer processes and advection that are not visible in a single METAR, remain hard to predict, and numerical weather prediction, satellite or ceilometer data would likely improve them [11], [19]. The historical TAF archive could not be obtained for the test seasons, so the TAF comparison is limited to a short, fog-free window; it will be completed with the live verification. Because only one airport is considered, transferability is not assessed [20]. Finally, the decreasing frequency of fog over the 21 years implies non-stationarity; the season-aligned validation and calibration on recent seasons mitigated it, but periodic retraining will be necessary.</w:t>
      </w:r>
    </w:p>
    <w:p>
      <w:pPr>
        <w:pStyle w:val="Heading1"/>
      </w:pPr>
      <w:r>
        <w:t xml:space="preserve">VII. </w:t>
      </w:r>
      <w:r>
        <w:t>Conclusion</w:t>
      </w:r>
    </w:p>
    <w:p>
      <w:pPr>
        <w:pStyle w:val="Text"/>
      </w:pPr>
      <w:r>
        <w:t>This paper presented the first machine-learning nowcasting system for fog and low visibility at Ankara Esenboğa Airport. Built on 21.8 years of quality-controlled METAR/SPECI reports and verified on four independent fog seasons, all models significantly outperformed persistence, and LightGBM improved on the official METAR TREND by 0.105 in CSI at 1 h. Calibrated probabilities, ILS-category forecasts and SHAP explanations make the forecasts operationally interpretable, and the open-source web application delivers them in real time with continuous self-verification. Future work will add numerical-model and satellite predictors to improve onset detection, extend the TAF comparison over full fog seasons and transfer the approach to other Turkish airports.</w:t>
      </w:r>
    </w:p>
    <w:p>
      <w:pPr>
        <w:pStyle w:val="Heading1"/>
      </w:pPr>
      <w:r>
        <w:t>Appendix</w:t>
      </w:r>
    </w:p>
    <w:p>
      <w:pPr>
        <w:pStyle w:val="Text"/>
      </w:pPr>
      <w:r>
        <w:t>The hyper-parameters selected on the validation seasons are listed in Table XI. The complete data set, the decoder, training and evaluation scripts, the trained models, the figures in English and Turkish and the web application are available at https://github.com/AtaSakik/esenboga-fog-nowcasting; a single script reproduces every number in this paper.</w:t>
      </w:r>
    </w:p>
    <w:p>
      <w:pPr>
        <w:keepNext/>
        <w:widowControl w:val="0"/>
        <w:pBdr>
          <w:top w:val="nil"/>
          <w:left w:val="nil"/>
          <w:bottom w:val="nil"/>
          <w:right w:val="nil"/>
          <w:between w:val="nil"/>
        </w:pBdr>
        <w:spacing w:line="252" w:lineRule="auto"/>
        <w:ind w:firstLine="202"/>
        <w:jc w:val="center"/>
      </w:pPr>
      <w:r>
        <w:rPr>
          <w:sz w:val="16"/>
        </w:rPr>
        <w:t>TABLE XI</w:t>
      </w:r>
    </w:p>
    <w:p>
      <w:pPr>
        <w:pStyle w:val="TableTitle"/>
        <w:keepNext/>
        <w:spacing w:after="60"/>
      </w:pPr>
      <w:r>
        <w:rPr>
          <w:sz w:val="16"/>
        </w:rPr>
        <w:t>Selected hyper-parameters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3456"/>
        <w:gridCol w:w="3456"/>
        <w:gridCol w:w="3456"/>
      </w:tblGrid>
      <w:tr>
        <w:tc>
          <w:tcPr>
            <w:tcW w:type="dxa" w:w="880"/>
            <w:tcBorders>
              <w:bottom w:val="single" w:sz="4" w:color="000000"/>
            </w:tcBorders>
          </w:tcPr>
          <w:p>
            <w:pPr>
              <w:spacing w:before="10" w:after="10"/>
              <w:jc w:val="left"/>
              <w:rPr>
                <w:sz w:val="14"/>
              </w:rPr>
            </w:pPr>
            <w:r>
              <w:rPr>
                <w:b/>
                <w:sz w:val="14"/>
              </w:rPr>
              <w:t>Model</w:t>
            </w:r>
          </w:p>
        </w:tc>
        <w:tc>
          <w:tcPr>
            <w:tcW w:type="dxa" w:w="566"/>
            <w:tcBorders>
              <w:bottom w:val="single" w:sz="4" w:color="000000"/>
            </w:tcBorders>
          </w:tcPr>
          <w:p>
            <w:pPr>
              <w:spacing w:before="10" w:after="10"/>
              <w:jc w:val="left"/>
              <w:rPr>
                <w:sz w:val="14"/>
              </w:rPr>
            </w:pPr>
            <w:r>
              <w:rPr>
                <w:b/>
                <w:sz w:val="14"/>
              </w:rPr>
              <w:t>Lead</w:t>
            </w:r>
          </w:p>
        </w:tc>
        <w:tc>
          <w:tcPr>
            <w:tcW w:type="dxa" w:w="3522"/>
            <w:tcBorders>
              <w:bottom w:val="single" w:sz="4" w:color="000000"/>
            </w:tcBorders>
          </w:tcPr>
          <w:p>
            <w:pPr>
              <w:spacing w:before="10" w:after="10"/>
              <w:jc w:val="left"/>
              <w:rPr>
                <w:sz w:val="14"/>
              </w:rPr>
            </w:pPr>
            <w:r>
              <w:rPr>
                <w:b/>
                <w:sz w:val="14"/>
              </w:rPr>
              <w:t>Setting</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1 h</w:t>
            </w:r>
          </w:p>
        </w:tc>
        <w:tc>
          <w:tcPr>
            <w:tcW w:type="dxa" w:w="3522"/>
          </w:tcPr>
          <w:p>
            <w:pPr>
              <w:spacing w:before="10" w:after="10"/>
              <w:jc w:val="left"/>
              <w:rPr>
                <w:sz w:val="14"/>
              </w:rPr>
            </w:pPr>
            <w:r>
              <w:rPr>
                <w:sz w:val="14"/>
              </w:rPr>
              <w:t>η=0.026, leaves=17, min_child=42, ff=0.76, bf=0.71, λ₂=0.0383</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2 h</w:t>
            </w:r>
          </w:p>
        </w:tc>
        <w:tc>
          <w:tcPr>
            <w:tcW w:type="dxa" w:w="3522"/>
          </w:tcPr>
          <w:p>
            <w:pPr>
              <w:spacing w:before="10" w:after="10"/>
              <w:jc w:val="left"/>
              <w:rPr>
                <w:sz w:val="14"/>
              </w:rPr>
            </w:pPr>
            <w:r>
              <w:rPr>
                <w:sz w:val="14"/>
              </w:rPr>
              <w:t>η=0.027, leaves=119, min_child=203, ff=0.96, bf=0.95, λ₂=0.475</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3 h</w:t>
            </w:r>
          </w:p>
        </w:tc>
        <w:tc>
          <w:tcPr>
            <w:tcW w:type="dxa" w:w="3522"/>
          </w:tcPr>
          <w:p>
            <w:pPr>
              <w:spacing w:before="10" w:after="10"/>
              <w:jc w:val="left"/>
              <w:rPr>
                <w:sz w:val="14"/>
              </w:rPr>
            </w:pPr>
            <w:r>
              <w:rPr>
                <w:sz w:val="14"/>
              </w:rPr>
              <w:t>η=0.025, leaves=27, min_child=59, ff=0.67, bf=0.89, λ₂=0.00783</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4 h</w:t>
            </w:r>
          </w:p>
        </w:tc>
        <w:tc>
          <w:tcPr>
            <w:tcW w:type="dxa" w:w="3522"/>
          </w:tcPr>
          <w:p>
            <w:pPr>
              <w:spacing w:before="10" w:after="10"/>
              <w:jc w:val="left"/>
              <w:rPr>
                <w:sz w:val="14"/>
              </w:rPr>
            </w:pPr>
            <w:r>
              <w:rPr>
                <w:sz w:val="14"/>
              </w:rPr>
              <w:t>η=0.052, leaves=16, min_child=122, ff=0.50, bf=0.53, λ₂=17.7</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5 h</w:t>
            </w:r>
          </w:p>
        </w:tc>
        <w:tc>
          <w:tcPr>
            <w:tcW w:type="dxa" w:w="3522"/>
          </w:tcPr>
          <w:p>
            <w:pPr>
              <w:spacing w:before="10" w:after="10"/>
              <w:jc w:val="left"/>
              <w:rPr>
                <w:sz w:val="14"/>
              </w:rPr>
            </w:pPr>
            <w:r>
              <w:rPr>
                <w:sz w:val="14"/>
              </w:rPr>
              <w:t>η=0.052, leaves=16, min_child=122, ff=0.50, bf=0.53, λ₂=17.7</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6 h</w:t>
            </w:r>
          </w:p>
        </w:tc>
        <w:tc>
          <w:tcPr>
            <w:tcW w:type="dxa" w:w="3522"/>
          </w:tcPr>
          <w:p>
            <w:pPr>
              <w:spacing w:before="10" w:after="10"/>
              <w:jc w:val="left"/>
              <w:rPr>
                <w:sz w:val="14"/>
              </w:rPr>
            </w:pPr>
            <w:r>
              <w:rPr>
                <w:sz w:val="14"/>
              </w:rPr>
              <w:t>η=0.053, leaves=15, min_child=316, ff=0.69, bf=0.69, λ₂=14</w:t>
            </w:r>
          </w:p>
        </w:tc>
      </w:tr>
      <w:tr>
        <w:tc>
          <w:tcPr>
            <w:tcW w:type="dxa" w:w="880"/>
          </w:tcPr>
          <w:p>
            <w:pPr>
              <w:spacing w:before="10" w:after="10"/>
              <w:jc w:val="left"/>
              <w:rPr>
                <w:sz w:val="14"/>
              </w:rPr>
            </w:pPr>
            <w:r>
              <w:rPr>
                <w:sz w:val="14"/>
              </w:rPr>
              <w:t>XGBoost</w:t>
            </w:r>
          </w:p>
        </w:tc>
        <w:tc>
          <w:tcPr>
            <w:tcW w:type="dxa" w:w="566"/>
          </w:tcPr>
          <w:p>
            <w:pPr>
              <w:spacing w:before="10" w:after="10"/>
              <w:jc w:val="left"/>
              <w:rPr>
                <w:sz w:val="14"/>
              </w:rPr>
            </w:pPr>
            <w:r>
              <w:rPr>
                <w:sz w:val="14"/>
              </w:rPr>
              <w:t>1 h</w:t>
            </w:r>
          </w:p>
        </w:tc>
        <w:tc>
          <w:tcPr>
            <w:tcW w:type="dxa" w:w="3522"/>
          </w:tcPr>
          <w:p>
            <w:pPr>
              <w:spacing w:before="10" w:after="10"/>
              <w:jc w:val="left"/>
              <w:rPr>
                <w:sz w:val="14"/>
              </w:rPr>
            </w:pPr>
            <w:r>
              <w:rPr>
                <w:sz w:val="14"/>
              </w:rPr>
              <w:t>η=0.032, depth=5, mcw=2.0, subsample=0.70, colsample=0.74, λ=0.447</w:t>
            </w:r>
          </w:p>
        </w:tc>
      </w:tr>
      <w:tr>
        <w:tc>
          <w:tcPr>
            <w:tcW w:type="dxa" w:w="880"/>
          </w:tcPr>
          <w:p>
            <w:pPr>
              <w:spacing w:before="10" w:after="10"/>
              <w:jc w:val="left"/>
              <w:rPr>
                <w:sz w:val="14"/>
              </w:rPr>
            </w:pPr>
            <w:r>
              <w:rPr>
                <w:sz w:val="14"/>
              </w:rPr>
              <w:t>XGBoost</w:t>
            </w:r>
          </w:p>
        </w:tc>
        <w:tc>
          <w:tcPr>
            <w:tcW w:type="dxa" w:w="566"/>
          </w:tcPr>
          <w:p>
            <w:pPr>
              <w:spacing w:before="10" w:after="10"/>
              <w:jc w:val="left"/>
              <w:rPr>
                <w:sz w:val="14"/>
              </w:rPr>
            </w:pPr>
            <w:r>
              <w:rPr>
                <w:sz w:val="14"/>
              </w:rPr>
              <w:t>3 h</w:t>
            </w:r>
          </w:p>
        </w:tc>
        <w:tc>
          <w:tcPr>
            <w:tcW w:type="dxa" w:w="3522"/>
          </w:tcPr>
          <w:p>
            <w:pPr>
              <w:spacing w:before="10" w:after="10"/>
              <w:jc w:val="left"/>
              <w:rPr>
                <w:sz w:val="14"/>
              </w:rPr>
            </w:pPr>
            <w:r>
              <w:rPr>
                <w:sz w:val="14"/>
              </w:rPr>
              <w:t>η=0.035, depth=9, mcw=14.8, subsample=1.00, colsample=0.70, λ=0.574</w:t>
            </w:r>
          </w:p>
        </w:tc>
      </w:tr>
      <w:tr>
        <w:tc>
          <w:tcPr>
            <w:tcW w:type="dxa" w:w="880"/>
          </w:tcPr>
          <w:p>
            <w:pPr>
              <w:spacing w:before="10" w:after="10"/>
              <w:jc w:val="left"/>
              <w:rPr>
                <w:sz w:val="14"/>
              </w:rPr>
            </w:pPr>
            <w:r>
              <w:rPr>
                <w:sz w:val="14"/>
              </w:rPr>
              <w:t>XGBoost</w:t>
            </w:r>
          </w:p>
        </w:tc>
        <w:tc>
          <w:tcPr>
            <w:tcW w:type="dxa" w:w="566"/>
          </w:tcPr>
          <w:p>
            <w:pPr>
              <w:spacing w:before="10" w:after="10"/>
              <w:jc w:val="left"/>
              <w:rPr>
                <w:sz w:val="14"/>
              </w:rPr>
            </w:pPr>
            <w:r>
              <w:rPr>
                <w:sz w:val="14"/>
              </w:rPr>
              <w:t>6 h</w:t>
            </w:r>
          </w:p>
        </w:tc>
        <w:tc>
          <w:tcPr>
            <w:tcW w:type="dxa" w:w="3522"/>
          </w:tcPr>
          <w:p>
            <w:pPr>
              <w:spacing w:before="10" w:after="10"/>
              <w:jc w:val="left"/>
              <w:rPr>
                <w:sz w:val="14"/>
              </w:rPr>
            </w:pPr>
            <w:r>
              <w:rPr>
                <w:sz w:val="14"/>
              </w:rPr>
              <w:t>η=0.084, depth=6, mcw=8.1, subsample=0.60, colsample=0.45, λ=27.7</w:t>
            </w:r>
          </w:p>
        </w:tc>
      </w:tr>
      <w:tr>
        <w:tc>
          <w:tcPr>
            <w:tcW w:type="dxa" w:w="880"/>
          </w:tcPr>
          <w:p>
            <w:pPr>
              <w:spacing w:before="10" w:after="10"/>
              <w:jc w:val="left"/>
              <w:rPr>
                <w:sz w:val="14"/>
              </w:rPr>
            </w:pPr>
            <w:r>
              <w:rPr>
                <w:sz w:val="14"/>
              </w:rPr>
              <w:t>GRU</w:t>
            </w:r>
          </w:p>
        </w:tc>
        <w:tc>
          <w:tcPr>
            <w:tcW w:type="dxa" w:w="566"/>
          </w:tcPr>
          <w:p>
            <w:pPr>
              <w:spacing w:before="10" w:after="10"/>
              <w:jc w:val="left"/>
              <w:rPr>
                <w:sz w:val="14"/>
              </w:rPr>
            </w:pPr>
            <w:r>
              <w:rPr>
                <w:sz w:val="14"/>
              </w:rPr>
              <w:t>1/3/6</w:t>
            </w:r>
          </w:p>
        </w:tc>
        <w:tc>
          <w:tcPr>
            <w:tcW w:type="dxa" w:w="3522"/>
          </w:tcPr>
          <w:p>
            <w:pPr>
              <w:spacing w:before="10" w:after="10"/>
              <w:jc w:val="left"/>
              <w:rPr>
                <w:sz w:val="14"/>
              </w:rPr>
            </w:pPr>
            <w:r>
              <w:rPr>
                <w:sz w:val="14"/>
              </w:rPr>
              <w:t>hidden=32, layers=2, dropout=0.2, lr=0.001, wd=0.0001, seq=24×30 min</w:t>
            </w:r>
          </w:p>
        </w:tc>
      </w:tr>
      <w:tr>
        <w:tc>
          <w:tcPr>
            <w:tcW w:type="dxa" w:w="880"/>
          </w:tcPr>
          <w:p>
            <w:pPr>
              <w:spacing w:before="10" w:after="10"/>
              <w:jc w:val="left"/>
              <w:rPr>
                <w:sz w:val="14"/>
              </w:rPr>
            </w:pPr>
            <w:r>
              <w:rPr>
                <w:sz w:val="14"/>
              </w:rPr>
              <w:t>LSTM</w:t>
            </w:r>
          </w:p>
        </w:tc>
        <w:tc>
          <w:tcPr>
            <w:tcW w:type="dxa" w:w="566"/>
          </w:tcPr>
          <w:p>
            <w:pPr>
              <w:spacing w:before="10" w:after="10"/>
              <w:jc w:val="left"/>
              <w:rPr>
                <w:sz w:val="14"/>
              </w:rPr>
            </w:pPr>
            <w:r>
              <w:rPr>
                <w:sz w:val="14"/>
              </w:rPr>
              <w:t>1/3/6</w:t>
            </w:r>
          </w:p>
        </w:tc>
        <w:tc>
          <w:tcPr>
            <w:tcW w:type="dxa" w:w="3522"/>
          </w:tcPr>
          <w:p>
            <w:pPr>
              <w:spacing w:before="10" w:after="10"/>
              <w:jc w:val="left"/>
              <w:rPr>
                <w:sz w:val="14"/>
              </w:rPr>
            </w:pPr>
            <w:r>
              <w:rPr>
                <w:sz w:val="14"/>
              </w:rPr>
              <w:t>hidden=64, layers=2, dropout=0.2, lr=0.001, wd=0.0001, seq=24×30 min</w:t>
            </w:r>
          </w:p>
        </w:tc>
      </w:tr>
    </w:tbl>
    <w:p>
      <w:pPr>
        <w:spacing w:after="80"/>
      </w:pPr>
    </w:p>
    <w:p>
      <w:pPr>
        <w:pStyle w:val="Heading1"/>
      </w:pPr>
      <w:r>
        <w:t>Acknowledgment</w:t>
      </w:r>
    </w:p>
    <w:p>
      <w:pPr>
        <w:pStyle w:val="Text"/>
      </w:pPr>
      <w:r>
        <w:t>The author thanks the Iowa Environmental Mesonet, Ogimet and the NOAA Aviation Weather Center for making their meteorological archives openly available, and the instructor of the YMH453 Machine Learning course for the guidance during this project.</w:t>
      </w:r>
    </w:p>
    <w:p>
      <w:pPr>
        <w:keepNext/>
        <w:pBdr>
          <w:top w:val="nil"/>
          <w:left w:val="nil"/>
          <w:bottom w:val="nil"/>
          <w:right w:val="nil"/>
          <w:between w:val="nil"/>
        </w:pBdr>
        <w:spacing w:before="240" w:after="80"/>
        <w:jc w:val="center"/>
        <w:rPr>
          <w:color w:val="222222"/>
          <w:sz w:val="16"/>
          <w:szCs w:val="16"/>
        </w:rPr>
      </w:pPr>
      <w:r>
        <w:rPr>
          <w:smallCaps/>
        </w:rPr>
        <w:t>References</w:t>
      </w:r>
    </w:p>
    <w:p>
      <w:pPr>
        <w:numPr>
          <w:ilvl w:val="0"/>
          <w:numId w:val="1"/>
        </w:numPr>
        <w:ind w:left="360" w:hanging="360"/>
        <w:jc w:val="both"/>
        <w:rPr>
          <w:sz w:val="16"/>
          <w:szCs w:val="16"/>
        </w:rPr>
      </w:pPr>
      <w:r>
        <w:rPr>
          <w:i w:val="0"/>
          <w:sz w:val="16"/>
        </w:rPr>
        <w:t xml:space="preserve">I. Gultepe et al., “Fog research: A review of past achievements and future perspectives,” </w:t>
      </w:r>
      <w:r>
        <w:rPr>
          <w:i/>
          <w:sz w:val="16"/>
        </w:rPr>
        <w:t>Pure Appl. Geophys.</w:t>
      </w:r>
      <w:r>
        <w:rPr>
          <w:i w:val="0"/>
          <w:sz w:val="16"/>
        </w:rPr>
        <w:t>, vol. 164, no. 6–7, pp. 1121–1159, Jun. 2007, doi: 10.1007/s00024-007-0211-x.</w:t>
      </w:r>
    </w:p>
    <w:p>
      <w:pPr>
        <w:numPr>
          <w:ilvl w:val="0"/>
          <w:numId w:val="1"/>
        </w:numPr>
        <w:ind w:left="360" w:hanging="360"/>
        <w:jc w:val="both"/>
        <w:rPr>
          <w:sz w:val="16"/>
          <w:szCs w:val="16"/>
        </w:rPr>
      </w:pPr>
      <w:r>
        <w:rPr>
          <w:i w:val="0"/>
          <w:sz w:val="16"/>
        </w:rPr>
        <w:t xml:space="preserve">M. Haeffelin et al., “PARISFOG: Shedding new light on fog physical processes,” </w:t>
      </w:r>
      <w:r>
        <w:rPr>
          <w:i/>
          <w:sz w:val="16"/>
        </w:rPr>
        <w:t>Bull. Amer. Meteorol. Soc.</w:t>
      </w:r>
      <w:r>
        <w:rPr>
          <w:i w:val="0"/>
          <w:sz w:val="16"/>
        </w:rPr>
        <w:t>, vol. 91, no. 6, pp. 767–783, Jun. 2010, doi: 10.1175/2009BAMS2671.1.</w:t>
      </w:r>
    </w:p>
    <w:p>
      <w:pPr>
        <w:numPr>
          <w:ilvl w:val="0"/>
          <w:numId w:val="1"/>
        </w:numPr>
        <w:ind w:left="360" w:hanging="360"/>
        <w:jc w:val="both"/>
        <w:rPr>
          <w:sz w:val="16"/>
          <w:szCs w:val="16"/>
        </w:rPr>
      </w:pPr>
      <w:r>
        <w:rPr>
          <w:i w:val="0"/>
          <w:sz w:val="16"/>
        </w:rPr>
        <w:t xml:space="preserve">R. Dalmau and J. Attia, “A collection of machine learning models for improved airport operations amidst adverse weather conditions,” </w:t>
      </w:r>
      <w:r>
        <w:rPr>
          <w:i/>
          <w:sz w:val="16"/>
        </w:rPr>
        <w:t>Eur. J. Transp. Infrastruct. Res.</w:t>
      </w:r>
      <w:r>
        <w:rPr>
          <w:i w:val="0"/>
          <w:sz w:val="16"/>
        </w:rPr>
        <w:t>, vol. 25, no. 1, pp. 133–159, Feb. 2025, doi: 10.59490/ejtir.2025.25.1.7487.</w:t>
      </w:r>
    </w:p>
    <w:p>
      <w:pPr>
        <w:numPr>
          <w:ilvl w:val="0"/>
          <w:numId w:val="1"/>
        </w:numPr>
        <w:ind w:left="360" w:hanging="360"/>
        <w:jc w:val="both"/>
        <w:rPr>
          <w:sz w:val="16"/>
          <w:szCs w:val="16"/>
        </w:rPr>
      </w:pPr>
      <w:r>
        <w:rPr>
          <w:i w:val="0"/>
          <w:sz w:val="16"/>
        </w:rPr>
        <w:t xml:space="preserve">G. Çamalan, S. Yağan, and N. Akgün, “Esenboğa Havalimanı sis etüdü [Esenboğa Airport fog study],” in </w:t>
      </w:r>
      <w:r>
        <w:rPr>
          <w:i/>
          <w:sz w:val="16"/>
        </w:rPr>
        <w:t>Proc. I. Meteoroloji Sempozyumu (1st Meteorology Symp.)</w:t>
      </w:r>
      <w:r>
        <w:rPr>
          <w:i w:val="0"/>
          <w:sz w:val="16"/>
        </w:rPr>
        <w:t>, Ankara, Türkiye, May 2010. [Online]. Available: https://www.mgm.gov.tr/FILES/genel/makale/sisbildirisi.pdf</w:t>
      </w:r>
    </w:p>
    <w:p>
      <w:pPr>
        <w:numPr>
          <w:ilvl w:val="0"/>
          <w:numId w:val="1"/>
        </w:numPr>
        <w:ind w:left="360" w:hanging="360"/>
        <w:jc w:val="both"/>
        <w:rPr>
          <w:sz w:val="16"/>
          <w:szCs w:val="16"/>
        </w:rPr>
      </w:pPr>
      <w:r>
        <w:rPr>
          <w:i w:val="0"/>
          <w:sz w:val="16"/>
        </w:rPr>
        <w:t xml:space="preserve">R. Koyuncu, A. Deniz, and E. T. Özdemir, “Ankara Esenboğa International Airport (Turkey) fog analysis and synoptical investigation of the fog event dated 17–19 December 2019,” </w:t>
      </w:r>
      <w:r>
        <w:rPr>
          <w:i/>
          <w:sz w:val="16"/>
        </w:rPr>
        <w:t>Int. J. Climatol.</w:t>
      </w:r>
      <w:r>
        <w:rPr>
          <w:i w:val="0"/>
          <w:sz w:val="16"/>
        </w:rPr>
        <w:t>, vol. 42, no. 16, pp. 8368–8389, Dec. 2022, doi: 10.1002/joc.7728.</w:t>
      </w:r>
    </w:p>
    <w:p>
      <w:pPr>
        <w:numPr>
          <w:ilvl w:val="0"/>
          <w:numId w:val="1"/>
        </w:numPr>
        <w:ind w:left="360" w:hanging="360"/>
        <w:jc w:val="both"/>
        <w:rPr>
          <w:sz w:val="16"/>
          <w:szCs w:val="16"/>
        </w:rPr>
      </w:pPr>
      <w:r>
        <w:rPr>
          <w:i w:val="0"/>
          <w:sz w:val="16"/>
        </w:rPr>
        <w:t xml:space="preserve">P. Kneringer, S. J. Dietz, G. J. Mayr, and A. Zeileis, “Probabilistic nowcasting of low-visibility procedure states at Vienna International Airport during cold season,” </w:t>
      </w:r>
      <w:r>
        <w:rPr>
          <w:i/>
          <w:sz w:val="16"/>
        </w:rPr>
        <w:t>Pure Appl. Geophys.</w:t>
      </w:r>
      <w:r>
        <w:rPr>
          <w:i w:val="0"/>
          <w:sz w:val="16"/>
        </w:rPr>
        <w:t>, vol. 176, no. 5, pp. 2165–2177, May 2019, doi: 10.1007/s00024-018-1863-4.</w:t>
      </w:r>
    </w:p>
    <w:p>
      <w:pPr>
        <w:numPr>
          <w:ilvl w:val="0"/>
          <w:numId w:val="1"/>
        </w:numPr>
        <w:ind w:left="360" w:hanging="360"/>
        <w:jc w:val="both"/>
        <w:rPr>
          <w:sz w:val="16"/>
          <w:szCs w:val="16"/>
        </w:rPr>
      </w:pPr>
      <w:r>
        <w:rPr>
          <w:i w:val="0"/>
          <w:sz w:val="16"/>
        </w:rPr>
        <w:t xml:space="preserve">S. J. Dietz, P. Kneringer, G. J. Mayr, and A. Zeileis, “Forecasting low-visibility procedure states with tree-based statistical methods,” </w:t>
      </w:r>
      <w:r>
        <w:rPr>
          <w:i/>
          <w:sz w:val="16"/>
        </w:rPr>
        <w:t>Pure Appl. Geophys.</w:t>
      </w:r>
      <w:r>
        <w:rPr>
          <w:i w:val="0"/>
          <w:sz w:val="16"/>
        </w:rPr>
        <w:t>, vol. 176, no. 6, pp. 2631–2644, Jun. 2019, doi: 10.1007/s00024-018-1914-x.</w:t>
      </w:r>
    </w:p>
    <w:p>
      <w:pPr>
        <w:numPr>
          <w:ilvl w:val="0"/>
          <w:numId w:val="1"/>
        </w:numPr>
        <w:ind w:left="360" w:hanging="360"/>
        <w:jc w:val="both"/>
        <w:rPr>
          <w:sz w:val="16"/>
          <w:szCs w:val="16"/>
        </w:rPr>
      </w:pPr>
      <w:r>
        <w:rPr>
          <w:i w:val="0"/>
          <w:sz w:val="16"/>
        </w:rPr>
        <w:t xml:space="preserve">S. J. Dietz, P. Kneringer, G. J. Mayr, and A. Zeileis, “Low-visibility forecasts for different flight planning horizons using tree-based boosting models,” </w:t>
      </w:r>
      <w:r>
        <w:rPr>
          <w:i/>
          <w:sz w:val="16"/>
        </w:rPr>
        <w:t>Adv. Stat. Climatol. Meteorol. Oceanogr.</w:t>
      </w:r>
      <w:r>
        <w:rPr>
          <w:i w:val="0"/>
          <w:sz w:val="16"/>
        </w:rPr>
        <w:t>, vol. 5, no. 1, pp. 101–114, Jun. 2019, doi: 10.5194/ascmo-5-101-2019.</w:t>
      </w:r>
    </w:p>
    <w:p>
      <w:pPr>
        <w:numPr>
          <w:ilvl w:val="0"/>
          <w:numId w:val="1"/>
        </w:numPr>
        <w:ind w:left="360" w:hanging="360"/>
        <w:jc w:val="both"/>
        <w:rPr>
          <w:sz w:val="16"/>
          <w:szCs w:val="16"/>
        </w:rPr>
      </w:pPr>
      <w:r>
        <w:rPr>
          <w:i w:val="0"/>
          <w:sz w:val="16"/>
        </w:rPr>
        <w:t xml:space="preserve">D. Alves, M. Belo-Pereira, F. Mendonça, and F. Morgado-Dias, “Intelligent visibility forecasting at airports: A systematic review,” </w:t>
      </w:r>
      <w:r>
        <w:rPr>
          <w:i/>
          <w:sz w:val="16"/>
        </w:rPr>
        <w:t>Environ. Res. Commun.</w:t>
      </w:r>
      <w:r>
        <w:rPr>
          <w:i w:val="0"/>
          <w:sz w:val="16"/>
        </w:rPr>
        <w:t>, vol. 7, no. 6, Art. no. 062002, Jun. 2025, doi: 10.1088/2515-7620/addea9.</w:t>
      </w:r>
    </w:p>
    <w:p>
      <w:pPr>
        <w:numPr>
          <w:ilvl w:val="0"/>
          <w:numId w:val="1"/>
        </w:numPr>
        <w:ind w:left="360" w:hanging="360"/>
        <w:jc w:val="both"/>
        <w:rPr>
          <w:sz w:val="16"/>
          <w:szCs w:val="16"/>
        </w:rPr>
      </w:pPr>
      <w:r>
        <w:rPr>
          <w:i w:val="0"/>
          <w:sz w:val="16"/>
        </w:rPr>
        <w:t xml:space="preserve">S. Salcedo-Sanz, D. Guijo-Rubio, J. Pérez-Aracil, C. Peláez-Rodríguez, A. M. Gomez-Orellana, and P. A. Gutiérrez-Peña, “Artificial intelligence-based methods and algorithms in fog and atmospheric low-visibility forecasting,” </w:t>
      </w:r>
      <w:r>
        <w:rPr>
          <w:i/>
          <w:sz w:val="16"/>
        </w:rPr>
        <w:t>Atmosphere</w:t>
      </w:r>
      <w:r>
        <w:rPr>
          <w:i w:val="0"/>
          <w:sz w:val="16"/>
        </w:rPr>
        <w:t>, vol. 16, no. 9, Art. no. 1073, Sep. 2025, doi: 10.3390/atmos16091073.</w:t>
      </w:r>
    </w:p>
    <w:p>
      <w:pPr>
        <w:numPr>
          <w:ilvl w:val="0"/>
          <w:numId w:val="1"/>
        </w:numPr>
        <w:ind w:left="360" w:hanging="360"/>
        <w:jc w:val="both"/>
        <w:rPr>
          <w:sz w:val="16"/>
          <w:szCs w:val="16"/>
        </w:rPr>
      </w:pPr>
      <w:r>
        <w:rPr>
          <w:i w:val="0"/>
          <w:sz w:val="16"/>
        </w:rPr>
        <w:t xml:space="preserve">G. R. Herman and R. S. Schumacher, “Using reforecasts to improve forecasting of fog and visibility for aviation,” </w:t>
      </w:r>
      <w:r>
        <w:rPr>
          <w:i/>
          <w:sz w:val="16"/>
        </w:rPr>
        <w:t>Weather Forecast.</w:t>
      </w:r>
      <w:r>
        <w:rPr>
          <w:i w:val="0"/>
          <w:sz w:val="16"/>
        </w:rPr>
        <w:t>, vol. 31, no. 2, pp. 467–482, Apr. 2016, doi: 10.1175/WAF-D-15-0108.1.</w:t>
      </w:r>
    </w:p>
    <w:p>
      <w:pPr>
        <w:numPr>
          <w:ilvl w:val="0"/>
          <w:numId w:val="1"/>
        </w:numPr>
        <w:ind w:left="360" w:hanging="360"/>
        <w:jc w:val="both"/>
        <w:rPr>
          <w:sz w:val="16"/>
          <w:szCs w:val="16"/>
        </w:rPr>
      </w:pPr>
      <w:r>
        <w:rPr>
          <w:i w:val="0"/>
          <w:sz w:val="16"/>
        </w:rPr>
        <w:t xml:space="preserve">D. Fabbian, R. de Dear, and S. Lellyett, “Application of artificial neural network forecasts to predict fog at Canberra International Airport,” </w:t>
      </w:r>
      <w:r>
        <w:rPr>
          <w:i/>
          <w:sz w:val="16"/>
        </w:rPr>
        <w:t>Weather Forecast.</w:t>
      </w:r>
      <w:r>
        <w:rPr>
          <w:i w:val="0"/>
          <w:sz w:val="16"/>
        </w:rPr>
        <w:t>, vol. 22, no. 2, pp. 372–381, Apr. 2007, doi: 10.1175/WAF980.1.</w:t>
      </w:r>
    </w:p>
    <w:p>
      <w:pPr>
        <w:numPr>
          <w:ilvl w:val="0"/>
          <w:numId w:val="1"/>
        </w:numPr>
        <w:ind w:left="360" w:hanging="360"/>
        <w:jc w:val="both"/>
        <w:rPr>
          <w:sz w:val="16"/>
          <w:szCs w:val="16"/>
        </w:rPr>
      </w:pPr>
      <w:r>
        <w:rPr>
          <w:i w:val="0"/>
          <w:sz w:val="16"/>
        </w:rPr>
        <w:t xml:space="preserve">C. Marzban, S. Leyton, and B. Colman, “Ceiling and visibility forecasts via neural networks,” </w:t>
      </w:r>
      <w:r>
        <w:rPr>
          <w:i/>
          <w:sz w:val="16"/>
        </w:rPr>
        <w:t>Weather Forecast.</w:t>
      </w:r>
      <w:r>
        <w:rPr>
          <w:i w:val="0"/>
          <w:sz w:val="16"/>
        </w:rPr>
        <w:t>, vol. 22, no. 3, pp. 466–479, Jun. 2007, doi: 10.1175/WAF994.1.</w:t>
      </w:r>
    </w:p>
    <w:p>
      <w:pPr>
        <w:numPr>
          <w:ilvl w:val="0"/>
          <w:numId w:val="1"/>
        </w:numPr>
        <w:ind w:left="360" w:hanging="360"/>
        <w:jc w:val="both"/>
        <w:rPr>
          <w:sz w:val="16"/>
          <w:szCs w:val="16"/>
        </w:rPr>
      </w:pPr>
      <w:r>
        <w:rPr>
          <w:i w:val="0"/>
          <w:sz w:val="16"/>
        </w:rPr>
        <w:t xml:space="preserve">J. B. Bremnes and S. C. Michaelides, “Probabilistic visibility forecasting using neural networks,” </w:t>
      </w:r>
      <w:r>
        <w:rPr>
          <w:i/>
          <w:sz w:val="16"/>
        </w:rPr>
        <w:t>Pure Appl. Geophys.</w:t>
      </w:r>
      <w:r>
        <w:rPr>
          <w:i w:val="0"/>
          <w:sz w:val="16"/>
        </w:rPr>
        <w:t>, vol. 164, no. 6–7, pp. 1365–1381, Jun. 2007, doi: 10.1007/s00024-007-0223-6.</w:t>
      </w:r>
    </w:p>
    <w:p>
      <w:pPr>
        <w:numPr>
          <w:ilvl w:val="0"/>
          <w:numId w:val="1"/>
        </w:numPr>
        <w:ind w:left="360" w:hanging="360"/>
        <w:jc w:val="both"/>
        <w:rPr>
          <w:sz w:val="16"/>
          <w:szCs w:val="16"/>
        </w:rPr>
      </w:pPr>
      <w:r>
        <w:rPr>
          <w:i w:val="0"/>
          <w:sz w:val="16"/>
        </w:rPr>
        <w:t xml:space="preserve">D. Guijo-Rubio, P. A. Gutiérrez, C. Casanova-Mateo, J. Sanz-Justo, S. Salcedo-Sanz, and C. Hervás-Martínez, “Prediction of low-visibility events due to fog using ordinal classification,” </w:t>
      </w:r>
      <w:r>
        <w:rPr>
          <w:i/>
          <w:sz w:val="16"/>
        </w:rPr>
        <w:t>Atmos. Res.</w:t>
      </w:r>
      <w:r>
        <w:rPr>
          <w:i w:val="0"/>
          <w:sz w:val="16"/>
        </w:rPr>
        <w:t>, vol. 214, pp. 64–73, Dec. 2018, doi: 10.1016/j.atmosres.2018.07.017.</w:t>
      </w:r>
    </w:p>
    <w:p>
      <w:pPr>
        <w:numPr>
          <w:ilvl w:val="0"/>
          <w:numId w:val="1"/>
        </w:numPr>
        <w:ind w:left="360" w:hanging="360"/>
        <w:jc w:val="both"/>
        <w:rPr>
          <w:sz w:val="16"/>
          <w:szCs w:val="16"/>
        </w:rPr>
      </w:pPr>
      <w:r>
        <w:rPr>
          <w:i w:val="0"/>
          <w:sz w:val="16"/>
        </w:rPr>
        <w:t xml:space="preserve">C. Castillo-Botón et al., “Machine learning regression and classification methods for fog events prediction,” </w:t>
      </w:r>
      <w:r>
        <w:rPr>
          <w:i/>
          <w:sz w:val="16"/>
        </w:rPr>
        <w:t>Atmos. Res.</w:t>
      </w:r>
      <w:r>
        <w:rPr>
          <w:i w:val="0"/>
          <w:sz w:val="16"/>
        </w:rPr>
        <w:t>, vol. 272, Art. no. 106157, Jul. 2022, doi: 10.1016/j.atmosres.2022.106157.</w:t>
      </w:r>
    </w:p>
    <w:p>
      <w:pPr>
        <w:numPr>
          <w:ilvl w:val="0"/>
          <w:numId w:val="1"/>
        </w:numPr>
        <w:ind w:left="360" w:hanging="360"/>
        <w:jc w:val="both"/>
        <w:rPr>
          <w:sz w:val="16"/>
          <w:szCs w:val="16"/>
        </w:rPr>
      </w:pPr>
      <w:r>
        <w:rPr>
          <w:i w:val="0"/>
          <w:sz w:val="16"/>
        </w:rPr>
        <w:t xml:space="preserve">L. Zhu, G. Zhu, L. Han, and N. Wang, “The application of deep learning in airport visibility forecast,” </w:t>
      </w:r>
      <w:r>
        <w:rPr>
          <w:i/>
          <w:sz w:val="16"/>
        </w:rPr>
        <w:t>Atmos. Clim. Sci.</w:t>
      </w:r>
      <w:r>
        <w:rPr>
          <w:i w:val="0"/>
          <w:sz w:val="16"/>
        </w:rPr>
        <w:t>, vol. 7, no. 3, pp. 314–322, 2017, doi: 10.4236/acs.2017.73023.</w:t>
      </w:r>
    </w:p>
    <w:p>
      <w:pPr>
        <w:numPr>
          <w:ilvl w:val="0"/>
          <w:numId w:val="1"/>
        </w:numPr>
        <w:ind w:left="360" w:hanging="360"/>
        <w:jc w:val="both"/>
        <w:rPr>
          <w:sz w:val="16"/>
          <w:szCs w:val="16"/>
        </w:rPr>
      </w:pPr>
      <w:r>
        <w:rPr>
          <w:i w:val="0"/>
          <w:sz w:val="16"/>
        </w:rPr>
        <w:t xml:space="preserve">L. C. Ortega, L. D. Otero, M. Solomon, C. E. Otero, and A. Fabregas, “Deep learning models for visibility forecasting using climatological data,” </w:t>
      </w:r>
      <w:r>
        <w:rPr>
          <w:i/>
          <w:sz w:val="16"/>
        </w:rPr>
        <w:t>Int. J. Forecast.</w:t>
      </w:r>
      <w:r>
        <w:rPr>
          <w:i w:val="0"/>
          <w:sz w:val="16"/>
        </w:rPr>
        <w:t>, vol. 39, no. 2, pp. 992–1004, Apr. 2023, doi: 10.1016/j.ijforecast.2022.03.009.</w:t>
      </w:r>
    </w:p>
    <w:p>
      <w:pPr>
        <w:numPr>
          <w:ilvl w:val="0"/>
          <w:numId w:val="1"/>
        </w:numPr>
        <w:ind w:left="360" w:hanging="360"/>
        <w:jc w:val="both"/>
        <w:rPr>
          <w:sz w:val="16"/>
          <w:szCs w:val="16"/>
        </w:rPr>
      </w:pPr>
      <w:r>
        <w:rPr>
          <w:i w:val="0"/>
          <w:sz w:val="16"/>
        </w:rPr>
        <w:t xml:space="preserve">H. Kamangir et al., “FogNet: A multiscale 3D CNN with double-branch dense block and attention mechanism for fog prediction,” </w:t>
      </w:r>
      <w:r>
        <w:rPr>
          <w:i/>
          <w:sz w:val="16"/>
        </w:rPr>
        <w:t>Mach. Learn. Appl.</w:t>
      </w:r>
      <w:r>
        <w:rPr>
          <w:i w:val="0"/>
          <w:sz w:val="16"/>
        </w:rPr>
        <w:t>, vol. 5, Art. no. 100038, Sep. 2021, doi: 10.1016/j.mlwa.2021.100038.</w:t>
      </w:r>
    </w:p>
    <w:p>
      <w:pPr>
        <w:numPr>
          <w:ilvl w:val="0"/>
          <w:numId w:val="1"/>
        </w:numPr>
        <w:ind w:left="360" w:hanging="360"/>
        <w:jc w:val="both"/>
        <w:rPr>
          <w:sz w:val="16"/>
          <w:szCs w:val="16"/>
        </w:rPr>
      </w:pPr>
      <w:r>
        <w:rPr>
          <w:i w:val="0"/>
          <w:sz w:val="16"/>
        </w:rPr>
        <w:t>M. Cerda Castillo, “Geographic transferability of machine learning models for short-term airport fog forecasting,” 2025, arXiv:2510.21819.</w:t>
      </w:r>
    </w:p>
    <w:p>
      <w:pPr>
        <w:numPr>
          <w:ilvl w:val="0"/>
          <w:numId w:val="1"/>
        </w:numPr>
        <w:ind w:left="360" w:hanging="360"/>
        <w:jc w:val="both"/>
        <w:rPr>
          <w:sz w:val="16"/>
          <w:szCs w:val="16"/>
        </w:rPr>
      </w:pPr>
      <w:r>
        <w:rPr>
          <w:i w:val="0"/>
          <w:sz w:val="16"/>
        </w:rPr>
        <w:t xml:space="preserve">A. McGovern et al., “Making the black box more transparent: Understanding the physical implications of machine learning,” </w:t>
      </w:r>
      <w:r>
        <w:rPr>
          <w:i/>
          <w:sz w:val="16"/>
        </w:rPr>
        <w:t>Bull. Amer. Meteorol. Soc.</w:t>
      </w:r>
      <w:r>
        <w:rPr>
          <w:i w:val="0"/>
          <w:sz w:val="16"/>
        </w:rPr>
        <w:t>, vol. 100, no. 11, pp. 2175–2199, Nov. 2019, doi: 10.1175/BAMS-D-18-0195.1.</w:t>
      </w:r>
    </w:p>
    <w:p>
      <w:pPr>
        <w:numPr>
          <w:ilvl w:val="0"/>
          <w:numId w:val="1"/>
        </w:numPr>
        <w:ind w:left="360" w:hanging="360"/>
        <w:jc w:val="both"/>
        <w:rPr>
          <w:sz w:val="16"/>
          <w:szCs w:val="16"/>
        </w:rPr>
      </w:pPr>
      <w:r>
        <w:rPr>
          <w:i w:val="0"/>
          <w:sz w:val="16"/>
        </w:rPr>
        <w:t xml:space="preserve">S. M. Lundberg and S.-I. Lee, “A unified approach to interpreting model predictions,” in </w:t>
      </w:r>
      <w:r>
        <w:rPr>
          <w:i/>
          <w:sz w:val="16"/>
        </w:rPr>
        <w:t>Proc. Adv. Neural Inf. Process. Syst. (NeurIPS)</w:t>
      </w:r>
      <w:r>
        <w:rPr>
          <w:i w:val="0"/>
          <w:sz w:val="16"/>
        </w:rPr>
        <w:t>, vol. 30, Long Beach, CA, USA, 2017, pp. 4765–4774.</w:t>
      </w:r>
    </w:p>
    <w:p>
      <w:pPr>
        <w:numPr>
          <w:ilvl w:val="0"/>
          <w:numId w:val="1"/>
        </w:numPr>
        <w:ind w:left="360" w:hanging="360"/>
        <w:jc w:val="both"/>
        <w:rPr>
          <w:sz w:val="16"/>
          <w:szCs w:val="16"/>
        </w:rPr>
      </w:pPr>
      <w:r>
        <w:rPr>
          <w:i w:val="0"/>
          <w:sz w:val="16"/>
        </w:rPr>
        <w:t xml:space="preserve">S. M. Lundberg et al., “From local explanations to global understanding with explainable AI for trees,” </w:t>
      </w:r>
      <w:r>
        <w:rPr>
          <w:i/>
          <w:sz w:val="16"/>
        </w:rPr>
        <w:t>Nat. Mach. Intell.</w:t>
      </w:r>
      <w:r>
        <w:rPr>
          <w:i w:val="0"/>
          <w:sz w:val="16"/>
        </w:rPr>
        <w:t>, vol. 2, no. 1, pp. 56–67, Jan. 2020, doi: 10.1038/s42256-019-0138-9.</w:t>
      </w:r>
    </w:p>
    <w:p>
      <w:pPr>
        <w:numPr>
          <w:ilvl w:val="0"/>
          <w:numId w:val="1"/>
        </w:numPr>
        <w:ind w:left="360" w:hanging="360"/>
        <w:jc w:val="both"/>
        <w:rPr>
          <w:sz w:val="16"/>
          <w:szCs w:val="16"/>
        </w:rPr>
      </w:pPr>
      <w:r>
        <w:rPr>
          <w:i w:val="0"/>
          <w:sz w:val="16"/>
        </w:rPr>
        <w:t xml:space="preserve">I. T. Jolliffe and D. B. Stephenson, Eds., </w:t>
      </w:r>
      <w:r>
        <w:rPr>
          <w:i/>
          <w:sz w:val="16"/>
        </w:rPr>
        <w:t>Forecast Verification: A Practitioner's Guide in Atmospheric Science</w:t>
      </w:r>
      <w:r>
        <w:rPr>
          <w:i w:val="0"/>
          <w:sz w:val="16"/>
        </w:rPr>
        <w:t>, 2nd ed. Chichester, U.K.: Wiley, 2012, doi: 10.1002/9781119960003.</w:t>
      </w:r>
    </w:p>
    <w:p>
      <w:pPr>
        <w:numPr>
          <w:ilvl w:val="0"/>
          <w:numId w:val="1"/>
        </w:numPr>
        <w:ind w:left="360" w:hanging="360"/>
        <w:jc w:val="both"/>
        <w:rPr>
          <w:sz w:val="16"/>
          <w:szCs w:val="16"/>
        </w:rPr>
      </w:pPr>
      <w:r>
        <w:rPr>
          <w:i w:val="0"/>
          <w:sz w:val="16"/>
        </w:rPr>
        <w:t xml:space="preserve">D. S. Wilks, </w:t>
      </w:r>
      <w:r>
        <w:rPr>
          <w:i/>
          <w:sz w:val="16"/>
        </w:rPr>
        <w:t>Statistical Methods in the Atmospheric Sciences</w:t>
      </w:r>
      <w:r>
        <w:rPr>
          <w:i w:val="0"/>
          <w:sz w:val="16"/>
        </w:rPr>
        <w:t>, 4th ed. Amsterdam, The Netherlands: Elsevier, 2019, doi: 10.1016/C2017-0-03921-6.</w:t>
      </w:r>
    </w:p>
    <w:p>
      <w:pPr>
        <w:numPr>
          <w:ilvl w:val="0"/>
          <w:numId w:val="1"/>
        </w:numPr>
        <w:ind w:left="360" w:hanging="360"/>
        <w:jc w:val="both"/>
        <w:rPr>
          <w:sz w:val="16"/>
          <w:szCs w:val="16"/>
        </w:rPr>
      </w:pPr>
      <w:r>
        <w:rPr>
          <w:i w:val="0"/>
          <w:sz w:val="16"/>
        </w:rPr>
        <w:t xml:space="preserve">G. Mahringer, “Terminal aerodrome forecast verification in Austro Control using time windows and ranges of forecast conditions,” </w:t>
      </w:r>
      <w:r>
        <w:rPr>
          <w:i/>
          <w:sz w:val="16"/>
        </w:rPr>
        <w:t>Meteorol. Appl.</w:t>
      </w:r>
      <w:r>
        <w:rPr>
          <w:i w:val="0"/>
          <w:sz w:val="16"/>
        </w:rPr>
        <w:t>, vol. 15, no. 1, pp. 113–123, Mar. 2008, doi: 10.1002/met.62.</w:t>
      </w:r>
    </w:p>
    <w:p>
      <w:pPr>
        <w:numPr>
          <w:ilvl w:val="0"/>
          <w:numId w:val="1"/>
        </w:numPr>
        <w:ind w:left="360" w:hanging="360"/>
        <w:jc w:val="both"/>
        <w:rPr>
          <w:sz w:val="16"/>
          <w:szCs w:val="16"/>
        </w:rPr>
      </w:pPr>
      <w:r>
        <w:rPr>
          <w:i w:val="0"/>
          <w:sz w:val="16"/>
        </w:rPr>
        <w:t>Iowa Environmental Mesonet, “ASOS-AWOS-METAR data download,” Iowa State Univ., Ames, IA, USA. [Online]. Available: https://mesonet.agron.iastate.edu/request/download.phtml (accessed Oct. 29, 2026).</w:t>
      </w:r>
    </w:p>
    <w:p>
      <w:pPr>
        <w:numPr>
          <w:ilvl w:val="0"/>
          <w:numId w:val="1"/>
        </w:numPr>
        <w:ind w:left="360" w:hanging="360"/>
        <w:jc w:val="both"/>
        <w:rPr>
          <w:sz w:val="16"/>
          <w:szCs w:val="16"/>
        </w:rPr>
      </w:pPr>
      <w:r>
        <w:rPr>
          <w:i w:val="0"/>
          <w:sz w:val="16"/>
        </w:rPr>
        <w:t>G. Ballester Valor, “Ogimet: METAR, SPECI and TAF archive.” [Online]. Available: https://www.ogimet.com (accessed Oct. 29, 2026).</w:t>
      </w:r>
    </w:p>
    <w:p>
      <w:pPr>
        <w:numPr>
          <w:ilvl w:val="0"/>
          <w:numId w:val="1"/>
        </w:numPr>
        <w:ind w:left="360" w:hanging="360"/>
        <w:jc w:val="both"/>
        <w:rPr>
          <w:sz w:val="16"/>
          <w:szCs w:val="16"/>
        </w:rPr>
      </w:pPr>
      <w:r>
        <w:rPr>
          <w:i w:val="0"/>
          <w:sz w:val="16"/>
        </w:rPr>
        <w:t>NOAA Aviation Weather Center, “Data API.” [Online]. Available: https://aviationweather.gov/data/api/ (accessed Oct. 29, 2026).</w:t>
      </w:r>
    </w:p>
    <w:p>
      <w:pPr>
        <w:numPr>
          <w:ilvl w:val="0"/>
          <w:numId w:val="1"/>
        </w:numPr>
        <w:ind w:left="360" w:hanging="360"/>
        <w:jc w:val="both"/>
        <w:rPr>
          <w:sz w:val="16"/>
          <w:szCs w:val="16"/>
        </w:rPr>
      </w:pPr>
      <w:r>
        <w:rPr>
          <w:i/>
          <w:sz w:val="16"/>
        </w:rPr>
        <w:t>Manual on Codes—International Codes, Volume I.1, Part A: Alphanumeric Codes</w:t>
      </w:r>
      <w:r>
        <w:rPr>
          <w:i w:val="0"/>
          <w:sz w:val="16"/>
        </w:rPr>
        <w:t>, WMO-No. 306, World Meteorological Organization, Geneva, Switzerland, 2019.</w:t>
      </w:r>
    </w:p>
    <w:p>
      <w:pPr>
        <w:numPr>
          <w:ilvl w:val="0"/>
          <w:numId w:val="1"/>
        </w:numPr>
        <w:ind w:left="360" w:hanging="360"/>
        <w:jc w:val="both"/>
        <w:rPr>
          <w:sz w:val="16"/>
          <w:szCs w:val="16"/>
        </w:rPr>
      </w:pPr>
      <w:r>
        <w:rPr>
          <w:i/>
          <w:sz w:val="16"/>
        </w:rPr>
        <w:t>Meteorological Service for International Air Navigation, Annex 3 to the Convention on International Civil Aviation</w:t>
      </w:r>
      <w:r>
        <w:rPr>
          <w:i w:val="0"/>
          <w:sz w:val="16"/>
        </w:rPr>
        <w:t>, 20th ed., International Civil Aviation Organization, Montréal, QC, Canada, 2018.</w:t>
      </w:r>
    </w:p>
    <w:p>
      <w:pPr>
        <w:numPr>
          <w:ilvl w:val="0"/>
          <w:numId w:val="1"/>
        </w:numPr>
        <w:ind w:left="360" w:hanging="360"/>
        <w:jc w:val="both"/>
        <w:rPr>
          <w:sz w:val="16"/>
          <w:szCs w:val="16"/>
        </w:rPr>
      </w:pPr>
      <w:r>
        <w:rPr>
          <w:i/>
          <w:sz w:val="16"/>
        </w:rPr>
        <w:t>Manual of All-Weather Operations</w:t>
      </w:r>
      <w:r>
        <w:rPr>
          <w:i w:val="0"/>
          <w:sz w:val="16"/>
        </w:rPr>
        <w:t>, Doc 9365-AN/910, 4th ed., International Civil Aviation Organization, Montréal, QC, Canada, 2017.</w:t>
      </w:r>
    </w:p>
    <w:p>
      <w:pPr>
        <w:numPr>
          <w:ilvl w:val="0"/>
          <w:numId w:val="1"/>
        </w:numPr>
        <w:ind w:left="360" w:hanging="360"/>
        <w:jc w:val="both"/>
        <w:rPr>
          <w:sz w:val="16"/>
          <w:szCs w:val="16"/>
        </w:rPr>
      </w:pPr>
      <w:r>
        <w:rPr>
          <w:i/>
          <w:sz w:val="16"/>
        </w:rPr>
        <w:t>Manual of Runway Visual Range Observing and Reporting Practices</w:t>
      </w:r>
      <w:r>
        <w:rPr>
          <w:i w:val="0"/>
          <w:sz w:val="16"/>
        </w:rPr>
        <w:t>, Doc 9328-AN/908, 3rd ed., International Civil Aviation Organization, Montréal, QC, Canada, 2005.</w:t>
      </w:r>
    </w:p>
    <w:p>
      <w:pPr>
        <w:numPr>
          <w:ilvl w:val="0"/>
          <w:numId w:val="1"/>
        </w:numPr>
        <w:ind w:left="360" w:hanging="360"/>
        <w:jc w:val="both"/>
        <w:rPr>
          <w:sz w:val="16"/>
          <w:szCs w:val="16"/>
        </w:rPr>
      </w:pPr>
      <w:r>
        <w:rPr>
          <w:i w:val="0"/>
          <w:sz w:val="16"/>
        </w:rPr>
        <w:t xml:space="preserve">E. Frank and M. Hall, “A simple approach to ordinal classification,” in </w:t>
      </w:r>
      <w:r>
        <w:rPr>
          <w:i/>
          <w:sz w:val="16"/>
        </w:rPr>
        <w:t>Machine Learning: ECML 2001</w:t>
      </w:r>
      <w:r>
        <w:rPr>
          <w:i w:val="0"/>
          <w:sz w:val="16"/>
        </w:rPr>
        <w:t xml:space="preserve"> (Lecture Notes in Computer Science, vol. 2167). Berlin, Germany: Springer, 2001, pp. 145–156, doi: 10.1007/3-540-44795-4_13.</w:t>
      </w:r>
    </w:p>
    <w:p>
      <w:pPr>
        <w:numPr>
          <w:ilvl w:val="0"/>
          <w:numId w:val="1"/>
        </w:numPr>
        <w:ind w:left="360" w:hanging="360"/>
        <w:jc w:val="both"/>
        <w:rPr>
          <w:sz w:val="16"/>
          <w:szCs w:val="16"/>
        </w:rPr>
      </w:pPr>
      <w:r>
        <w:rPr>
          <w:i w:val="0"/>
          <w:sz w:val="16"/>
        </w:rPr>
        <w:t xml:space="preserve">O. A. Alduchov and R. E. Eskridge, “Improved Magnus form approximation of saturation vapor pressure,” </w:t>
      </w:r>
      <w:r>
        <w:rPr>
          <w:i/>
          <w:sz w:val="16"/>
        </w:rPr>
        <w:t>J. Appl. Meteorol.</w:t>
      </w:r>
      <w:r>
        <w:rPr>
          <w:i w:val="0"/>
          <w:sz w:val="16"/>
        </w:rPr>
        <w:t>, vol. 35, no. 4, pp. 601–609, Apr. 1996, doi: 10.1175/1520-0450(1996)035&lt;0601:IMFAOS&gt;2.0.CO;2.</w:t>
      </w:r>
    </w:p>
    <w:p>
      <w:pPr>
        <w:numPr>
          <w:ilvl w:val="0"/>
          <w:numId w:val="1"/>
        </w:numPr>
        <w:ind w:left="360" w:hanging="360"/>
        <w:jc w:val="both"/>
        <w:rPr>
          <w:sz w:val="16"/>
          <w:szCs w:val="16"/>
        </w:rPr>
      </w:pPr>
      <w:r>
        <w:rPr>
          <w:i w:val="0"/>
          <w:sz w:val="16"/>
        </w:rPr>
        <w:t xml:space="preserve">J. W. Spencer, “Fourier series representation of the position of the sun,” </w:t>
      </w:r>
      <w:r>
        <w:rPr>
          <w:i/>
          <w:sz w:val="16"/>
        </w:rPr>
        <w:t>Search</w:t>
      </w:r>
      <w:r>
        <w:rPr>
          <w:i w:val="0"/>
          <w:sz w:val="16"/>
        </w:rPr>
        <w:t>, vol. 2, no. 5, p. 172, 1971.</w:t>
      </w:r>
    </w:p>
    <w:p>
      <w:pPr>
        <w:numPr>
          <w:ilvl w:val="0"/>
          <w:numId w:val="1"/>
        </w:numPr>
        <w:ind w:left="360" w:hanging="360"/>
        <w:jc w:val="both"/>
        <w:rPr>
          <w:sz w:val="16"/>
          <w:szCs w:val="16"/>
        </w:rPr>
      </w:pPr>
      <w:r>
        <w:rPr>
          <w:i w:val="0"/>
          <w:sz w:val="16"/>
        </w:rPr>
        <w:t xml:space="preserve">D. R. Cox, “The regression analysis of binary sequences,” </w:t>
      </w:r>
      <w:r>
        <w:rPr>
          <w:i/>
          <w:sz w:val="16"/>
        </w:rPr>
        <w:t>J. R. Stat. Soc. Ser. B</w:t>
      </w:r>
      <w:r>
        <w:rPr>
          <w:i w:val="0"/>
          <w:sz w:val="16"/>
        </w:rPr>
        <w:t>, vol. 20, no. 2, pp. 215–232, Jul. 1958, doi: 10.1111/j.2517-6161.1958.tb00292.x.</w:t>
      </w:r>
    </w:p>
    <w:p>
      <w:pPr>
        <w:numPr>
          <w:ilvl w:val="0"/>
          <w:numId w:val="1"/>
        </w:numPr>
        <w:ind w:left="360" w:hanging="360"/>
        <w:jc w:val="both"/>
        <w:rPr>
          <w:sz w:val="16"/>
          <w:szCs w:val="16"/>
        </w:rPr>
      </w:pPr>
      <w:r>
        <w:rPr>
          <w:i w:val="0"/>
          <w:sz w:val="16"/>
        </w:rPr>
        <w:t xml:space="preserve">L. Breiman, “Random forests,” </w:t>
      </w:r>
      <w:r>
        <w:rPr>
          <w:i/>
          <w:sz w:val="16"/>
        </w:rPr>
        <w:t>Mach. Learn.</w:t>
      </w:r>
      <w:r>
        <w:rPr>
          <w:i w:val="0"/>
          <w:sz w:val="16"/>
        </w:rPr>
        <w:t>, vol. 45, no. 1, pp. 5–32, Oct. 2001, doi: 10.1023/A:1010933404324.</w:t>
      </w:r>
    </w:p>
    <w:p>
      <w:pPr>
        <w:numPr>
          <w:ilvl w:val="0"/>
          <w:numId w:val="1"/>
        </w:numPr>
        <w:ind w:left="360" w:hanging="360"/>
        <w:jc w:val="both"/>
        <w:rPr>
          <w:sz w:val="16"/>
          <w:szCs w:val="16"/>
        </w:rPr>
      </w:pPr>
      <w:r>
        <w:rPr>
          <w:i w:val="0"/>
          <w:sz w:val="16"/>
        </w:rPr>
        <w:t xml:space="preserve">T. Chen and C. Guestrin, “XGBoost: A scalable tree boosting system,” in </w:t>
      </w:r>
      <w:r>
        <w:rPr>
          <w:i/>
          <w:sz w:val="16"/>
        </w:rPr>
        <w:t>Proc. 22nd ACM SIGKDD Int. Conf. Knowl. Discov. Data Mining</w:t>
      </w:r>
      <w:r>
        <w:rPr>
          <w:i w:val="0"/>
          <w:sz w:val="16"/>
        </w:rPr>
        <w:t>, San Francisco, CA, USA, Aug. 2016, pp. 785–794, doi: 10.1145/2939672.2939785.</w:t>
      </w:r>
    </w:p>
    <w:p>
      <w:pPr>
        <w:numPr>
          <w:ilvl w:val="0"/>
          <w:numId w:val="1"/>
        </w:numPr>
        <w:ind w:left="360" w:hanging="360"/>
        <w:jc w:val="both"/>
        <w:rPr>
          <w:sz w:val="16"/>
          <w:szCs w:val="16"/>
        </w:rPr>
      </w:pPr>
      <w:r>
        <w:rPr>
          <w:i w:val="0"/>
          <w:sz w:val="16"/>
        </w:rPr>
        <w:t xml:space="preserve">G. Ke et al., “LightGBM: A highly efficient gradient boosting decision tree,” in </w:t>
      </w:r>
      <w:r>
        <w:rPr>
          <w:i/>
          <w:sz w:val="16"/>
        </w:rPr>
        <w:t>Proc. Adv. Neural Inf. Process. Syst. (NeurIPS)</w:t>
      </w:r>
      <w:r>
        <w:rPr>
          <w:i w:val="0"/>
          <w:sz w:val="16"/>
        </w:rPr>
        <w:t>, vol. 30, Long Beach, CA, USA, 2017, pp. 3146–3154.</w:t>
      </w:r>
    </w:p>
    <w:p>
      <w:pPr>
        <w:numPr>
          <w:ilvl w:val="0"/>
          <w:numId w:val="1"/>
        </w:numPr>
        <w:ind w:left="360" w:hanging="360"/>
        <w:jc w:val="both"/>
        <w:rPr>
          <w:sz w:val="16"/>
          <w:szCs w:val="16"/>
        </w:rPr>
      </w:pPr>
      <w:r>
        <w:rPr>
          <w:i w:val="0"/>
          <w:sz w:val="16"/>
        </w:rPr>
        <w:t xml:space="preserve">T. Akiba, S. Sano, T. Yanase, T. Ohta, and M. Koyama, “Optuna: A next-generation hyperparameter optimization framework,” in </w:t>
      </w:r>
      <w:r>
        <w:rPr>
          <w:i/>
          <w:sz w:val="16"/>
        </w:rPr>
        <w:t>Proc. 25th ACM SIGKDD Int. Conf. Knowl. Discov. Data Mining</w:t>
      </w:r>
      <w:r>
        <w:rPr>
          <w:i w:val="0"/>
          <w:sz w:val="16"/>
        </w:rPr>
        <w:t>, Anchorage, AK, USA, Jul. 2019, pp. 2623–2631, doi: 10.1145/3292500.3330701.</w:t>
      </w:r>
    </w:p>
    <w:p>
      <w:pPr>
        <w:numPr>
          <w:ilvl w:val="0"/>
          <w:numId w:val="1"/>
        </w:numPr>
        <w:ind w:left="360" w:hanging="360"/>
        <w:jc w:val="both"/>
        <w:rPr>
          <w:sz w:val="16"/>
          <w:szCs w:val="16"/>
        </w:rPr>
      </w:pPr>
      <w:r>
        <w:rPr>
          <w:i w:val="0"/>
          <w:sz w:val="16"/>
        </w:rPr>
        <w:t xml:space="preserve">S. Hochreiter and J. Schmidhuber, “Long short-term memory,” </w:t>
      </w:r>
      <w:r>
        <w:rPr>
          <w:i/>
          <w:sz w:val="16"/>
        </w:rPr>
        <w:t>Neural Comput.</w:t>
      </w:r>
      <w:r>
        <w:rPr>
          <w:i w:val="0"/>
          <w:sz w:val="16"/>
        </w:rPr>
        <w:t>, vol. 9, no. 8, pp. 1735–1780, Nov. 1997, doi: 10.1162/neco.1997.9.8.1735.</w:t>
      </w:r>
    </w:p>
    <w:p>
      <w:pPr>
        <w:numPr>
          <w:ilvl w:val="0"/>
          <w:numId w:val="1"/>
        </w:numPr>
        <w:ind w:left="360" w:hanging="360"/>
        <w:jc w:val="both"/>
        <w:rPr>
          <w:sz w:val="16"/>
          <w:szCs w:val="16"/>
        </w:rPr>
      </w:pPr>
      <w:r>
        <w:rPr>
          <w:i w:val="0"/>
          <w:sz w:val="16"/>
        </w:rPr>
        <w:t xml:space="preserve">K. Cho et al., “Learning phrase representations using RNN encoder–decoder for statistical machine translation,” in </w:t>
      </w:r>
      <w:r>
        <w:rPr>
          <w:i/>
          <w:sz w:val="16"/>
        </w:rPr>
        <w:t>Proc. Conf. Empirical Methods Natural Lang. Process. (EMNLP)</w:t>
      </w:r>
      <w:r>
        <w:rPr>
          <w:i w:val="0"/>
          <w:sz w:val="16"/>
        </w:rPr>
        <w:t>, Doha, Qatar, 2014, pp. 1724–1734, doi: 10.3115/v1/D14-1179.</w:t>
      </w:r>
    </w:p>
    <w:p>
      <w:pPr>
        <w:numPr>
          <w:ilvl w:val="0"/>
          <w:numId w:val="1"/>
        </w:numPr>
        <w:ind w:left="360" w:hanging="360"/>
        <w:jc w:val="both"/>
        <w:rPr>
          <w:sz w:val="16"/>
          <w:szCs w:val="16"/>
        </w:rPr>
      </w:pPr>
      <w:r>
        <w:rPr>
          <w:i w:val="0"/>
          <w:sz w:val="16"/>
        </w:rPr>
        <w:t xml:space="preserve">I. Loshchilov and F. Hutter, “Decoupled weight decay regularization,” in </w:t>
      </w:r>
      <w:r>
        <w:rPr>
          <w:i/>
          <w:sz w:val="16"/>
        </w:rPr>
        <w:t>Proc. Int. Conf. Learn. Represent. (ICLR)</w:t>
      </w:r>
      <w:r>
        <w:rPr>
          <w:i w:val="0"/>
          <w:sz w:val="16"/>
        </w:rPr>
        <w:t>, New Orleans, LA, USA, 2019.</w:t>
      </w:r>
    </w:p>
    <w:p>
      <w:pPr>
        <w:numPr>
          <w:ilvl w:val="0"/>
          <w:numId w:val="1"/>
        </w:numPr>
        <w:ind w:left="360" w:hanging="360"/>
        <w:jc w:val="both"/>
        <w:rPr>
          <w:sz w:val="16"/>
          <w:szCs w:val="16"/>
        </w:rPr>
      </w:pPr>
      <w:r>
        <w:rPr>
          <w:i w:val="0"/>
          <w:sz w:val="16"/>
        </w:rPr>
        <w:t xml:space="preserve">F. Pedregosa et al., “Scikit-learn: Machine learning in Python,” </w:t>
      </w:r>
      <w:r>
        <w:rPr>
          <w:i/>
          <w:sz w:val="16"/>
        </w:rPr>
        <w:t>J. Mach. Learn. Res.</w:t>
      </w:r>
      <w:r>
        <w:rPr>
          <w:i w:val="0"/>
          <w:sz w:val="16"/>
        </w:rPr>
        <w:t>, vol. 12, pp. 2825–2830, 2011.</w:t>
      </w:r>
    </w:p>
    <w:p>
      <w:pPr>
        <w:numPr>
          <w:ilvl w:val="0"/>
          <w:numId w:val="1"/>
        </w:numPr>
        <w:ind w:left="360" w:hanging="360"/>
        <w:jc w:val="both"/>
        <w:rPr>
          <w:sz w:val="16"/>
          <w:szCs w:val="16"/>
        </w:rPr>
      </w:pPr>
      <w:r>
        <w:rPr>
          <w:i w:val="0"/>
          <w:sz w:val="16"/>
        </w:rPr>
        <w:t xml:space="preserve">A. Paszke et al., “PyTorch: An imperative style, high-performance deep learning library,” in </w:t>
      </w:r>
      <w:r>
        <w:rPr>
          <w:i/>
          <w:sz w:val="16"/>
        </w:rPr>
        <w:t>Proc. Adv. Neural Inf. Process. Syst. (NeurIPS)</w:t>
      </w:r>
      <w:r>
        <w:rPr>
          <w:i w:val="0"/>
          <w:sz w:val="16"/>
        </w:rPr>
        <w:t>, vol. 32, Vancouver, BC, Canada, 2019, pp. 8024–8035.</w:t>
      </w:r>
    </w:p>
    <w:p>
      <w:pPr>
        <w:numPr>
          <w:ilvl w:val="0"/>
          <w:numId w:val="1"/>
        </w:numPr>
        <w:ind w:left="360" w:hanging="360"/>
        <w:jc w:val="both"/>
        <w:rPr>
          <w:sz w:val="16"/>
          <w:szCs w:val="16"/>
        </w:rPr>
      </w:pPr>
      <w:r>
        <w:rPr>
          <w:i w:val="0"/>
          <w:sz w:val="16"/>
        </w:rPr>
        <w:t xml:space="preserve">H. He and E. A. Garcia, “Learning from imbalanced data,” </w:t>
      </w:r>
      <w:r>
        <w:rPr>
          <w:i/>
          <w:sz w:val="16"/>
        </w:rPr>
        <w:t>IEEE Trans. Knowl. Data Eng.</w:t>
      </w:r>
      <w:r>
        <w:rPr>
          <w:i w:val="0"/>
          <w:sz w:val="16"/>
        </w:rPr>
        <w:t>, vol. 21, no. 9, pp. 1263–1284, Sep. 2009, doi: 10.1109/TKDE.2008.239.</w:t>
      </w:r>
    </w:p>
    <w:p>
      <w:pPr>
        <w:numPr>
          <w:ilvl w:val="0"/>
          <w:numId w:val="1"/>
        </w:numPr>
        <w:ind w:left="360" w:hanging="360"/>
        <w:jc w:val="both"/>
        <w:rPr>
          <w:sz w:val="16"/>
          <w:szCs w:val="16"/>
        </w:rPr>
      </w:pPr>
      <w:r>
        <w:rPr>
          <w:i w:val="0"/>
          <w:sz w:val="16"/>
        </w:rPr>
        <w:t xml:space="preserve">N. V. Chawla, K. W. Bowyer, L. O. Hall, and W. P. Kegelmeyer, “SMOTE: Synthetic minority over-sampling technique,” </w:t>
      </w:r>
      <w:r>
        <w:rPr>
          <w:i/>
          <w:sz w:val="16"/>
        </w:rPr>
        <w:t>J. Artif. Intell. Res.</w:t>
      </w:r>
      <w:r>
        <w:rPr>
          <w:i w:val="0"/>
          <w:sz w:val="16"/>
        </w:rPr>
        <w:t>, vol. 16, pp. 321–357, Jun. 2002, doi: 10.1613/jair.953.</w:t>
      </w:r>
    </w:p>
    <w:p>
      <w:pPr>
        <w:numPr>
          <w:ilvl w:val="0"/>
          <w:numId w:val="1"/>
        </w:numPr>
        <w:ind w:left="360" w:hanging="360"/>
        <w:jc w:val="both"/>
        <w:rPr>
          <w:sz w:val="16"/>
          <w:szCs w:val="16"/>
        </w:rPr>
      </w:pPr>
      <w:r>
        <w:rPr>
          <w:i w:val="0"/>
          <w:sz w:val="16"/>
        </w:rPr>
        <w:t xml:space="preserve">J. C. Platt, “Probabilistic outputs for support vector machines and comparisons to regularized likelihood methods,” in </w:t>
      </w:r>
      <w:r>
        <w:rPr>
          <w:i/>
          <w:sz w:val="16"/>
        </w:rPr>
        <w:t>Advances in Large Margin Classifiers</w:t>
      </w:r>
      <w:r>
        <w:rPr>
          <w:i w:val="0"/>
          <w:sz w:val="16"/>
        </w:rPr>
        <w:t>, A. J. Smola, P. Bartlett, B. Schölkopf, and D. Schuurmans, Eds. Cambridge, MA, USA: MIT Press, 1999, pp. 61–74.</w:t>
      </w:r>
    </w:p>
    <w:p>
      <w:pPr>
        <w:numPr>
          <w:ilvl w:val="0"/>
          <w:numId w:val="1"/>
        </w:numPr>
        <w:ind w:left="360" w:hanging="360"/>
        <w:jc w:val="both"/>
        <w:rPr>
          <w:sz w:val="16"/>
          <w:szCs w:val="16"/>
        </w:rPr>
      </w:pPr>
      <w:r>
        <w:rPr>
          <w:i w:val="0"/>
          <w:sz w:val="16"/>
        </w:rPr>
        <w:t xml:space="preserve">B. Zadrozny and C. Elkan, “Transforming classifier scores into accurate multiclass probability estimates,” in </w:t>
      </w:r>
      <w:r>
        <w:rPr>
          <w:i/>
          <w:sz w:val="16"/>
        </w:rPr>
        <w:t>Proc. 8th ACM SIGKDD Int. Conf. Knowl. Discov. Data Mining</w:t>
      </w:r>
      <w:r>
        <w:rPr>
          <w:i w:val="0"/>
          <w:sz w:val="16"/>
        </w:rPr>
        <w:t>, Edmonton, AB, Canada, Jul. 2002, pp. 694–699, doi: 10.1145/775047.775151.</w:t>
      </w:r>
    </w:p>
    <w:p>
      <w:pPr>
        <w:numPr>
          <w:ilvl w:val="0"/>
          <w:numId w:val="1"/>
        </w:numPr>
        <w:ind w:left="360" w:hanging="360"/>
        <w:jc w:val="both"/>
        <w:rPr>
          <w:sz w:val="16"/>
          <w:szCs w:val="16"/>
        </w:rPr>
      </w:pPr>
      <w:r>
        <w:rPr>
          <w:i w:val="0"/>
          <w:sz w:val="16"/>
        </w:rPr>
        <w:t xml:space="preserve">A. Niculescu-Mizil and R. Caruana, “Predicting good probabilities with supervised learning,” in </w:t>
      </w:r>
      <w:r>
        <w:rPr>
          <w:i/>
          <w:sz w:val="16"/>
        </w:rPr>
        <w:t>Proc. 22nd Int. Conf. Mach. Learn. (ICML)</w:t>
      </w:r>
      <w:r>
        <w:rPr>
          <w:i w:val="0"/>
          <w:sz w:val="16"/>
        </w:rPr>
        <w:t>, Bonn, Germany, 2005, pp. 625–632, doi: 10.1145/1102351.1102430.</w:t>
      </w:r>
    </w:p>
    <w:p>
      <w:pPr>
        <w:numPr>
          <w:ilvl w:val="0"/>
          <w:numId w:val="1"/>
        </w:numPr>
        <w:ind w:left="360" w:hanging="360"/>
        <w:jc w:val="both"/>
        <w:rPr>
          <w:sz w:val="16"/>
          <w:szCs w:val="16"/>
        </w:rPr>
      </w:pPr>
      <w:r>
        <w:rPr>
          <w:i w:val="0"/>
          <w:sz w:val="16"/>
        </w:rPr>
        <w:t xml:space="preserve">S. Kaufman, S. Rosset, C. Perlich, and O. Stitelman, “Leakage in data mining: Formulation, detection, and avoidance,” </w:t>
      </w:r>
      <w:r>
        <w:rPr>
          <w:i/>
          <w:sz w:val="16"/>
        </w:rPr>
        <w:t>ACM Trans. Knowl. Discov. Data</w:t>
      </w:r>
      <w:r>
        <w:rPr>
          <w:i w:val="0"/>
          <w:sz w:val="16"/>
        </w:rPr>
        <w:t>, vol. 6, no. 4, pp. 1–21, Dec. 2012, doi: 10.1145/2382577.2382579.</w:t>
      </w:r>
    </w:p>
    <w:p>
      <w:pPr>
        <w:numPr>
          <w:ilvl w:val="0"/>
          <w:numId w:val="1"/>
        </w:numPr>
        <w:ind w:left="360" w:hanging="360"/>
        <w:jc w:val="both"/>
        <w:rPr>
          <w:sz w:val="16"/>
          <w:szCs w:val="16"/>
        </w:rPr>
      </w:pPr>
      <w:r>
        <w:rPr>
          <w:i w:val="0"/>
          <w:sz w:val="16"/>
        </w:rPr>
        <w:t xml:space="preserve">P. Heidke, “Berechnung des Erfolges und der Güte der Windstärkevorhersagen im Sturmwarnungsdienst,” </w:t>
      </w:r>
      <w:r>
        <w:rPr>
          <w:i/>
          <w:sz w:val="16"/>
        </w:rPr>
        <w:t>Geogr. Ann.</w:t>
      </w:r>
      <w:r>
        <w:rPr>
          <w:i w:val="0"/>
          <w:sz w:val="16"/>
        </w:rPr>
        <w:t>, vol. 8, no. 4, pp. 301–349, Dec. 1926, doi: 10.1080/20014422.1926.11881138.</w:t>
      </w:r>
    </w:p>
    <w:p>
      <w:pPr>
        <w:numPr>
          <w:ilvl w:val="0"/>
          <w:numId w:val="1"/>
        </w:numPr>
        <w:ind w:left="360" w:hanging="360"/>
        <w:jc w:val="both"/>
        <w:rPr>
          <w:sz w:val="16"/>
          <w:szCs w:val="16"/>
        </w:rPr>
      </w:pPr>
      <w:r>
        <w:rPr>
          <w:i w:val="0"/>
          <w:sz w:val="16"/>
        </w:rPr>
        <w:t xml:space="preserve">C. A. Doswell, R. Davies-Jones, and D. L. Keller, “On summary measures of skill in rare event forecasting based on contingency tables,” </w:t>
      </w:r>
      <w:r>
        <w:rPr>
          <w:i/>
          <w:sz w:val="16"/>
        </w:rPr>
        <w:t>Weather Forecast.</w:t>
      </w:r>
      <w:r>
        <w:rPr>
          <w:i w:val="0"/>
          <w:sz w:val="16"/>
        </w:rPr>
        <w:t>, vol. 5, no. 4, pp. 576–585, Dec. 1990, doi: 10.1175/1520-0434(1990)005&lt;0576:OSMOSI&gt;2.0.CO;2.</w:t>
      </w:r>
    </w:p>
    <w:p>
      <w:pPr>
        <w:numPr>
          <w:ilvl w:val="0"/>
          <w:numId w:val="1"/>
        </w:numPr>
        <w:ind w:left="360" w:hanging="360"/>
        <w:jc w:val="both"/>
        <w:rPr>
          <w:sz w:val="16"/>
          <w:szCs w:val="16"/>
        </w:rPr>
      </w:pPr>
      <w:r>
        <w:rPr>
          <w:i w:val="0"/>
          <w:sz w:val="16"/>
        </w:rPr>
        <w:t xml:space="preserve">T. Saito and M. Rehmsmeier, “The precision-recall plot is more informative than the ROC plot when evaluating binary classifiers on imbalanced datasets,” </w:t>
      </w:r>
      <w:r>
        <w:rPr>
          <w:i/>
          <w:sz w:val="16"/>
        </w:rPr>
        <w:t>PLoS One</w:t>
      </w:r>
      <w:r>
        <w:rPr>
          <w:i w:val="0"/>
          <w:sz w:val="16"/>
        </w:rPr>
        <w:t>, vol. 10, no. 3, Art. no. e0118432, Mar. 2015, doi: 10.1371/journal.pone.0118432.</w:t>
      </w:r>
    </w:p>
    <w:p>
      <w:pPr>
        <w:numPr>
          <w:ilvl w:val="0"/>
          <w:numId w:val="1"/>
        </w:numPr>
        <w:ind w:left="360" w:hanging="360"/>
        <w:jc w:val="both"/>
        <w:rPr>
          <w:sz w:val="16"/>
          <w:szCs w:val="16"/>
        </w:rPr>
      </w:pPr>
      <w:r>
        <w:rPr>
          <w:i w:val="0"/>
          <w:sz w:val="16"/>
        </w:rPr>
        <w:t xml:space="preserve">J. Davis and M. Goadrich, “The relationship between precision-recall and ROC curves,” in </w:t>
      </w:r>
      <w:r>
        <w:rPr>
          <w:i/>
          <w:sz w:val="16"/>
        </w:rPr>
        <w:t>Proc. 23rd Int. Conf. Mach. Learn. (ICML)</w:t>
      </w:r>
      <w:r>
        <w:rPr>
          <w:i w:val="0"/>
          <w:sz w:val="16"/>
        </w:rPr>
        <w:t>, Pittsburgh, PA, USA, 2006, pp. 233–240, doi: 10.1145/1143844.1143874.</w:t>
      </w:r>
    </w:p>
    <w:p>
      <w:pPr>
        <w:numPr>
          <w:ilvl w:val="0"/>
          <w:numId w:val="1"/>
        </w:numPr>
        <w:ind w:left="360" w:hanging="360"/>
        <w:jc w:val="both"/>
        <w:rPr>
          <w:sz w:val="16"/>
          <w:szCs w:val="16"/>
        </w:rPr>
      </w:pPr>
      <w:r>
        <w:rPr>
          <w:i w:val="0"/>
          <w:sz w:val="16"/>
        </w:rPr>
        <w:t xml:space="preserve">G. W. Brier, “Verification of forecasts expressed in terms of probability,” </w:t>
      </w:r>
      <w:r>
        <w:rPr>
          <w:i/>
          <w:sz w:val="16"/>
        </w:rPr>
        <w:t>Mon. Weather Rev.</w:t>
      </w:r>
      <w:r>
        <w:rPr>
          <w:i w:val="0"/>
          <w:sz w:val="16"/>
        </w:rPr>
        <w:t>, vol. 78, no. 1, pp. 1–3, Jan. 1950, doi: 10.1175/1520-0493(1950)078&lt;0001:VOFEIT&gt;2.0.CO;2.</w:t>
      </w:r>
    </w:p>
    <w:p>
      <w:pPr>
        <w:numPr>
          <w:ilvl w:val="0"/>
          <w:numId w:val="1"/>
        </w:numPr>
        <w:ind w:left="360" w:hanging="360"/>
        <w:jc w:val="both"/>
        <w:rPr>
          <w:sz w:val="16"/>
          <w:szCs w:val="16"/>
        </w:rPr>
      </w:pPr>
      <w:r>
        <w:rPr>
          <w:i w:val="0"/>
          <w:sz w:val="16"/>
        </w:rPr>
        <w:t xml:space="preserve">A. H. Murphy, “A new vector partition of the probability score,” </w:t>
      </w:r>
      <w:r>
        <w:rPr>
          <w:i/>
          <w:sz w:val="16"/>
        </w:rPr>
        <w:t>J. Appl. Meteorol.</w:t>
      </w:r>
      <w:r>
        <w:rPr>
          <w:i w:val="0"/>
          <w:sz w:val="16"/>
        </w:rPr>
        <w:t>, vol. 12, no. 4, pp. 595–600, Jun. 1973, doi: 10.1175/1520-0450(1973)012&lt;0595:ANVPOT&gt;2.0.CO;2.</w:t>
      </w:r>
    </w:p>
    <w:p>
      <w:pPr>
        <w:numPr>
          <w:ilvl w:val="0"/>
          <w:numId w:val="1"/>
        </w:numPr>
        <w:ind w:left="360" w:hanging="360"/>
        <w:jc w:val="both"/>
        <w:rPr>
          <w:sz w:val="16"/>
          <w:szCs w:val="16"/>
        </w:rPr>
      </w:pPr>
      <w:r>
        <w:rPr>
          <w:i w:val="0"/>
          <w:sz w:val="16"/>
        </w:rPr>
        <w:t xml:space="preserve">E. S. Epstein, “A scoring system for probability forecasts of ranked categories,” </w:t>
      </w:r>
      <w:r>
        <w:rPr>
          <w:i/>
          <w:sz w:val="16"/>
        </w:rPr>
        <w:t>J. Appl. Meteorol.</w:t>
      </w:r>
      <w:r>
        <w:rPr>
          <w:i w:val="0"/>
          <w:sz w:val="16"/>
        </w:rPr>
        <w:t>, vol. 8, no. 6, pp. 985–987, Dec. 1969, doi: 10.1175/1520-0450(1969)008&lt;0985:ASSFPF&gt;2.0.CO;2.</w:t>
      </w:r>
    </w:p>
    <w:p>
      <w:pPr>
        <w:numPr>
          <w:ilvl w:val="0"/>
          <w:numId w:val="1"/>
        </w:numPr>
        <w:ind w:left="360" w:hanging="360"/>
        <w:jc w:val="both"/>
        <w:rPr>
          <w:sz w:val="16"/>
          <w:szCs w:val="16"/>
        </w:rPr>
      </w:pPr>
      <w:r>
        <w:rPr>
          <w:i w:val="0"/>
          <w:sz w:val="16"/>
        </w:rPr>
        <w:t xml:space="preserve">H. R. Künsch, “The jackknife and the bootstrap for general stationary observations,” </w:t>
      </w:r>
      <w:r>
        <w:rPr>
          <w:i/>
          <w:sz w:val="16"/>
        </w:rPr>
        <w:t>Ann. Statist.</w:t>
      </w:r>
      <w:r>
        <w:rPr>
          <w:i w:val="0"/>
          <w:sz w:val="16"/>
        </w:rPr>
        <w:t>, vol. 17, no. 3, pp. 1217–1241, Sep. 1989, doi: 10.1214/aos/1176347265.</w:t>
      </w:r>
    </w:p>
    <w:p>
      <w:pPr>
        <w:numPr>
          <w:ilvl w:val="0"/>
          <w:numId w:val="1"/>
        </w:numPr>
        <w:ind w:left="360" w:hanging="360"/>
        <w:jc w:val="both"/>
        <w:rPr>
          <w:sz w:val="16"/>
          <w:szCs w:val="16"/>
        </w:rPr>
      </w:pPr>
      <w:r>
        <w:rPr>
          <w:i w:val="0"/>
          <w:sz w:val="16"/>
        </w:rPr>
        <w:t xml:space="preserve">D. S. Wilks, “Resampling hypothesis tests for autocorrelated fields,” </w:t>
      </w:r>
      <w:r>
        <w:rPr>
          <w:i/>
          <w:sz w:val="16"/>
        </w:rPr>
        <w:t>J. Climate</w:t>
      </w:r>
      <w:r>
        <w:rPr>
          <w:i w:val="0"/>
          <w:sz w:val="16"/>
        </w:rPr>
        <w:t>, vol. 10, no. 1, pp. 65–82, Jan. 1997, doi: 10.1175/1520-0442(1997)010&lt;0065:RHTFAF&gt;2.0.CO;2.</w:t>
      </w:r>
    </w:p>
    <w:p>
      <w:pPr>
        <w:numPr>
          <w:ilvl w:val="0"/>
          <w:numId w:val="1"/>
        </w:numPr>
        <w:ind w:left="360" w:hanging="360"/>
        <w:jc w:val="both"/>
        <w:rPr>
          <w:sz w:val="16"/>
          <w:szCs w:val="16"/>
        </w:rPr>
      </w:pPr>
      <w:r>
        <w:rPr>
          <w:i w:val="0"/>
          <w:sz w:val="16"/>
        </w:rPr>
        <w:t xml:space="preserve">L. S. Shapley, “A value for n-person games,” in </w:t>
      </w:r>
      <w:r>
        <w:rPr>
          <w:i/>
          <w:sz w:val="16"/>
        </w:rPr>
        <w:t>Contributions to the Theory of Games</w:t>
      </w:r>
      <w:r>
        <w:rPr>
          <w:i w:val="0"/>
          <w:sz w:val="16"/>
        </w:rPr>
        <w:t>, vol. II, H. W. Kuhn and A. W. Tucker, Eds. Princeton, NJ, USA: Princeton Univ. Press, 1953, pp. 307–317, doi: 10.1515/9781400881970-018.</w:t>
      </w:r>
    </w:p>
    <w:p/>
    <w:p>
      <w:pPr>
        <w:jc w:val="both"/>
        <w:rPr>
          <w:rFonts w:ascii="Times" w:eastAsia="Times" w:hAnsi="Times" w:cs="Times"/>
        </w:rPr>
      </w:pPr>
      <w:r>
        <w:rPr>
          <w:b/>
          <w:sz w:val="16"/>
        </w:rPr>
        <w:t>Ata Sakik</w:t>
      </w:r>
      <w:r>
        <w:rPr>
          <w:sz w:val="16"/>
        </w:rPr>
        <w:t xml:space="preserve"> is a fourth-year undergraduate student in Software Engineering at Ankara University, Ankara, Türkiye. Research interests include machine learning, explainable artificial intelligence and their application to aviation meteorology and operational forecasting systems.</w:t>
      </w:r>
    </w:p>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500A" w14:textId="77777777" w:rsidR="00953692" w:rsidRDefault="00953692">
      <w:r>
        <w:separator/>
      </w:r>
    </w:p>
  </w:endnote>
  <w:endnote w:type="continuationSeparator" w:id="0">
    <w:p w14:paraId="36A2CADD" w14:textId="77777777" w:rsidR="00953692" w:rsidRDefault="0095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Klee One"/>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11A1" w14:textId="77777777" w:rsidR="00953692" w:rsidRPr="009A0AA6" w:rsidRDefault="00953692" w:rsidP="009A0AA6">
      <w:pPr>
        <w:pStyle w:val="Footer"/>
      </w:pPr>
    </w:p>
  </w:footnote>
  <w:footnote w:type="continuationSeparator" w:id="0">
    <w:p w14:paraId="604DB351" w14:textId="77777777" w:rsidR="00953692" w:rsidRDefault="00953692">
      <w:r>
        <w:continuationSeparator/>
      </w:r>
    </w:p>
  </w:footnote>
  <w:footnote w:id="1">
    <w:p>
      <w:pPr>
        <w:pStyle w:val="FootnoteText"/>
      </w:pPr>
      <w:r>
        <w:t xml:space="preserve">This manuscript was prepared as the term project of the YMH453 Machine Learning course, Department of Software Engineering, Ankara University, in the 2026–2027 fall semester. The data set, source code, trained models and web application are openly available at https://github.com/AtaSakik/esenboga-fog-nowcasting.</w:t>
      </w:r>
    </w:p>
    <w:p>
      <w:pPr>
        <w:pStyle w:val="FootnoteText"/>
      </w:pPr>
      <w:r>
        <w:t xml:space="preserve">A. Sakik is a fourth-year undergraduate student with the Department of Software Engineering, Ankara University, Ankara, Türkiye (student no. 25290085; e-mail: atasakik0077@hotmail.com).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rPr>
        <w:sz w:val="16"/>
      </w:rPr>
      <w:t xml:space="preserve">YMH453 MACHINE LEARNING — TERM PROJECT, ANKARA UNIVERSITY, 2026   </w:t>
    </w: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1296E"/>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061A1"/>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369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75BD6"/>
    <w:rsid w:val="00B83635"/>
    <w:rsid w:val="00BC0495"/>
    <w:rsid w:val="00BE4774"/>
    <w:rsid w:val="00C04F49"/>
    <w:rsid w:val="00C16047"/>
    <w:rsid w:val="00C25825"/>
    <w:rsid w:val="00C364D3"/>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96CDD"/>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85036EF5-A3D9-4D1A-9309-8214A043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fontTable" Target="fontTable.xml"/><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26804</Characters>
  <Application>Microsoft Office Word</Application>
  <DocSecurity>0</DocSecurity>
  <Lines>223</Lines>
  <Paragraphs>62</Paragraphs>
  <ScaleCrop>false</ScaleCrop>
  <Company/>
  <LinksUpToDate>false</LinksUpToDate>
  <CharactersWithSpaces>31444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 Sakik</dc:creator>
  <cp:lastModifiedBy>İnan KAZANCI</cp:lastModifiedBy>
  <cp:revision>2</cp:revision>
  <dcterms:created xsi:type="dcterms:W3CDTF">2024-06-12T13:11:00Z</dcterms:created>
  <dcterms:modified xsi:type="dcterms:W3CDTF">2025-12-03T08:56:00Z</dcterms:modified>
  <dc:title>Explainable Machine Learning-Based Nowcasting of Fog and Low Visibility at Ankara Esenboğa Airport</dc:title>
  <dc:subject>YMH453 Machine Learning term project</dc:subject>
  <cp:keywords>Aviation meteorology, explainable artificial intelligence, fog, gradient boosting, low-visibility procedures, nowcasting, recurrent neural networks, runway visual range.</cp:keywords>
</cp:coreProperties>
</file>